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59"/>
        <w:gridCol w:w="2320"/>
        <w:gridCol w:w="277"/>
        <w:gridCol w:w="4486"/>
      </w:tblGrid>
      <w:tr w:rsidR="00137577" w:rsidTr="004D711F">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rPr>
                <w:b/>
                <w:sz w:val="20"/>
                <w:szCs w:val="20"/>
              </w:rPr>
            </w:pPr>
            <w:r>
              <w:rPr>
                <w:b/>
                <w:sz w:val="20"/>
                <w:szCs w:val="20"/>
              </w:rPr>
              <w:t>Date:</w:t>
            </w:r>
          </w:p>
        </w:tc>
        <w:tc>
          <w:tcPr>
            <w:tcW w:w="2425" w:type="dxa"/>
            <w:tcBorders>
              <w:top w:val="single" w:sz="4" w:space="0" w:color="auto"/>
              <w:left w:val="single" w:sz="4" w:space="0" w:color="auto"/>
              <w:bottom w:val="single" w:sz="4" w:space="0" w:color="auto"/>
              <w:right w:val="single" w:sz="4" w:space="0" w:color="auto"/>
            </w:tcBorders>
            <w:hideMark/>
          </w:tcPr>
          <w:p w:rsidR="004D711F" w:rsidRDefault="00C47CEE">
            <w:pPr>
              <w:rPr>
                <w:sz w:val="20"/>
                <w:szCs w:val="20"/>
              </w:rPr>
            </w:pPr>
            <w:r>
              <w:rPr>
                <w:sz w:val="20"/>
                <w:szCs w:val="20"/>
              </w:rPr>
              <w:t xml:space="preserve">17 </w:t>
            </w:r>
            <w:r w:rsidR="004D711F">
              <w:rPr>
                <w:sz w:val="20"/>
                <w:szCs w:val="20"/>
              </w:rPr>
              <w:t>August 2017</w:t>
            </w:r>
          </w:p>
        </w:tc>
        <w:tc>
          <w:tcPr>
            <w:tcW w:w="281" w:type="dxa"/>
            <w:tcBorders>
              <w:top w:val="nil"/>
              <w:left w:val="single" w:sz="4" w:space="0" w:color="auto"/>
              <w:bottom w:val="nil"/>
              <w:right w:val="single" w:sz="4" w:space="0" w:color="auto"/>
            </w:tcBorders>
          </w:tcPr>
          <w:p w:rsidR="004D711F" w:rsidRDefault="004D711F">
            <w:pPr>
              <w:rPr>
                <w:sz w:val="20"/>
                <w:szCs w:val="20"/>
              </w:rPr>
            </w:pPr>
          </w:p>
        </w:tc>
        <w:tc>
          <w:tcPr>
            <w:tcW w:w="4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rPr>
                <w:b/>
                <w:sz w:val="20"/>
                <w:szCs w:val="20"/>
              </w:rPr>
            </w:pPr>
            <w:r>
              <w:rPr>
                <w:b/>
                <w:sz w:val="20"/>
                <w:szCs w:val="20"/>
              </w:rPr>
              <w:t>Report Title:</w:t>
            </w:r>
          </w:p>
        </w:tc>
      </w:tr>
      <w:tr w:rsidR="00137577" w:rsidTr="004D711F">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rPr>
                <w:b/>
                <w:sz w:val="20"/>
                <w:szCs w:val="20"/>
              </w:rPr>
            </w:pPr>
            <w:r>
              <w:rPr>
                <w:b/>
                <w:sz w:val="20"/>
                <w:szCs w:val="20"/>
              </w:rPr>
              <w:t>Meeting:</w:t>
            </w:r>
          </w:p>
        </w:tc>
        <w:tc>
          <w:tcPr>
            <w:tcW w:w="2425" w:type="dxa"/>
            <w:tcBorders>
              <w:top w:val="single" w:sz="4" w:space="0" w:color="auto"/>
              <w:left w:val="single" w:sz="4" w:space="0" w:color="auto"/>
              <w:bottom w:val="single" w:sz="4" w:space="0" w:color="auto"/>
              <w:right w:val="single" w:sz="4" w:space="0" w:color="auto"/>
            </w:tcBorders>
            <w:hideMark/>
          </w:tcPr>
          <w:p w:rsidR="004D711F" w:rsidRDefault="004D711F">
            <w:pPr>
              <w:rPr>
                <w:sz w:val="20"/>
                <w:szCs w:val="20"/>
              </w:rPr>
            </w:pPr>
            <w:r>
              <w:rPr>
                <w:sz w:val="20"/>
                <w:szCs w:val="20"/>
              </w:rPr>
              <w:t>JCC</w:t>
            </w:r>
          </w:p>
        </w:tc>
        <w:tc>
          <w:tcPr>
            <w:tcW w:w="281" w:type="dxa"/>
            <w:tcBorders>
              <w:top w:val="nil"/>
              <w:left w:val="single" w:sz="4" w:space="0" w:color="auto"/>
              <w:bottom w:val="nil"/>
              <w:right w:val="single" w:sz="4" w:space="0" w:color="auto"/>
            </w:tcBorders>
          </w:tcPr>
          <w:p w:rsidR="004D711F" w:rsidRDefault="004D711F">
            <w:pPr>
              <w:rPr>
                <w:sz w:val="20"/>
                <w:szCs w:val="20"/>
              </w:rPr>
            </w:pPr>
          </w:p>
        </w:tc>
        <w:tc>
          <w:tcPr>
            <w:tcW w:w="4727" w:type="dxa"/>
            <w:vMerge w:val="restart"/>
            <w:tcBorders>
              <w:top w:val="single" w:sz="4" w:space="0" w:color="auto"/>
              <w:left w:val="single" w:sz="4" w:space="0" w:color="auto"/>
              <w:bottom w:val="single" w:sz="4" w:space="0" w:color="auto"/>
              <w:right w:val="single" w:sz="4" w:space="0" w:color="auto"/>
            </w:tcBorders>
            <w:hideMark/>
          </w:tcPr>
          <w:p w:rsidR="004D711F" w:rsidRDefault="004D711F">
            <w:pPr>
              <w:rPr>
                <w:sz w:val="20"/>
                <w:szCs w:val="20"/>
              </w:rPr>
            </w:pPr>
            <w:r>
              <w:rPr>
                <w:sz w:val="20"/>
                <w:szCs w:val="20"/>
              </w:rPr>
              <w:t>Primary Care Dashboard update</w:t>
            </w:r>
          </w:p>
        </w:tc>
      </w:tr>
      <w:tr w:rsidR="00137577" w:rsidTr="004D711F">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rPr>
                <w:b/>
                <w:sz w:val="20"/>
                <w:szCs w:val="20"/>
              </w:rPr>
            </w:pPr>
            <w:r>
              <w:rPr>
                <w:b/>
                <w:sz w:val="20"/>
                <w:szCs w:val="20"/>
              </w:rPr>
              <w:t>Item Number:</w:t>
            </w:r>
          </w:p>
        </w:tc>
        <w:tc>
          <w:tcPr>
            <w:tcW w:w="2425" w:type="dxa"/>
            <w:tcBorders>
              <w:top w:val="single" w:sz="4" w:space="0" w:color="auto"/>
              <w:left w:val="single" w:sz="4" w:space="0" w:color="auto"/>
              <w:bottom w:val="single" w:sz="4" w:space="0" w:color="auto"/>
              <w:right w:val="single" w:sz="4" w:space="0" w:color="auto"/>
            </w:tcBorders>
          </w:tcPr>
          <w:p w:rsidR="004D711F" w:rsidRDefault="004D711F">
            <w:pPr>
              <w:rPr>
                <w:sz w:val="20"/>
                <w:szCs w:val="20"/>
              </w:rPr>
            </w:pPr>
          </w:p>
        </w:tc>
        <w:tc>
          <w:tcPr>
            <w:tcW w:w="281" w:type="dxa"/>
            <w:tcBorders>
              <w:top w:val="nil"/>
              <w:left w:val="single" w:sz="4" w:space="0" w:color="auto"/>
              <w:bottom w:val="nil"/>
              <w:right w:val="single" w:sz="4" w:space="0" w:color="auto"/>
            </w:tcBorders>
          </w:tcPr>
          <w:p w:rsidR="004D711F" w:rsidRDefault="004D711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11F" w:rsidRDefault="004D711F">
            <w:pPr>
              <w:rPr>
                <w:sz w:val="20"/>
                <w:szCs w:val="20"/>
              </w:rPr>
            </w:pPr>
          </w:p>
        </w:tc>
      </w:tr>
      <w:tr w:rsidR="00137577" w:rsidTr="004D711F">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rPr>
                <w:b/>
                <w:sz w:val="20"/>
                <w:szCs w:val="20"/>
              </w:rPr>
            </w:pPr>
            <w:r>
              <w:rPr>
                <w:b/>
                <w:sz w:val="20"/>
                <w:szCs w:val="20"/>
              </w:rPr>
              <w:t>Public/Private:</w:t>
            </w:r>
          </w:p>
        </w:tc>
        <w:tc>
          <w:tcPr>
            <w:tcW w:w="2425" w:type="dxa"/>
            <w:tcBorders>
              <w:top w:val="single" w:sz="4" w:space="0" w:color="auto"/>
              <w:left w:val="single" w:sz="4" w:space="0" w:color="auto"/>
              <w:bottom w:val="single" w:sz="4" w:space="0" w:color="auto"/>
              <w:right w:val="single" w:sz="4" w:space="0" w:color="auto"/>
            </w:tcBorders>
            <w:hideMark/>
          </w:tcPr>
          <w:p w:rsidR="004D711F" w:rsidRDefault="004D711F">
            <w:pPr>
              <w:jc w:val="center"/>
              <w:rPr>
                <w:rFonts w:cstheme="minorHAnsi"/>
                <w:sz w:val="20"/>
                <w:szCs w:val="20"/>
              </w:rPr>
            </w:pPr>
            <w:r>
              <w:rPr>
                <w:rFonts w:cstheme="minorHAnsi"/>
                <w:sz w:val="20"/>
                <w:szCs w:val="20"/>
              </w:rPr>
              <w:t xml:space="preserve">Public </w:t>
            </w:r>
            <w:sdt>
              <w:sdtPr>
                <w:rPr>
                  <w:rFonts w:cstheme="minorHAnsi"/>
                  <w:sz w:val="20"/>
                  <w:szCs w:val="20"/>
                </w:rPr>
                <w:id w:val="391547425"/>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lang w:val="en-US"/>
                  </w:rPr>
                  <w:t>☒</w:t>
                </w:r>
              </w:sdtContent>
            </w:sdt>
            <w:r>
              <w:rPr>
                <w:rFonts w:cstheme="minorHAnsi"/>
                <w:sz w:val="20"/>
                <w:szCs w:val="20"/>
              </w:rPr>
              <w:t xml:space="preserve">     Private </w:t>
            </w:r>
            <w:sdt>
              <w:sdtPr>
                <w:rPr>
                  <w:rFonts w:cstheme="minorHAnsi"/>
                  <w:sz w:val="20"/>
                  <w:szCs w:val="20"/>
                </w:rPr>
                <w:id w:val="-40853247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lang w:val="en-US"/>
                  </w:rPr>
                  <w:t>☐</w:t>
                </w:r>
              </w:sdtContent>
            </w:sdt>
            <w:r>
              <w:rPr>
                <w:rFonts w:cstheme="minorHAnsi"/>
                <w:sz w:val="20"/>
                <w:szCs w:val="20"/>
              </w:rPr>
              <w:t xml:space="preserve"> </w:t>
            </w:r>
          </w:p>
        </w:tc>
        <w:tc>
          <w:tcPr>
            <w:tcW w:w="281" w:type="dxa"/>
            <w:tcBorders>
              <w:top w:val="nil"/>
              <w:left w:val="single" w:sz="4" w:space="0" w:color="auto"/>
              <w:bottom w:val="nil"/>
              <w:right w:val="single" w:sz="4" w:space="0" w:color="auto"/>
            </w:tcBorders>
          </w:tcPr>
          <w:p w:rsidR="004D711F" w:rsidRDefault="004D711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11F" w:rsidRDefault="004D711F">
            <w:pPr>
              <w:rPr>
                <w:sz w:val="20"/>
                <w:szCs w:val="20"/>
              </w:rPr>
            </w:pPr>
          </w:p>
        </w:tc>
      </w:tr>
      <w:tr w:rsidR="00137577" w:rsidTr="004D711F">
        <w:tc>
          <w:tcPr>
            <w:tcW w:w="1809" w:type="dxa"/>
            <w:tcBorders>
              <w:top w:val="single" w:sz="4" w:space="0" w:color="auto"/>
              <w:left w:val="nil"/>
              <w:bottom w:val="single" w:sz="4" w:space="0" w:color="auto"/>
              <w:right w:val="nil"/>
            </w:tcBorders>
            <w:shd w:val="clear" w:color="auto" w:fill="FFFFFF" w:themeFill="background1"/>
          </w:tcPr>
          <w:p w:rsidR="004D711F" w:rsidRDefault="004D711F">
            <w:pPr>
              <w:rPr>
                <w:b/>
                <w:sz w:val="20"/>
                <w:szCs w:val="20"/>
              </w:rPr>
            </w:pPr>
          </w:p>
        </w:tc>
        <w:tc>
          <w:tcPr>
            <w:tcW w:w="2425" w:type="dxa"/>
            <w:tcBorders>
              <w:top w:val="single" w:sz="4" w:space="0" w:color="auto"/>
              <w:left w:val="nil"/>
              <w:bottom w:val="single" w:sz="4" w:space="0" w:color="auto"/>
              <w:right w:val="nil"/>
            </w:tcBorders>
          </w:tcPr>
          <w:p w:rsidR="004D711F" w:rsidRDefault="004D711F">
            <w:pPr>
              <w:rPr>
                <w:sz w:val="20"/>
                <w:szCs w:val="20"/>
              </w:rPr>
            </w:pPr>
          </w:p>
        </w:tc>
        <w:tc>
          <w:tcPr>
            <w:tcW w:w="281" w:type="dxa"/>
            <w:tcBorders>
              <w:top w:val="nil"/>
              <w:left w:val="nil"/>
              <w:bottom w:val="nil"/>
              <w:right w:val="single" w:sz="4" w:space="0" w:color="auto"/>
            </w:tcBorders>
          </w:tcPr>
          <w:p w:rsidR="004D711F" w:rsidRDefault="004D711F">
            <w:pPr>
              <w:rPr>
                <w:sz w:val="20"/>
                <w:szCs w:val="20"/>
              </w:rPr>
            </w:pPr>
          </w:p>
        </w:tc>
        <w:tc>
          <w:tcPr>
            <w:tcW w:w="4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rPr>
                <w:b/>
                <w:sz w:val="20"/>
                <w:szCs w:val="20"/>
              </w:rPr>
            </w:pPr>
            <w:r>
              <w:rPr>
                <w:b/>
                <w:sz w:val="20"/>
                <w:szCs w:val="20"/>
              </w:rPr>
              <w:t xml:space="preserve">Decisions to be made: </w:t>
            </w:r>
          </w:p>
        </w:tc>
      </w:tr>
      <w:tr w:rsidR="00137577" w:rsidTr="004D711F">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rPr>
                <w:b/>
                <w:sz w:val="20"/>
                <w:szCs w:val="20"/>
              </w:rPr>
            </w:pPr>
            <w:r>
              <w:rPr>
                <w:b/>
                <w:sz w:val="20"/>
                <w:szCs w:val="20"/>
              </w:rPr>
              <w:t>Author:</w:t>
            </w:r>
          </w:p>
          <w:p w:rsidR="004D711F" w:rsidRDefault="004D711F">
            <w:pPr>
              <w:rPr>
                <w:i/>
                <w:sz w:val="18"/>
                <w:szCs w:val="18"/>
              </w:rPr>
            </w:pPr>
            <w:r>
              <w:rPr>
                <w:i/>
                <w:sz w:val="18"/>
                <w:szCs w:val="18"/>
              </w:rPr>
              <w:t>(Name, Title)</w:t>
            </w:r>
          </w:p>
        </w:tc>
        <w:tc>
          <w:tcPr>
            <w:tcW w:w="2425" w:type="dxa"/>
            <w:tcBorders>
              <w:top w:val="single" w:sz="4" w:space="0" w:color="auto"/>
              <w:left w:val="single" w:sz="4" w:space="0" w:color="auto"/>
              <w:bottom w:val="single" w:sz="4" w:space="0" w:color="auto"/>
              <w:right w:val="single" w:sz="4" w:space="0" w:color="auto"/>
            </w:tcBorders>
            <w:hideMark/>
          </w:tcPr>
          <w:p w:rsidR="004D711F" w:rsidRDefault="004D711F">
            <w:pPr>
              <w:rPr>
                <w:sz w:val="20"/>
                <w:szCs w:val="20"/>
              </w:rPr>
            </w:pPr>
            <w:r>
              <w:rPr>
                <w:sz w:val="20"/>
                <w:szCs w:val="20"/>
              </w:rPr>
              <w:t>Tracey Wartnaby</w:t>
            </w:r>
          </w:p>
          <w:p w:rsidR="004D711F" w:rsidRDefault="004D711F">
            <w:pPr>
              <w:rPr>
                <w:sz w:val="20"/>
                <w:szCs w:val="20"/>
              </w:rPr>
            </w:pPr>
            <w:r>
              <w:rPr>
                <w:sz w:val="20"/>
                <w:szCs w:val="20"/>
              </w:rPr>
              <w:t>PC Support Manager</w:t>
            </w:r>
          </w:p>
        </w:tc>
        <w:tc>
          <w:tcPr>
            <w:tcW w:w="281" w:type="dxa"/>
            <w:tcBorders>
              <w:top w:val="nil"/>
              <w:left w:val="single" w:sz="4" w:space="0" w:color="auto"/>
              <w:bottom w:val="nil"/>
              <w:right w:val="single" w:sz="4" w:space="0" w:color="auto"/>
            </w:tcBorders>
          </w:tcPr>
          <w:p w:rsidR="004D711F" w:rsidRDefault="004D711F">
            <w:pPr>
              <w:rPr>
                <w:sz w:val="20"/>
                <w:szCs w:val="20"/>
              </w:rPr>
            </w:pPr>
          </w:p>
        </w:tc>
        <w:tc>
          <w:tcPr>
            <w:tcW w:w="4727" w:type="dxa"/>
            <w:vMerge w:val="restart"/>
            <w:tcBorders>
              <w:top w:val="single" w:sz="4" w:space="0" w:color="auto"/>
              <w:left w:val="single" w:sz="4" w:space="0" w:color="auto"/>
              <w:bottom w:val="nil"/>
              <w:right w:val="single" w:sz="4" w:space="0" w:color="auto"/>
            </w:tcBorders>
            <w:hideMark/>
          </w:tcPr>
          <w:p w:rsidR="004D711F" w:rsidRDefault="004D711F">
            <w:pPr>
              <w:rPr>
                <w:sz w:val="20"/>
                <w:szCs w:val="20"/>
              </w:rPr>
            </w:pPr>
            <w:r>
              <w:rPr>
                <w:sz w:val="20"/>
                <w:szCs w:val="20"/>
              </w:rPr>
              <w:t>JCC to note Dashboard Content.</w:t>
            </w:r>
          </w:p>
          <w:p w:rsidR="004D711F" w:rsidRDefault="004D711F">
            <w:pPr>
              <w:rPr>
                <w:sz w:val="20"/>
                <w:szCs w:val="20"/>
              </w:rPr>
            </w:pPr>
            <w:r>
              <w:rPr>
                <w:sz w:val="20"/>
                <w:szCs w:val="20"/>
              </w:rPr>
              <w:t xml:space="preserve">JCC to consider format of HULL CCG </w:t>
            </w:r>
            <w:r w:rsidR="00BC2B8A">
              <w:rPr>
                <w:sz w:val="20"/>
                <w:szCs w:val="20"/>
              </w:rPr>
              <w:t xml:space="preserve">GP Practice Level Quality Monitoring </w:t>
            </w:r>
            <w:r>
              <w:rPr>
                <w:sz w:val="20"/>
                <w:szCs w:val="20"/>
              </w:rPr>
              <w:t>example and provide agreement</w:t>
            </w:r>
            <w:r w:rsidR="00137577">
              <w:rPr>
                <w:sz w:val="20"/>
                <w:szCs w:val="20"/>
              </w:rPr>
              <w:t xml:space="preserve"> of format/content</w:t>
            </w:r>
            <w:r>
              <w:rPr>
                <w:sz w:val="20"/>
                <w:szCs w:val="20"/>
              </w:rPr>
              <w:t xml:space="preserve"> for future </w:t>
            </w:r>
            <w:r w:rsidR="00137577">
              <w:rPr>
                <w:sz w:val="20"/>
                <w:szCs w:val="20"/>
              </w:rPr>
              <w:t xml:space="preserve">JCC submission.  </w:t>
            </w:r>
          </w:p>
          <w:p w:rsidR="004D711F" w:rsidRDefault="004D711F">
            <w:pPr>
              <w:rPr>
                <w:sz w:val="20"/>
                <w:szCs w:val="20"/>
              </w:rPr>
            </w:pPr>
          </w:p>
        </w:tc>
      </w:tr>
      <w:tr w:rsidR="00137577" w:rsidTr="004D711F">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rPr>
                <w:b/>
                <w:sz w:val="20"/>
                <w:szCs w:val="20"/>
              </w:rPr>
            </w:pPr>
            <w:r>
              <w:rPr>
                <w:b/>
                <w:sz w:val="20"/>
                <w:szCs w:val="20"/>
              </w:rPr>
              <w:t>GB Lead:</w:t>
            </w:r>
          </w:p>
          <w:p w:rsidR="004D711F" w:rsidRDefault="004D711F">
            <w:pPr>
              <w:rPr>
                <w:i/>
                <w:sz w:val="18"/>
                <w:szCs w:val="18"/>
              </w:rPr>
            </w:pPr>
            <w:r>
              <w:rPr>
                <w:i/>
                <w:sz w:val="18"/>
                <w:szCs w:val="18"/>
              </w:rPr>
              <w:t>(Name, Title)</w:t>
            </w:r>
          </w:p>
        </w:tc>
        <w:tc>
          <w:tcPr>
            <w:tcW w:w="2425" w:type="dxa"/>
            <w:tcBorders>
              <w:top w:val="single" w:sz="4" w:space="0" w:color="auto"/>
              <w:left w:val="single" w:sz="4" w:space="0" w:color="auto"/>
              <w:bottom w:val="single" w:sz="4" w:space="0" w:color="auto"/>
              <w:right w:val="single" w:sz="4" w:space="0" w:color="auto"/>
            </w:tcBorders>
            <w:hideMark/>
          </w:tcPr>
          <w:p w:rsidR="004D711F" w:rsidRDefault="004D711F">
            <w:pPr>
              <w:rPr>
                <w:sz w:val="20"/>
                <w:szCs w:val="20"/>
              </w:rPr>
            </w:pPr>
            <w:r>
              <w:rPr>
                <w:sz w:val="20"/>
                <w:szCs w:val="20"/>
              </w:rPr>
              <w:t>Dr R Jaggs-Fowler</w:t>
            </w:r>
          </w:p>
          <w:p w:rsidR="00C47CEE" w:rsidRDefault="00C47CEE">
            <w:pPr>
              <w:rPr>
                <w:sz w:val="20"/>
                <w:szCs w:val="20"/>
              </w:rPr>
            </w:pPr>
          </w:p>
        </w:tc>
        <w:tc>
          <w:tcPr>
            <w:tcW w:w="281" w:type="dxa"/>
            <w:tcBorders>
              <w:top w:val="nil"/>
              <w:left w:val="single" w:sz="4" w:space="0" w:color="auto"/>
              <w:bottom w:val="nil"/>
              <w:right w:val="single" w:sz="4" w:space="0" w:color="auto"/>
            </w:tcBorders>
          </w:tcPr>
          <w:p w:rsidR="004D711F" w:rsidRDefault="004D711F">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4D711F" w:rsidRDefault="004D711F">
            <w:pPr>
              <w:rPr>
                <w:sz w:val="20"/>
                <w:szCs w:val="20"/>
              </w:rPr>
            </w:pPr>
          </w:p>
        </w:tc>
      </w:tr>
      <w:tr w:rsidR="00137577" w:rsidTr="004D711F">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rPr>
                <w:b/>
                <w:sz w:val="20"/>
                <w:szCs w:val="20"/>
              </w:rPr>
            </w:pPr>
            <w:r>
              <w:rPr>
                <w:b/>
                <w:sz w:val="20"/>
                <w:szCs w:val="20"/>
              </w:rPr>
              <w:t>Director approval/authorisation</w:t>
            </w:r>
          </w:p>
          <w:p w:rsidR="004D711F" w:rsidRDefault="004D711F">
            <w:pPr>
              <w:rPr>
                <w:i/>
                <w:sz w:val="20"/>
                <w:szCs w:val="20"/>
              </w:rPr>
            </w:pPr>
            <w:r>
              <w:rPr>
                <w:i/>
                <w:sz w:val="18"/>
                <w:szCs w:val="18"/>
              </w:rPr>
              <w:t>(Name)</w:t>
            </w:r>
          </w:p>
        </w:tc>
        <w:tc>
          <w:tcPr>
            <w:tcW w:w="2425" w:type="dxa"/>
            <w:tcBorders>
              <w:top w:val="single" w:sz="4" w:space="0" w:color="auto"/>
              <w:left w:val="single" w:sz="4" w:space="0" w:color="auto"/>
              <w:bottom w:val="single" w:sz="4" w:space="0" w:color="auto"/>
              <w:right w:val="single" w:sz="4" w:space="0" w:color="auto"/>
            </w:tcBorders>
            <w:hideMark/>
          </w:tcPr>
          <w:p w:rsidR="004D711F" w:rsidRDefault="004D711F">
            <w:pPr>
              <w:rPr>
                <w:b/>
                <w:sz w:val="20"/>
                <w:szCs w:val="20"/>
              </w:rPr>
            </w:pPr>
            <w:r>
              <w:rPr>
                <w:color w:val="000000" w:themeColor="text1"/>
                <w:sz w:val="20"/>
                <w:szCs w:val="20"/>
              </w:rPr>
              <w:t>Dr R Jaggs-Fowler</w:t>
            </w:r>
            <w:r>
              <w:rPr>
                <w:b/>
                <w:color w:val="FF0000"/>
                <w:sz w:val="20"/>
                <w:szCs w:val="20"/>
              </w:rPr>
              <w:t xml:space="preserve"> </w:t>
            </w:r>
          </w:p>
        </w:tc>
        <w:tc>
          <w:tcPr>
            <w:tcW w:w="281" w:type="dxa"/>
            <w:tcBorders>
              <w:top w:val="nil"/>
              <w:left w:val="single" w:sz="4" w:space="0" w:color="auto"/>
              <w:bottom w:val="nil"/>
              <w:right w:val="single" w:sz="4" w:space="0" w:color="auto"/>
            </w:tcBorders>
          </w:tcPr>
          <w:p w:rsidR="004D711F" w:rsidRDefault="004D711F">
            <w:pPr>
              <w:rPr>
                <w:sz w:val="20"/>
                <w:szCs w:val="20"/>
              </w:rPr>
            </w:pPr>
          </w:p>
        </w:tc>
        <w:tc>
          <w:tcPr>
            <w:tcW w:w="4727" w:type="dxa"/>
            <w:tcBorders>
              <w:top w:val="nil"/>
              <w:left w:val="single" w:sz="4" w:space="0" w:color="auto"/>
              <w:bottom w:val="single" w:sz="4" w:space="0" w:color="auto"/>
              <w:right w:val="single" w:sz="4" w:space="0" w:color="auto"/>
            </w:tcBorders>
          </w:tcPr>
          <w:p w:rsidR="004D711F" w:rsidRDefault="004D711F">
            <w:pPr>
              <w:rPr>
                <w:sz w:val="20"/>
                <w:szCs w:val="20"/>
              </w:rPr>
            </w:pPr>
          </w:p>
        </w:tc>
      </w:tr>
    </w:tbl>
    <w:p w:rsidR="004D711F" w:rsidRDefault="004D711F" w:rsidP="004D711F">
      <w:pPr>
        <w:rPr>
          <w:sz w:val="20"/>
          <w:szCs w:val="20"/>
        </w:rPr>
      </w:pPr>
    </w:p>
    <w:tbl>
      <w:tblPr>
        <w:tblStyle w:val="TableGrid"/>
        <w:tblW w:w="0" w:type="auto"/>
        <w:tblLook w:val="04A0" w:firstRow="1" w:lastRow="0" w:firstColumn="1" w:lastColumn="0" w:noHBand="0" w:noVBand="1"/>
      </w:tblPr>
      <w:tblGrid>
        <w:gridCol w:w="3892"/>
        <w:gridCol w:w="535"/>
        <w:gridCol w:w="3860"/>
        <w:gridCol w:w="955"/>
      </w:tblGrid>
      <w:tr w:rsidR="004D711F" w:rsidTr="004D711F">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711F" w:rsidRDefault="004D711F">
            <w:pPr>
              <w:jc w:val="both"/>
              <w:rPr>
                <w:b/>
                <w:sz w:val="20"/>
                <w:szCs w:val="20"/>
              </w:rPr>
            </w:pPr>
            <w:r>
              <w:rPr>
                <w:b/>
                <w:sz w:val="20"/>
                <w:szCs w:val="20"/>
              </w:rPr>
              <w:t>Continue to improve the quality of services</w:t>
            </w:r>
          </w:p>
          <w:p w:rsidR="004D711F" w:rsidRDefault="004D711F">
            <w:pPr>
              <w:jc w:val="both"/>
              <w:rPr>
                <w:b/>
                <w:sz w:val="20"/>
                <w:szCs w:val="20"/>
              </w:rPr>
            </w:pPr>
          </w:p>
        </w:tc>
        <w:sdt>
          <w:sdtPr>
            <w:rPr>
              <w:rFonts w:cstheme="minorHAnsi"/>
              <w:sz w:val="20"/>
              <w:szCs w:val="20"/>
            </w:rPr>
            <w:id w:val="2128189546"/>
            <w14:checkbox>
              <w14:checked w14:val="1"/>
              <w14:checkedState w14:val="2612" w14:font="MS Gothic"/>
              <w14:uncheckedState w14:val="2610" w14:font="MS Gothic"/>
            </w14:checkbox>
          </w:sdtPr>
          <w:sdtEndPr/>
          <w:sdtContent>
            <w:tc>
              <w:tcPr>
                <w:tcW w:w="543" w:type="dxa"/>
                <w:tcBorders>
                  <w:top w:val="single" w:sz="4" w:space="0" w:color="auto"/>
                  <w:left w:val="single" w:sz="4" w:space="0" w:color="auto"/>
                  <w:bottom w:val="single" w:sz="4" w:space="0" w:color="auto"/>
                  <w:right w:val="single" w:sz="4" w:space="0" w:color="auto"/>
                </w:tcBorders>
                <w:hideMark/>
              </w:tcPr>
              <w:p w:rsidR="004D711F" w:rsidRDefault="004D711F">
                <w:pPr>
                  <w:jc w:val="center"/>
                  <w:rPr>
                    <w:rFonts w:cstheme="minorHAnsi"/>
                    <w:sz w:val="20"/>
                    <w:szCs w:val="20"/>
                  </w:rPr>
                </w:pPr>
                <w:r>
                  <w:rPr>
                    <w:rFonts w:ascii="MS Gothic" w:eastAsia="MS Gothic" w:hAnsi="MS Gothic" w:cstheme="minorHAnsi" w:hint="eastAsia"/>
                    <w:sz w:val="20"/>
                    <w:szCs w:val="20"/>
                  </w:rPr>
                  <w:t>☒</w:t>
                </w:r>
              </w:p>
            </w:tc>
          </w:sdtContent>
        </w:sdt>
        <w:tc>
          <w:tcPr>
            <w:tcW w:w="3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711F" w:rsidRDefault="004D711F">
            <w:pPr>
              <w:jc w:val="both"/>
              <w:rPr>
                <w:b/>
                <w:sz w:val="20"/>
                <w:szCs w:val="20"/>
              </w:rPr>
            </w:pPr>
            <w:r>
              <w:rPr>
                <w:b/>
                <w:sz w:val="20"/>
                <w:szCs w:val="20"/>
              </w:rPr>
              <w:t>Improve patient experience</w:t>
            </w:r>
          </w:p>
          <w:p w:rsidR="004D711F" w:rsidRDefault="004D711F">
            <w:pPr>
              <w:jc w:val="both"/>
              <w:rPr>
                <w:b/>
                <w:sz w:val="20"/>
                <w:szCs w:val="20"/>
              </w:rPr>
            </w:pPr>
          </w:p>
        </w:tc>
        <w:sdt>
          <w:sdtPr>
            <w:rPr>
              <w:rFonts w:cstheme="minorHAnsi"/>
              <w:sz w:val="20"/>
              <w:szCs w:val="20"/>
            </w:rPr>
            <w:id w:val="1890294123"/>
            <w14:checkbox>
              <w14:checked w14:val="1"/>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hideMark/>
              </w:tcPr>
              <w:p w:rsidR="004D711F" w:rsidRDefault="004D711F">
                <w:pPr>
                  <w:jc w:val="center"/>
                  <w:rPr>
                    <w:rFonts w:cstheme="minorHAnsi"/>
                    <w:sz w:val="20"/>
                    <w:szCs w:val="20"/>
                  </w:rPr>
                </w:pPr>
                <w:r>
                  <w:rPr>
                    <w:rFonts w:ascii="MS Gothic" w:eastAsia="MS Gothic" w:hAnsi="MS Gothic" w:cstheme="minorHAnsi" w:hint="eastAsia"/>
                    <w:sz w:val="20"/>
                    <w:szCs w:val="20"/>
                    <w:lang w:val="en-US"/>
                  </w:rPr>
                  <w:t>☒</w:t>
                </w:r>
              </w:p>
            </w:tc>
          </w:sdtContent>
        </w:sdt>
      </w:tr>
      <w:tr w:rsidR="004D711F" w:rsidTr="004D711F">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jc w:val="both"/>
              <w:rPr>
                <w:b/>
                <w:sz w:val="20"/>
                <w:szCs w:val="20"/>
              </w:rPr>
            </w:pPr>
            <w:r>
              <w:rPr>
                <w:b/>
                <w:sz w:val="20"/>
                <w:szCs w:val="20"/>
              </w:rPr>
              <w:t>Reduced unwarranted variations in services</w:t>
            </w:r>
          </w:p>
        </w:tc>
        <w:sdt>
          <w:sdtPr>
            <w:rPr>
              <w:rFonts w:cstheme="minorHAnsi"/>
              <w:sz w:val="20"/>
              <w:szCs w:val="20"/>
            </w:rPr>
            <w:id w:val="1518507616"/>
            <w14:checkbox>
              <w14:checked w14:val="1"/>
              <w14:checkedState w14:val="2612" w14:font="MS Gothic"/>
              <w14:uncheckedState w14:val="2610" w14:font="MS Gothic"/>
            </w14:checkbox>
          </w:sdtPr>
          <w:sdtEndPr/>
          <w:sdtContent>
            <w:tc>
              <w:tcPr>
                <w:tcW w:w="543" w:type="dxa"/>
                <w:tcBorders>
                  <w:top w:val="single" w:sz="4" w:space="0" w:color="auto"/>
                  <w:left w:val="single" w:sz="4" w:space="0" w:color="auto"/>
                  <w:bottom w:val="single" w:sz="4" w:space="0" w:color="auto"/>
                  <w:right w:val="single" w:sz="4" w:space="0" w:color="auto"/>
                </w:tcBorders>
                <w:hideMark/>
              </w:tcPr>
              <w:p w:rsidR="004D711F" w:rsidRDefault="004D711F">
                <w:pPr>
                  <w:jc w:val="center"/>
                  <w:rPr>
                    <w:rFonts w:cstheme="minorHAnsi"/>
                    <w:sz w:val="20"/>
                    <w:szCs w:val="20"/>
                  </w:rPr>
                </w:pPr>
                <w:r>
                  <w:rPr>
                    <w:rFonts w:ascii="MS Gothic" w:eastAsia="MS Gothic" w:hAnsi="MS Gothic" w:cstheme="minorHAnsi" w:hint="eastAsia"/>
                    <w:sz w:val="20"/>
                    <w:szCs w:val="20"/>
                    <w:lang w:val="en-US"/>
                  </w:rPr>
                  <w:t>☒</w:t>
                </w:r>
              </w:p>
            </w:tc>
          </w:sdtContent>
        </w:sdt>
        <w:tc>
          <w:tcPr>
            <w:tcW w:w="3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jc w:val="both"/>
              <w:rPr>
                <w:b/>
                <w:sz w:val="20"/>
                <w:szCs w:val="20"/>
              </w:rPr>
            </w:pPr>
            <w:r>
              <w:rPr>
                <w:b/>
                <w:sz w:val="20"/>
                <w:szCs w:val="20"/>
              </w:rPr>
              <w:t>Reduce the inequalities gap in North Lincolnshire</w:t>
            </w:r>
          </w:p>
        </w:tc>
        <w:sdt>
          <w:sdtPr>
            <w:rPr>
              <w:rFonts w:cstheme="minorHAnsi"/>
              <w:sz w:val="20"/>
              <w:szCs w:val="20"/>
            </w:rPr>
            <w:id w:val="1707679329"/>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hideMark/>
              </w:tcPr>
              <w:p w:rsidR="004D711F" w:rsidRDefault="004D711F">
                <w:pPr>
                  <w:jc w:val="center"/>
                  <w:rPr>
                    <w:rFonts w:cstheme="minorHAnsi"/>
                    <w:sz w:val="20"/>
                    <w:szCs w:val="20"/>
                  </w:rPr>
                </w:pPr>
                <w:r>
                  <w:rPr>
                    <w:rFonts w:ascii="MS Gothic" w:eastAsia="MS Gothic" w:hAnsi="MS Gothic" w:cs="MS Gothic" w:hint="eastAsia"/>
                    <w:sz w:val="20"/>
                    <w:szCs w:val="20"/>
                    <w:lang w:val="en-US"/>
                  </w:rPr>
                  <w:t>☐</w:t>
                </w:r>
              </w:p>
            </w:tc>
          </w:sdtContent>
        </w:sdt>
      </w:tr>
      <w:tr w:rsidR="004D711F" w:rsidTr="004D711F">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711F" w:rsidRDefault="004D711F">
            <w:pPr>
              <w:jc w:val="both"/>
              <w:rPr>
                <w:b/>
                <w:sz w:val="20"/>
                <w:szCs w:val="20"/>
              </w:rPr>
            </w:pPr>
            <w:r>
              <w:rPr>
                <w:b/>
                <w:sz w:val="20"/>
                <w:szCs w:val="20"/>
              </w:rPr>
              <w:t>Deliver the best outcomes for every patient</w:t>
            </w:r>
          </w:p>
          <w:p w:rsidR="004D711F" w:rsidRDefault="004D711F">
            <w:pPr>
              <w:jc w:val="both"/>
              <w:rPr>
                <w:b/>
                <w:sz w:val="20"/>
                <w:szCs w:val="20"/>
              </w:rPr>
            </w:pPr>
          </w:p>
        </w:tc>
        <w:sdt>
          <w:sdtPr>
            <w:rPr>
              <w:rFonts w:cstheme="minorHAnsi"/>
              <w:sz w:val="20"/>
              <w:szCs w:val="20"/>
            </w:rPr>
            <w:id w:val="-764143519"/>
            <w14:checkbox>
              <w14:checked w14:val="1"/>
              <w14:checkedState w14:val="2612" w14:font="MS Gothic"/>
              <w14:uncheckedState w14:val="2610" w14:font="MS Gothic"/>
            </w14:checkbox>
          </w:sdtPr>
          <w:sdtEndPr/>
          <w:sdtContent>
            <w:tc>
              <w:tcPr>
                <w:tcW w:w="543" w:type="dxa"/>
                <w:tcBorders>
                  <w:top w:val="single" w:sz="4" w:space="0" w:color="auto"/>
                  <w:left w:val="single" w:sz="4" w:space="0" w:color="auto"/>
                  <w:bottom w:val="single" w:sz="4" w:space="0" w:color="auto"/>
                  <w:right w:val="single" w:sz="4" w:space="0" w:color="auto"/>
                </w:tcBorders>
                <w:hideMark/>
              </w:tcPr>
              <w:p w:rsidR="004D711F" w:rsidRDefault="004D711F">
                <w:pPr>
                  <w:jc w:val="center"/>
                  <w:rPr>
                    <w:rFonts w:cstheme="minorHAnsi"/>
                    <w:sz w:val="20"/>
                    <w:szCs w:val="20"/>
                  </w:rPr>
                </w:pPr>
                <w:r>
                  <w:rPr>
                    <w:rFonts w:ascii="MS Gothic" w:eastAsia="MS Gothic" w:hAnsi="MS Gothic" w:cstheme="minorHAnsi" w:hint="eastAsia"/>
                    <w:sz w:val="20"/>
                    <w:szCs w:val="20"/>
                    <w:lang w:val="en-US"/>
                  </w:rPr>
                  <w:t>☒</w:t>
                </w:r>
              </w:p>
            </w:tc>
          </w:sdtContent>
        </w:sdt>
        <w:tc>
          <w:tcPr>
            <w:tcW w:w="3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711F" w:rsidRDefault="004D711F">
            <w:pPr>
              <w:jc w:val="both"/>
              <w:rPr>
                <w:b/>
                <w:sz w:val="20"/>
                <w:szCs w:val="20"/>
              </w:rPr>
            </w:pPr>
            <w:r>
              <w:rPr>
                <w:b/>
                <w:sz w:val="20"/>
                <w:szCs w:val="20"/>
              </w:rPr>
              <w:t>Statutory/Regulatory</w:t>
            </w:r>
          </w:p>
          <w:p w:rsidR="004D711F" w:rsidRDefault="004D711F">
            <w:pPr>
              <w:jc w:val="both"/>
              <w:rPr>
                <w:b/>
                <w:sz w:val="20"/>
                <w:szCs w:val="20"/>
              </w:rPr>
            </w:pPr>
          </w:p>
        </w:tc>
        <w:sdt>
          <w:sdtPr>
            <w:rPr>
              <w:rFonts w:cstheme="minorHAnsi"/>
              <w:sz w:val="20"/>
              <w:szCs w:val="20"/>
            </w:rPr>
            <w:id w:val="-1334457037"/>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hideMark/>
              </w:tcPr>
              <w:p w:rsidR="004D711F" w:rsidRDefault="004D711F">
                <w:pPr>
                  <w:jc w:val="center"/>
                  <w:rPr>
                    <w:rFonts w:cstheme="minorHAnsi"/>
                    <w:sz w:val="20"/>
                    <w:szCs w:val="20"/>
                  </w:rPr>
                </w:pPr>
                <w:r>
                  <w:rPr>
                    <w:rFonts w:ascii="MS Gothic" w:eastAsia="MS Gothic" w:hAnsi="MS Gothic" w:cs="MS Gothic" w:hint="eastAsia"/>
                    <w:sz w:val="20"/>
                    <w:szCs w:val="20"/>
                    <w:lang w:val="en-US"/>
                  </w:rPr>
                  <w:t>☐</w:t>
                </w:r>
              </w:p>
            </w:tc>
          </w:sdtContent>
        </w:sdt>
      </w:tr>
    </w:tbl>
    <w:p w:rsidR="004D711F" w:rsidRDefault="004D711F" w:rsidP="004D711F">
      <w:pPr>
        <w:rPr>
          <w:sz w:val="20"/>
          <w:szCs w:val="20"/>
        </w:rPr>
      </w:pPr>
    </w:p>
    <w:tbl>
      <w:tblPr>
        <w:tblStyle w:val="TableGrid"/>
        <w:tblW w:w="0" w:type="auto"/>
        <w:tblLook w:val="04A0" w:firstRow="1" w:lastRow="0" w:firstColumn="1" w:lastColumn="0" w:noHBand="0" w:noVBand="1"/>
      </w:tblPr>
      <w:tblGrid>
        <w:gridCol w:w="9242"/>
      </w:tblGrid>
      <w:tr w:rsidR="004D711F" w:rsidTr="004D711F">
        <w:tc>
          <w:tcPr>
            <w:tcW w:w="9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rPr>
                <w:b/>
                <w:sz w:val="20"/>
                <w:szCs w:val="20"/>
              </w:rPr>
            </w:pPr>
            <w:r>
              <w:rPr>
                <w:b/>
                <w:sz w:val="20"/>
                <w:szCs w:val="20"/>
              </w:rPr>
              <w:t>Executive Summary (Question, Options, Recommendations):</w:t>
            </w:r>
          </w:p>
        </w:tc>
      </w:tr>
      <w:tr w:rsidR="004D711F" w:rsidTr="004D711F">
        <w:tc>
          <w:tcPr>
            <w:tcW w:w="9606" w:type="dxa"/>
            <w:tcBorders>
              <w:top w:val="single" w:sz="4" w:space="0" w:color="auto"/>
              <w:left w:val="single" w:sz="4" w:space="0" w:color="auto"/>
              <w:bottom w:val="single" w:sz="4" w:space="0" w:color="auto"/>
              <w:right w:val="single" w:sz="4" w:space="0" w:color="auto"/>
            </w:tcBorders>
          </w:tcPr>
          <w:p w:rsidR="00137577" w:rsidRDefault="00137577" w:rsidP="004D711F">
            <w:pPr>
              <w:rPr>
                <w:sz w:val="20"/>
                <w:szCs w:val="20"/>
              </w:rPr>
            </w:pPr>
          </w:p>
          <w:p w:rsidR="004D711F" w:rsidRDefault="004D711F" w:rsidP="004D711F">
            <w:pPr>
              <w:rPr>
                <w:sz w:val="20"/>
                <w:szCs w:val="20"/>
              </w:rPr>
            </w:pPr>
            <w:r>
              <w:rPr>
                <w:sz w:val="20"/>
                <w:szCs w:val="20"/>
              </w:rPr>
              <w:t xml:space="preserve">There </w:t>
            </w:r>
            <w:r w:rsidR="00137577">
              <w:rPr>
                <w:sz w:val="20"/>
                <w:szCs w:val="20"/>
              </w:rPr>
              <w:t>have</w:t>
            </w:r>
            <w:r>
              <w:rPr>
                <w:sz w:val="20"/>
                <w:szCs w:val="20"/>
              </w:rPr>
              <w:t xml:space="preserve"> been some updates to data provided within the re-formatted Dashboard since the last JCC meeting.  These include:</w:t>
            </w:r>
          </w:p>
          <w:p w:rsidR="004D711F" w:rsidRPr="004D711F" w:rsidRDefault="004D711F" w:rsidP="004D711F">
            <w:pPr>
              <w:pStyle w:val="ListParagraph"/>
              <w:numPr>
                <w:ilvl w:val="0"/>
                <w:numId w:val="7"/>
              </w:numPr>
              <w:rPr>
                <w:sz w:val="20"/>
                <w:szCs w:val="20"/>
              </w:rPr>
            </w:pPr>
            <w:r w:rsidRPr="004D711F">
              <w:rPr>
                <w:sz w:val="20"/>
                <w:szCs w:val="20"/>
              </w:rPr>
              <w:t xml:space="preserve">F&amp;F Test and GP survey.  The accompanying narrative reflects the changes.  </w:t>
            </w:r>
          </w:p>
          <w:p w:rsidR="004D711F" w:rsidRDefault="004D711F" w:rsidP="004D711F">
            <w:pPr>
              <w:pStyle w:val="ListParagraph"/>
              <w:numPr>
                <w:ilvl w:val="0"/>
                <w:numId w:val="7"/>
              </w:numPr>
              <w:rPr>
                <w:sz w:val="20"/>
                <w:szCs w:val="20"/>
              </w:rPr>
            </w:pPr>
            <w:r w:rsidRPr="004D711F">
              <w:rPr>
                <w:sz w:val="20"/>
                <w:szCs w:val="20"/>
              </w:rPr>
              <w:t xml:space="preserve">GP incident reports on the QIR form.  Narrative gives overview of this update.  </w:t>
            </w:r>
          </w:p>
          <w:p w:rsidR="003941FE" w:rsidRPr="004D711F" w:rsidRDefault="003941FE" w:rsidP="004D711F">
            <w:pPr>
              <w:pStyle w:val="ListParagraph"/>
              <w:numPr>
                <w:ilvl w:val="0"/>
                <w:numId w:val="7"/>
              </w:numPr>
              <w:rPr>
                <w:sz w:val="20"/>
                <w:szCs w:val="20"/>
              </w:rPr>
            </w:pPr>
            <w:r>
              <w:rPr>
                <w:sz w:val="20"/>
                <w:szCs w:val="20"/>
              </w:rPr>
              <w:t>We have also added Patient Online registration tables for Prescribing and Appointments – with an update to the narrative included.</w:t>
            </w:r>
          </w:p>
          <w:p w:rsidR="00C47CEE" w:rsidRDefault="004D711F" w:rsidP="004D711F">
            <w:pPr>
              <w:rPr>
                <w:sz w:val="20"/>
                <w:szCs w:val="20"/>
              </w:rPr>
            </w:pPr>
            <w:r>
              <w:rPr>
                <w:sz w:val="20"/>
                <w:szCs w:val="20"/>
              </w:rPr>
              <w:t>Also a</w:t>
            </w:r>
            <w:r w:rsidRPr="004D711F">
              <w:rPr>
                <w:sz w:val="20"/>
                <w:szCs w:val="20"/>
              </w:rPr>
              <w:t>ttached is an outline page of the</w:t>
            </w:r>
            <w:r w:rsidR="00BC2B8A">
              <w:rPr>
                <w:sz w:val="20"/>
                <w:szCs w:val="20"/>
              </w:rPr>
              <w:t xml:space="preserve"> GP practice level</w:t>
            </w:r>
            <w:r w:rsidRPr="004D711F">
              <w:rPr>
                <w:sz w:val="20"/>
                <w:szCs w:val="20"/>
              </w:rPr>
              <w:t xml:space="preserve"> quality monitoring dashboard </w:t>
            </w:r>
            <w:r w:rsidR="00BC2B8A">
              <w:rPr>
                <w:sz w:val="20"/>
                <w:szCs w:val="20"/>
              </w:rPr>
              <w:t>(format adopted from Hull version identified as good practice</w:t>
            </w:r>
            <w:r w:rsidRPr="004D711F">
              <w:rPr>
                <w:sz w:val="20"/>
                <w:szCs w:val="20"/>
              </w:rPr>
              <w:t>).</w:t>
            </w:r>
            <w:r w:rsidR="00BC2B8A">
              <w:rPr>
                <w:sz w:val="20"/>
                <w:szCs w:val="20"/>
              </w:rPr>
              <w:t xml:space="preserve">  Request was made </w:t>
            </w:r>
            <w:r w:rsidR="00C178A7">
              <w:rPr>
                <w:sz w:val="20"/>
                <w:szCs w:val="20"/>
              </w:rPr>
              <w:t xml:space="preserve">not to share the data included.  </w:t>
            </w:r>
          </w:p>
          <w:p w:rsidR="004D711F" w:rsidRDefault="004D711F" w:rsidP="004D711F">
            <w:pPr>
              <w:rPr>
                <w:sz w:val="20"/>
                <w:szCs w:val="20"/>
              </w:rPr>
            </w:pPr>
            <w:r>
              <w:rPr>
                <w:sz w:val="20"/>
                <w:szCs w:val="20"/>
              </w:rPr>
              <w:t>B</w:t>
            </w:r>
            <w:r w:rsidR="00C47CEE">
              <w:rPr>
                <w:sz w:val="20"/>
                <w:szCs w:val="20"/>
              </w:rPr>
              <w:t xml:space="preserve">usiness </w:t>
            </w:r>
            <w:r>
              <w:rPr>
                <w:sz w:val="20"/>
                <w:szCs w:val="20"/>
              </w:rPr>
              <w:t>I</w:t>
            </w:r>
            <w:r w:rsidR="00C47CEE">
              <w:rPr>
                <w:sz w:val="20"/>
                <w:szCs w:val="20"/>
              </w:rPr>
              <w:t>ntelligence</w:t>
            </w:r>
            <w:r>
              <w:rPr>
                <w:sz w:val="20"/>
                <w:szCs w:val="20"/>
              </w:rPr>
              <w:t xml:space="preserve"> and P</w:t>
            </w:r>
            <w:r w:rsidR="00C47CEE">
              <w:rPr>
                <w:sz w:val="20"/>
                <w:szCs w:val="20"/>
              </w:rPr>
              <w:t xml:space="preserve">rimary </w:t>
            </w:r>
            <w:r>
              <w:rPr>
                <w:sz w:val="20"/>
                <w:szCs w:val="20"/>
              </w:rPr>
              <w:t>C</w:t>
            </w:r>
            <w:r w:rsidR="00C47CEE">
              <w:rPr>
                <w:sz w:val="20"/>
                <w:szCs w:val="20"/>
              </w:rPr>
              <w:t>are</w:t>
            </w:r>
            <w:r>
              <w:rPr>
                <w:sz w:val="20"/>
                <w:szCs w:val="20"/>
              </w:rPr>
              <w:t xml:space="preserve"> have </w:t>
            </w:r>
            <w:r w:rsidR="00C178A7">
              <w:rPr>
                <w:sz w:val="20"/>
                <w:szCs w:val="20"/>
              </w:rPr>
              <w:t>adopted</w:t>
            </w:r>
            <w:r>
              <w:rPr>
                <w:sz w:val="20"/>
                <w:szCs w:val="20"/>
              </w:rPr>
              <w:t xml:space="preserve"> the format</w:t>
            </w:r>
            <w:r w:rsidR="00C178A7">
              <w:rPr>
                <w:sz w:val="20"/>
                <w:szCs w:val="20"/>
              </w:rPr>
              <w:t xml:space="preserve"> provided,</w:t>
            </w:r>
            <w:r w:rsidR="00BC2B8A">
              <w:rPr>
                <w:sz w:val="20"/>
                <w:szCs w:val="20"/>
              </w:rPr>
              <w:t xml:space="preserve"> and populated some of the data fields,</w:t>
            </w:r>
            <w:r>
              <w:rPr>
                <w:sz w:val="20"/>
                <w:szCs w:val="20"/>
              </w:rPr>
              <w:t xml:space="preserve"> acknowledging there needs to be further work</w:t>
            </w:r>
            <w:r w:rsidRPr="004D711F">
              <w:rPr>
                <w:sz w:val="20"/>
                <w:szCs w:val="20"/>
              </w:rPr>
              <w:t xml:space="preserve"> </w:t>
            </w:r>
            <w:r>
              <w:rPr>
                <w:sz w:val="20"/>
                <w:szCs w:val="20"/>
              </w:rPr>
              <w:t xml:space="preserve">to establish appropriate data sources and quality once the JCC have agreed </w:t>
            </w:r>
            <w:r w:rsidR="00137577">
              <w:rPr>
                <w:sz w:val="20"/>
                <w:szCs w:val="20"/>
              </w:rPr>
              <w:t>to this format/content.</w:t>
            </w:r>
          </w:p>
          <w:p w:rsidR="004D711F" w:rsidRPr="004D711F" w:rsidRDefault="004D711F" w:rsidP="00137577">
            <w:pPr>
              <w:rPr>
                <w:sz w:val="20"/>
                <w:szCs w:val="20"/>
              </w:rPr>
            </w:pPr>
          </w:p>
        </w:tc>
      </w:tr>
    </w:tbl>
    <w:p w:rsidR="004D711F" w:rsidRDefault="004D711F" w:rsidP="004D711F">
      <w:pPr>
        <w:rPr>
          <w:sz w:val="20"/>
          <w:szCs w:val="20"/>
        </w:rPr>
      </w:pPr>
    </w:p>
    <w:tbl>
      <w:tblPr>
        <w:tblStyle w:val="TableGrid"/>
        <w:tblW w:w="0" w:type="auto"/>
        <w:tblLook w:val="04A0" w:firstRow="1" w:lastRow="0" w:firstColumn="1" w:lastColumn="0" w:noHBand="0" w:noVBand="1"/>
      </w:tblPr>
      <w:tblGrid>
        <w:gridCol w:w="1786"/>
        <w:gridCol w:w="1913"/>
        <w:gridCol w:w="5543"/>
      </w:tblGrid>
      <w:tr w:rsidR="004D711F" w:rsidTr="004D711F">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rPr>
                <w:b/>
                <w:sz w:val="20"/>
                <w:szCs w:val="20"/>
              </w:rPr>
            </w:pPr>
            <w:r>
              <w:rPr>
                <w:b/>
                <w:sz w:val="20"/>
                <w:szCs w:val="20"/>
              </w:rPr>
              <w:t>Equality Impact</w:t>
            </w:r>
          </w:p>
        </w:tc>
        <w:tc>
          <w:tcPr>
            <w:tcW w:w="1985" w:type="dxa"/>
            <w:tcBorders>
              <w:top w:val="single" w:sz="4" w:space="0" w:color="auto"/>
              <w:left w:val="single" w:sz="4" w:space="0" w:color="auto"/>
              <w:bottom w:val="single" w:sz="4" w:space="0" w:color="auto"/>
              <w:right w:val="single" w:sz="4" w:space="0" w:color="auto"/>
            </w:tcBorders>
            <w:hideMark/>
          </w:tcPr>
          <w:p w:rsidR="004D711F" w:rsidRDefault="004D711F">
            <w:pPr>
              <w:jc w:val="center"/>
              <w:rPr>
                <w:rFonts w:cstheme="minorHAnsi"/>
                <w:sz w:val="20"/>
                <w:szCs w:val="20"/>
              </w:rPr>
            </w:pPr>
            <w:r>
              <w:rPr>
                <w:rFonts w:cstheme="minorHAnsi"/>
                <w:sz w:val="20"/>
                <w:szCs w:val="20"/>
              </w:rPr>
              <w:t xml:space="preserve">Yes </w:t>
            </w:r>
            <w:sdt>
              <w:sdtPr>
                <w:rPr>
                  <w:rFonts w:cstheme="minorHAnsi"/>
                  <w:sz w:val="20"/>
                  <w:szCs w:val="20"/>
                </w:rPr>
                <w:id w:val="132546370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lang w:val="en-US"/>
                  </w:rPr>
                  <w:t>☐</w:t>
                </w:r>
              </w:sdtContent>
            </w:sdt>
            <w:r>
              <w:rPr>
                <w:rFonts w:cstheme="minorHAnsi"/>
                <w:sz w:val="20"/>
                <w:szCs w:val="20"/>
              </w:rPr>
              <w:t xml:space="preserve">     No </w:t>
            </w:r>
            <w:sdt>
              <w:sdtPr>
                <w:rPr>
                  <w:rFonts w:cstheme="minorHAnsi"/>
                  <w:sz w:val="20"/>
                  <w:szCs w:val="20"/>
                </w:rPr>
                <w:id w:val="-1369137389"/>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lang w:val="en-US"/>
                  </w:rPr>
                  <w:t>☒</w:t>
                </w:r>
              </w:sdtContent>
            </w:sdt>
          </w:p>
        </w:tc>
        <w:tc>
          <w:tcPr>
            <w:tcW w:w="5812" w:type="dxa"/>
            <w:tcBorders>
              <w:top w:val="single" w:sz="4" w:space="0" w:color="auto"/>
              <w:left w:val="single" w:sz="4" w:space="0" w:color="auto"/>
              <w:bottom w:val="single" w:sz="4" w:space="0" w:color="auto"/>
              <w:right w:val="single" w:sz="4" w:space="0" w:color="auto"/>
            </w:tcBorders>
          </w:tcPr>
          <w:p w:rsidR="004D711F" w:rsidRDefault="004D711F">
            <w:pPr>
              <w:rPr>
                <w:sz w:val="20"/>
                <w:szCs w:val="20"/>
              </w:rPr>
            </w:pPr>
          </w:p>
        </w:tc>
      </w:tr>
      <w:tr w:rsidR="004D711F" w:rsidTr="004D711F">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rPr>
                <w:b/>
                <w:sz w:val="20"/>
                <w:szCs w:val="20"/>
              </w:rPr>
            </w:pPr>
            <w:r>
              <w:rPr>
                <w:b/>
                <w:sz w:val="20"/>
                <w:szCs w:val="20"/>
              </w:rPr>
              <w:t>Sustainability</w:t>
            </w:r>
          </w:p>
        </w:tc>
        <w:tc>
          <w:tcPr>
            <w:tcW w:w="1985" w:type="dxa"/>
            <w:tcBorders>
              <w:top w:val="single" w:sz="4" w:space="0" w:color="auto"/>
              <w:left w:val="single" w:sz="4" w:space="0" w:color="auto"/>
              <w:bottom w:val="single" w:sz="4" w:space="0" w:color="auto"/>
              <w:right w:val="single" w:sz="4" w:space="0" w:color="auto"/>
            </w:tcBorders>
            <w:hideMark/>
          </w:tcPr>
          <w:p w:rsidR="004D711F" w:rsidRDefault="004D711F">
            <w:pPr>
              <w:jc w:val="center"/>
              <w:rPr>
                <w:rFonts w:cstheme="minorHAnsi"/>
                <w:sz w:val="20"/>
                <w:szCs w:val="20"/>
              </w:rPr>
            </w:pPr>
            <w:r>
              <w:rPr>
                <w:rFonts w:cstheme="minorHAnsi"/>
                <w:sz w:val="20"/>
                <w:szCs w:val="20"/>
              </w:rPr>
              <w:t xml:space="preserve">Yes </w:t>
            </w:r>
            <w:sdt>
              <w:sdtPr>
                <w:rPr>
                  <w:rFonts w:cstheme="minorHAnsi"/>
                  <w:sz w:val="20"/>
                  <w:szCs w:val="20"/>
                </w:rPr>
                <w:id w:val="49060653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lang w:val="en-US"/>
                  </w:rPr>
                  <w:t>☐</w:t>
                </w:r>
              </w:sdtContent>
            </w:sdt>
            <w:r>
              <w:rPr>
                <w:rFonts w:cstheme="minorHAnsi"/>
                <w:sz w:val="20"/>
                <w:szCs w:val="20"/>
              </w:rPr>
              <w:t xml:space="preserve">     No </w:t>
            </w:r>
            <w:sdt>
              <w:sdtPr>
                <w:rPr>
                  <w:rFonts w:cstheme="minorHAnsi"/>
                  <w:sz w:val="20"/>
                  <w:szCs w:val="20"/>
                </w:rPr>
                <w:id w:val="1566219849"/>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lang w:val="en-US"/>
                  </w:rPr>
                  <w:t>☒</w:t>
                </w:r>
              </w:sdtContent>
            </w:sdt>
          </w:p>
        </w:tc>
        <w:tc>
          <w:tcPr>
            <w:tcW w:w="5812" w:type="dxa"/>
            <w:tcBorders>
              <w:top w:val="single" w:sz="4" w:space="0" w:color="auto"/>
              <w:left w:val="single" w:sz="4" w:space="0" w:color="auto"/>
              <w:bottom w:val="single" w:sz="4" w:space="0" w:color="auto"/>
              <w:right w:val="single" w:sz="4" w:space="0" w:color="auto"/>
            </w:tcBorders>
          </w:tcPr>
          <w:p w:rsidR="004D711F" w:rsidRDefault="004D711F">
            <w:pPr>
              <w:rPr>
                <w:sz w:val="20"/>
                <w:szCs w:val="20"/>
              </w:rPr>
            </w:pPr>
          </w:p>
        </w:tc>
      </w:tr>
      <w:tr w:rsidR="004D711F" w:rsidTr="004D711F">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rPr>
                <w:b/>
                <w:sz w:val="20"/>
                <w:szCs w:val="20"/>
              </w:rPr>
            </w:pPr>
            <w:r>
              <w:rPr>
                <w:b/>
                <w:sz w:val="20"/>
                <w:szCs w:val="20"/>
              </w:rPr>
              <w:t>Risk</w:t>
            </w:r>
          </w:p>
        </w:tc>
        <w:tc>
          <w:tcPr>
            <w:tcW w:w="1985" w:type="dxa"/>
            <w:tcBorders>
              <w:top w:val="single" w:sz="4" w:space="0" w:color="auto"/>
              <w:left w:val="single" w:sz="4" w:space="0" w:color="auto"/>
              <w:bottom w:val="single" w:sz="4" w:space="0" w:color="auto"/>
              <w:right w:val="single" w:sz="4" w:space="0" w:color="auto"/>
            </w:tcBorders>
            <w:hideMark/>
          </w:tcPr>
          <w:p w:rsidR="004D711F" w:rsidRDefault="004D711F">
            <w:pPr>
              <w:jc w:val="center"/>
              <w:rPr>
                <w:rFonts w:cstheme="minorHAnsi"/>
                <w:sz w:val="20"/>
                <w:szCs w:val="20"/>
              </w:rPr>
            </w:pPr>
            <w:r>
              <w:rPr>
                <w:rFonts w:cstheme="minorHAnsi"/>
                <w:sz w:val="20"/>
                <w:szCs w:val="20"/>
              </w:rPr>
              <w:t xml:space="preserve">Yes </w:t>
            </w:r>
            <w:sdt>
              <w:sdtPr>
                <w:rPr>
                  <w:rFonts w:cstheme="minorHAnsi"/>
                  <w:sz w:val="20"/>
                  <w:szCs w:val="20"/>
                </w:rPr>
                <w:id w:val="-1566181990"/>
                <w14:checkbox>
                  <w14:checked w14:val="0"/>
                  <w14:checkedState w14:val="2612" w14:font="MS Gothic"/>
                  <w14:uncheckedState w14:val="2610" w14:font="MS Gothic"/>
                </w14:checkbox>
              </w:sdtPr>
              <w:sdtEndPr/>
              <w:sdtContent>
                <w:r>
                  <w:rPr>
                    <w:rFonts w:ascii="MS Gothic" w:eastAsia="MS Gothic" w:hAnsi="MS Gothic" w:cs="MS Gothic" w:hint="eastAsia"/>
                    <w:sz w:val="20"/>
                    <w:szCs w:val="20"/>
                    <w:lang w:val="en-US"/>
                  </w:rPr>
                  <w:t>☐</w:t>
                </w:r>
              </w:sdtContent>
            </w:sdt>
            <w:r>
              <w:rPr>
                <w:rFonts w:cstheme="minorHAnsi"/>
                <w:sz w:val="20"/>
                <w:szCs w:val="20"/>
              </w:rPr>
              <w:t xml:space="preserve">     No </w:t>
            </w:r>
            <w:sdt>
              <w:sdtPr>
                <w:rPr>
                  <w:rFonts w:cstheme="minorHAnsi"/>
                  <w:sz w:val="20"/>
                  <w:szCs w:val="20"/>
                </w:rPr>
                <w:id w:val="729265482"/>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lang w:val="en-US"/>
                  </w:rPr>
                  <w:t>☒</w:t>
                </w:r>
              </w:sdtContent>
            </w:sdt>
          </w:p>
        </w:tc>
        <w:tc>
          <w:tcPr>
            <w:tcW w:w="5812" w:type="dxa"/>
            <w:tcBorders>
              <w:top w:val="single" w:sz="4" w:space="0" w:color="auto"/>
              <w:left w:val="single" w:sz="4" w:space="0" w:color="auto"/>
              <w:bottom w:val="single" w:sz="4" w:space="0" w:color="auto"/>
              <w:right w:val="single" w:sz="4" w:space="0" w:color="auto"/>
            </w:tcBorders>
          </w:tcPr>
          <w:p w:rsidR="004D711F" w:rsidRDefault="004D711F">
            <w:pPr>
              <w:rPr>
                <w:sz w:val="20"/>
                <w:szCs w:val="20"/>
              </w:rPr>
            </w:pPr>
          </w:p>
        </w:tc>
      </w:tr>
      <w:tr w:rsidR="004D711F" w:rsidTr="004D711F">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rPr>
                <w:b/>
                <w:sz w:val="20"/>
                <w:szCs w:val="20"/>
              </w:rPr>
            </w:pPr>
            <w:r>
              <w:rPr>
                <w:b/>
                <w:sz w:val="20"/>
                <w:szCs w:val="20"/>
              </w:rPr>
              <w:t>Legal</w:t>
            </w:r>
          </w:p>
        </w:tc>
        <w:tc>
          <w:tcPr>
            <w:tcW w:w="1985" w:type="dxa"/>
            <w:tcBorders>
              <w:top w:val="single" w:sz="4" w:space="0" w:color="auto"/>
              <w:left w:val="single" w:sz="4" w:space="0" w:color="auto"/>
              <w:bottom w:val="single" w:sz="4" w:space="0" w:color="auto"/>
              <w:right w:val="single" w:sz="4" w:space="0" w:color="auto"/>
            </w:tcBorders>
            <w:hideMark/>
          </w:tcPr>
          <w:p w:rsidR="004D711F" w:rsidRDefault="004D711F">
            <w:pPr>
              <w:jc w:val="center"/>
              <w:rPr>
                <w:rFonts w:cstheme="minorHAnsi"/>
                <w:sz w:val="20"/>
                <w:szCs w:val="20"/>
              </w:rPr>
            </w:pPr>
            <w:r>
              <w:rPr>
                <w:rFonts w:cstheme="minorHAnsi"/>
                <w:sz w:val="20"/>
                <w:szCs w:val="20"/>
              </w:rPr>
              <w:t xml:space="preserve">Yes </w:t>
            </w:r>
            <w:sdt>
              <w:sdtPr>
                <w:rPr>
                  <w:rFonts w:cstheme="minorHAnsi"/>
                  <w:sz w:val="20"/>
                  <w:szCs w:val="20"/>
                </w:rPr>
                <w:id w:val="-625626354"/>
                <w14:checkbox>
                  <w14:checked w14:val="0"/>
                  <w14:checkedState w14:val="2612" w14:font="MS Gothic"/>
                  <w14:uncheckedState w14:val="2610" w14:font="MS Gothic"/>
                </w14:checkbox>
              </w:sdtPr>
              <w:sdtEndPr/>
              <w:sdtContent>
                <w:r>
                  <w:rPr>
                    <w:rFonts w:ascii="MS Gothic" w:eastAsia="MS Gothic" w:hAnsi="MS Gothic" w:cs="MS Gothic" w:hint="eastAsia"/>
                    <w:sz w:val="20"/>
                    <w:szCs w:val="20"/>
                    <w:lang w:val="en-US"/>
                  </w:rPr>
                  <w:t>☐</w:t>
                </w:r>
              </w:sdtContent>
            </w:sdt>
            <w:r>
              <w:rPr>
                <w:rFonts w:cstheme="minorHAnsi"/>
                <w:sz w:val="20"/>
                <w:szCs w:val="20"/>
              </w:rPr>
              <w:t xml:space="preserve">     No </w:t>
            </w:r>
            <w:sdt>
              <w:sdtPr>
                <w:rPr>
                  <w:rFonts w:cstheme="minorHAnsi"/>
                  <w:sz w:val="20"/>
                  <w:szCs w:val="20"/>
                </w:rPr>
                <w:id w:val="836809263"/>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lang w:val="en-US"/>
                  </w:rPr>
                  <w:t>☒</w:t>
                </w:r>
              </w:sdtContent>
            </w:sdt>
          </w:p>
        </w:tc>
        <w:tc>
          <w:tcPr>
            <w:tcW w:w="5812" w:type="dxa"/>
            <w:tcBorders>
              <w:top w:val="single" w:sz="4" w:space="0" w:color="auto"/>
              <w:left w:val="single" w:sz="4" w:space="0" w:color="auto"/>
              <w:bottom w:val="single" w:sz="4" w:space="0" w:color="auto"/>
              <w:right w:val="single" w:sz="4" w:space="0" w:color="auto"/>
            </w:tcBorders>
          </w:tcPr>
          <w:p w:rsidR="004D711F" w:rsidRDefault="004D711F">
            <w:pPr>
              <w:rPr>
                <w:sz w:val="20"/>
                <w:szCs w:val="20"/>
              </w:rPr>
            </w:pPr>
          </w:p>
        </w:tc>
      </w:tr>
      <w:tr w:rsidR="004D711F" w:rsidTr="004D711F">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rPr>
                <w:b/>
                <w:sz w:val="20"/>
                <w:szCs w:val="20"/>
              </w:rPr>
            </w:pPr>
            <w:r>
              <w:rPr>
                <w:b/>
                <w:sz w:val="20"/>
                <w:szCs w:val="20"/>
              </w:rPr>
              <w:t>Finance</w:t>
            </w:r>
          </w:p>
        </w:tc>
        <w:tc>
          <w:tcPr>
            <w:tcW w:w="1985" w:type="dxa"/>
            <w:tcBorders>
              <w:top w:val="single" w:sz="4" w:space="0" w:color="auto"/>
              <w:left w:val="single" w:sz="4" w:space="0" w:color="auto"/>
              <w:bottom w:val="single" w:sz="4" w:space="0" w:color="auto"/>
              <w:right w:val="single" w:sz="4" w:space="0" w:color="auto"/>
            </w:tcBorders>
            <w:hideMark/>
          </w:tcPr>
          <w:p w:rsidR="004D711F" w:rsidRDefault="004D711F">
            <w:pPr>
              <w:jc w:val="center"/>
              <w:rPr>
                <w:rFonts w:cstheme="minorHAnsi"/>
                <w:sz w:val="20"/>
                <w:szCs w:val="20"/>
              </w:rPr>
            </w:pPr>
            <w:r>
              <w:rPr>
                <w:rFonts w:cstheme="minorHAnsi"/>
                <w:sz w:val="20"/>
                <w:szCs w:val="20"/>
              </w:rPr>
              <w:t xml:space="preserve">Yes </w:t>
            </w:r>
            <w:sdt>
              <w:sdtPr>
                <w:rPr>
                  <w:rFonts w:cstheme="minorHAnsi"/>
                  <w:sz w:val="20"/>
                  <w:szCs w:val="20"/>
                </w:rPr>
                <w:id w:val="1794940873"/>
                <w14:checkbox>
                  <w14:checked w14:val="0"/>
                  <w14:checkedState w14:val="2612" w14:font="MS Gothic"/>
                  <w14:uncheckedState w14:val="2610" w14:font="MS Gothic"/>
                </w14:checkbox>
              </w:sdtPr>
              <w:sdtEndPr/>
              <w:sdtContent>
                <w:r>
                  <w:rPr>
                    <w:rFonts w:ascii="MS Gothic" w:eastAsia="MS Gothic" w:hAnsi="MS Gothic" w:cs="MS Gothic" w:hint="eastAsia"/>
                    <w:sz w:val="20"/>
                    <w:szCs w:val="20"/>
                    <w:lang w:val="en-US"/>
                  </w:rPr>
                  <w:t>☐</w:t>
                </w:r>
              </w:sdtContent>
            </w:sdt>
            <w:r>
              <w:rPr>
                <w:rFonts w:cstheme="minorHAnsi"/>
                <w:sz w:val="20"/>
                <w:szCs w:val="20"/>
              </w:rPr>
              <w:t xml:space="preserve">     No </w:t>
            </w:r>
            <w:sdt>
              <w:sdtPr>
                <w:rPr>
                  <w:rFonts w:cstheme="minorHAnsi"/>
                  <w:sz w:val="20"/>
                  <w:szCs w:val="20"/>
                </w:rPr>
                <w:id w:val="-1847780146"/>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lang w:val="en-US"/>
                  </w:rPr>
                  <w:t>☒</w:t>
                </w:r>
              </w:sdtContent>
            </w:sdt>
          </w:p>
        </w:tc>
        <w:tc>
          <w:tcPr>
            <w:tcW w:w="5812" w:type="dxa"/>
            <w:tcBorders>
              <w:top w:val="single" w:sz="4" w:space="0" w:color="auto"/>
              <w:left w:val="single" w:sz="4" w:space="0" w:color="auto"/>
              <w:bottom w:val="single" w:sz="4" w:space="0" w:color="auto"/>
              <w:right w:val="single" w:sz="4" w:space="0" w:color="auto"/>
            </w:tcBorders>
          </w:tcPr>
          <w:p w:rsidR="004D711F" w:rsidRDefault="004D711F">
            <w:pPr>
              <w:rPr>
                <w:sz w:val="20"/>
                <w:szCs w:val="20"/>
              </w:rPr>
            </w:pPr>
          </w:p>
        </w:tc>
      </w:tr>
    </w:tbl>
    <w:p w:rsidR="004D711F" w:rsidRDefault="004D711F" w:rsidP="004D711F">
      <w:pPr>
        <w:rPr>
          <w:sz w:val="16"/>
          <w:szCs w:val="16"/>
        </w:rPr>
      </w:pPr>
    </w:p>
    <w:tbl>
      <w:tblPr>
        <w:tblStyle w:val="TableGrid"/>
        <w:tblW w:w="0" w:type="auto"/>
        <w:tblLook w:val="04A0" w:firstRow="1" w:lastRow="0" w:firstColumn="1" w:lastColumn="0" w:noHBand="0" w:noVBand="1"/>
      </w:tblPr>
      <w:tblGrid>
        <w:gridCol w:w="1720"/>
        <w:gridCol w:w="621"/>
        <w:gridCol w:w="609"/>
        <w:gridCol w:w="609"/>
        <w:gridCol w:w="896"/>
        <w:gridCol w:w="1772"/>
        <w:gridCol w:w="605"/>
        <w:gridCol w:w="592"/>
        <w:gridCol w:w="592"/>
        <w:gridCol w:w="1226"/>
      </w:tblGrid>
      <w:tr w:rsidR="004D711F" w:rsidTr="004D711F">
        <w:tc>
          <w:tcPr>
            <w:tcW w:w="96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jc w:val="center"/>
              <w:rPr>
                <w:i/>
                <w:sz w:val="20"/>
                <w:szCs w:val="20"/>
              </w:rPr>
            </w:pPr>
            <w:r>
              <w:rPr>
                <w:b/>
                <w:i/>
                <w:sz w:val="20"/>
                <w:szCs w:val="20"/>
              </w:rPr>
              <w:t>Patient, Public, Clinical and Stakeholder Engagement to date</w:t>
            </w:r>
          </w:p>
        </w:tc>
      </w:tr>
      <w:tr w:rsidR="004D711F" w:rsidTr="004D711F">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711F" w:rsidRDefault="004D711F">
            <w:pPr>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jc w:val="center"/>
              <w:rPr>
                <w:b/>
                <w:i/>
                <w:sz w:val="20"/>
                <w:szCs w:val="20"/>
              </w:rPr>
            </w:pPr>
            <w:r>
              <w:rPr>
                <w:b/>
                <w:i/>
                <w:sz w:val="20"/>
                <w:szCs w:val="20"/>
              </w:rPr>
              <w:t>N/A</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jc w:val="center"/>
              <w:rPr>
                <w:b/>
                <w:i/>
                <w:sz w:val="20"/>
                <w:szCs w:val="20"/>
              </w:rPr>
            </w:pPr>
            <w:r>
              <w:rPr>
                <w:b/>
                <w:i/>
                <w:sz w:val="20"/>
                <w:szCs w:val="20"/>
              </w:rPr>
              <w:t>Y</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jc w:val="center"/>
              <w:rPr>
                <w:b/>
                <w:i/>
                <w:sz w:val="20"/>
                <w:szCs w:val="20"/>
              </w:rPr>
            </w:pPr>
            <w:r>
              <w:rPr>
                <w:b/>
                <w:i/>
                <w:sz w:val="20"/>
                <w:szCs w:val="20"/>
              </w:rPr>
              <w:t>N</w:t>
            </w: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jc w:val="center"/>
              <w:rPr>
                <w:b/>
                <w:i/>
                <w:sz w:val="20"/>
                <w:szCs w:val="20"/>
              </w:rPr>
            </w:pPr>
            <w:r>
              <w:rPr>
                <w:b/>
                <w:i/>
                <w:sz w:val="20"/>
                <w:szCs w:val="20"/>
              </w:rPr>
              <w:t>Date</w:t>
            </w:r>
          </w:p>
        </w:tc>
        <w:tc>
          <w:tcPr>
            <w:tcW w:w="1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711F" w:rsidRDefault="004D711F">
            <w:pPr>
              <w:rPr>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jc w:val="center"/>
              <w:rPr>
                <w:b/>
                <w:i/>
                <w:sz w:val="20"/>
                <w:szCs w:val="20"/>
              </w:rPr>
            </w:pPr>
            <w:r>
              <w:rPr>
                <w:b/>
                <w:i/>
                <w:sz w:val="20"/>
                <w:szCs w:val="20"/>
              </w:rPr>
              <w:t>N/A</w:t>
            </w:r>
          </w:p>
        </w:tc>
        <w:tc>
          <w:tcPr>
            <w:tcW w:w="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jc w:val="center"/>
              <w:rPr>
                <w:b/>
                <w:i/>
                <w:sz w:val="20"/>
                <w:szCs w:val="20"/>
              </w:rPr>
            </w:pPr>
            <w:r>
              <w:rPr>
                <w:b/>
                <w:i/>
                <w:sz w:val="20"/>
                <w:szCs w:val="20"/>
              </w:rPr>
              <w:t>Y</w:t>
            </w:r>
          </w:p>
        </w:tc>
        <w:tc>
          <w:tcPr>
            <w:tcW w:w="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jc w:val="center"/>
              <w:rPr>
                <w:b/>
                <w:i/>
                <w:sz w:val="20"/>
                <w:szCs w:val="20"/>
              </w:rPr>
            </w:pPr>
            <w:r>
              <w:rPr>
                <w:b/>
                <w:i/>
                <w:sz w:val="20"/>
                <w:szCs w:val="20"/>
              </w:rPr>
              <w:t>N</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jc w:val="center"/>
              <w:rPr>
                <w:b/>
                <w:i/>
                <w:sz w:val="20"/>
                <w:szCs w:val="20"/>
              </w:rPr>
            </w:pPr>
            <w:r>
              <w:rPr>
                <w:b/>
                <w:i/>
                <w:sz w:val="20"/>
                <w:szCs w:val="20"/>
              </w:rPr>
              <w:t>Date</w:t>
            </w:r>
          </w:p>
        </w:tc>
      </w:tr>
      <w:tr w:rsidR="004D711F" w:rsidTr="004D711F">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rPr>
                <w:b/>
                <w:sz w:val="20"/>
                <w:szCs w:val="20"/>
              </w:rPr>
            </w:pPr>
            <w:r>
              <w:rPr>
                <w:b/>
                <w:sz w:val="20"/>
                <w:szCs w:val="20"/>
              </w:rPr>
              <w:t>Patient:</w:t>
            </w:r>
          </w:p>
        </w:tc>
        <w:sdt>
          <w:sdtPr>
            <w:rPr>
              <w:rFonts w:cstheme="minorHAnsi"/>
              <w:sz w:val="20"/>
              <w:szCs w:val="20"/>
            </w:rPr>
            <w:id w:val="482121496"/>
            <w14:checkbox>
              <w14:checked w14:val="1"/>
              <w14:checkedState w14:val="2612" w14:font="MS Gothic"/>
              <w14:uncheckedState w14:val="2610" w14:font="MS Gothic"/>
            </w14:checkbox>
          </w:sdtPr>
          <w:sdtEndPr/>
          <w:sdtContent>
            <w:tc>
              <w:tcPr>
                <w:tcW w:w="629" w:type="dxa"/>
                <w:tcBorders>
                  <w:top w:val="single" w:sz="4" w:space="0" w:color="auto"/>
                  <w:left w:val="single" w:sz="4" w:space="0" w:color="auto"/>
                  <w:bottom w:val="single" w:sz="4" w:space="0" w:color="auto"/>
                  <w:right w:val="single" w:sz="4" w:space="0" w:color="auto"/>
                </w:tcBorders>
                <w:hideMark/>
              </w:tcPr>
              <w:p w:rsidR="004D711F" w:rsidRDefault="004D711F">
                <w:pPr>
                  <w:jc w:val="center"/>
                  <w:rPr>
                    <w:rFonts w:cstheme="minorHAnsi"/>
                    <w:sz w:val="20"/>
                    <w:szCs w:val="20"/>
                  </w:rPr>
                </w:pPr>
                <w:r>
                  <w:rPr>
                    <w:rFonts w:ascii="MS Gothic" w:eastAsia="MS Gothic" w:hAnsi="MS Gothic" w:cstheme="minorHAnsi" w:hint="eastAsia"/>
                    <w:sz w:val="20"/>
                    <w:szCs w:val="20"/>
                    <w:lang w:val="en-US"/>
                  </w:rPr>
                  <w:t>☒</w:t>
                </w:r>
              </w:p>
            </w:tc>
          </w:sdtContent>
        </w:sdt>
        <w:sdt>
          <w:sdtPr>
            <w:rPr>
              <w:rFonts w:cstheme="minorHAnsi"/>
              <w:sz w:val="20"/>
              <w:szCs w:val="20"/>
            </w:rPr>
            <w:id w:val="1235052808"/>
            <w14:checkbox>
              <w14:checked w14:val="0"/>
              <w14:checkedState w14:val="2612" w14:font="MS Gothic"/>
              <w14:uncheckedState w14:val="2610" w14:font="MS Gothic"/>
            </w14:checkbox>
          </w:sdtPr>
          <w:sdtEndPr/>
          <w:sdtContent>
            <w:tc>
              <w:tcPr>
                <w:tcW w:w="629" w:type="dxa"/>
                <w:tcBorders>
                  <w:top w:val="single" w:sz="4" w:space="0" w:color="auto"/>
                  <w:left w:val="single" w:sz="4" w:space="0" w:color="auto"/>
                  <w:bottom w:val="single" w:sz="4" w:space="0" w:color="auto"/>
                  <w:right w:val="single" w:sz="4" w:space="0" w:color="auto"/>
                </w:tcBorders>
                <w:hideMark/>
              </w:tcPr>
              <w:p w:rsidR="004D711F" w:rsidRDefault="004D711F">
                <w:pPr>
                  <w:jc w:val="center"/>
                  <w:rPr>
                    <w:rFonts w:cstheme="minorHAnsi"/>
                    <w:sz w:val="20"/>
                    <w:szCs w:val="20"/>
                  </w:rPr>
                </w:pPr>
                <w:r>
                  <w:rPr>
                    <w:rFonts w:ascii="MS Gothic" w:eastAsia="MS Gothic" w:hAnsi="MS Gothic" w:cstheme="minorHAnsi" w:hint="eastAsia"/>
                    <w:sz w:val="20"/>
                    <w:szCs w:val="20"/>
                    <w:lang w:val="en-US"/>
                  </w:rPr>
                  <w:t>☐</w:t>
                </w:r>
              </w:p>
            </w:tc>
          </w:sdtContent>
        </w:sdt>
        <w:sdt>
          <w:sdtPr>
            <w:rPr>
              <w:rFonts w:cstheme="minorHAnsi"/>
              <w:sz w:val="20"/>
              <w:szCs w:val="20"/>
            </w:rPr>
            <w:id w:val="807367296"/>
            <w14:checkbox>
              <w14:checked w14:val="0"/>
              <w14:checkedState w14:val="2612" w14:font="MS Gothic"/>
              <w14:uncheckedState w14:val="2610" w14:font="MS Gothic"/>
            </w14:checkbox>
          </w:sdtPr>
          <w:sdtEndPr/>
          <w:sdtContent>
            <w:tc>
              <w:tcPr>
                <w:tcW w:w="629" w:type="dxa"/>
                <w:tcBorders>
                  <w:top w:val="single" w:sz="4" w:space="0" w:color="auto"/>
                  <w:left w:val="single" w:sz="4" w:space="0" w:color="auto"/>
                  <w:bottom w:val="single" w:sz="4" w:space="0" w:color="auto"/>
                  <w:right w:val="single" w:sz="4" w:space="0" w:color="auto"/>
                </w:tcBorders>
                <w:hideMark/>
              </w:tcPr>
              <w:p w:rsidR="004D711F" w:rsidRDefault="004D711F">
                <w:pPr>
                  <w:jc w:val="center"/>
                  <w:rPr>
                    <w:rFonts w:cstheme="minorHAnsi"/>
                    <w:sz w:val="20"/>
                    <w:szCs w:val="20"/>
                  </w:rPr>
                </w:pPr>
                <w:r>
                  <w:rPr>
                    <w:rFonts w:ascii="MS Gothic" w:eastAsia="MS Gothic" w:hAnsi="MS Gothic" w:cstheme="minorHAnsi" w:hint="eastAsia"/>
                    <w:sz w:val="20"/>
                    <w:szCs w:val="20"/>
                    <w:lang w:val="en-US"/>
                  </w:rPr>
                  <w:t>☐</w:t>
                </w:r>
              </w:p>
            </w:tc>
          </w:sdtContent>
        </w:sdt>
        <w:tc>
          <w:tcPr>
            <w:tcW w:w="925" w:type="dxa"/>
            <w:tcBorders>
              <w:top w:val="single" w:sz="4" w:space="0" w:color="auto"/>
              <w:left w:val="single" w:sz="4" w:space="0" w:color="auto"/>
              <w:bottom w:val="single" w:sz="4" w:space="0" w:color="auto"/>
              <w:right w:val="single" w:sz="4" w:space="0" w:color="auto"/>
            </w:tcBorders>
          </w:tcPr>
          <w:p w:rsidR="004D711F" w:rsidRDefault="004D711F">
            <w:pPr>
              <w:jc w:val="center"/>
              <w:rPr>
                <w:sz w:val="20"/>
                <w:szCs w:val="20"/>
              </w:rPr>
            </w:pPr>
          </w:p>
        </w:tc>
        <w:tc>
          <w:tcPr>
            <w:tcW w:w="1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rPr>
                <w:b/>
                <w:sz w:val="20"/>
                <w:szCs w:val="20"/>
              </w:rPr>
            </w:pPr>
            <w:r>
              <w:rPr>
                <w:b/>
                <w:sz w:val="20"/>
                <w:szCs w:val="20"/>
              </w:rPr>
              <w:t>Clinical:</w:t>
            </w:r>
          </w:p>
        </w:tc>
        <w:sdt>
          <w:sdtPr>
            <w:rPr>
              <w:sz w:val="20"/>
              <w:szCs w:val="20"/>
            </w:rPr>
            <w:id w:val="-922421573"/>
            <w14:checkbox>
              <w14:checked w14:val="1"/>
              <w14:checkedState w14:val="2612" w14:font="MS Gothic"/>
              <w14:uncheckedState w14:val="2610" w14:font="MS Gothic"/>
            </w14:checkbox>
          </w:sdtPr>
          <w:sdtEndPr/>
          <w:sdtContent>
            <w:tc>
              <w:tcPr>
                <w:tcW w:w="610" w:type="dxa"/>
                <w:tcBorders>
                  <w:top w:val="single" w:sz="4" w:space="0" w:color="auto"/>
                  <w:left w:val="single" w:sz="4" w:space="0" w:color="auto"/>
                  <w:bottom w:val="single" w:sz="4" w:space="0" w:color="auto"/>
                  <w:right w:val="single" w:sz="4" w:space="0" w:color="auto"/>
                </w:tcBorders>
                <w:hideMark/>
              </w:tcPr>
              <w:p w:rsidR="004D711F" w:rsidRDefault="004D711F">
                <w:pPr>
                  <w:jc w:val="center"/>
                  <w:rPr>
                    <w:sz w:val="20"/>
                    <w:szCs w:val="20"/>
                  </w:rPr>
                </w:pPr>
                <w:r>
                  <w:rPr>
                    <w:rFonts w:ascii="MS Gothic" w:eastAsia="MS Gothic" w:hAnsi="MS Gothic" w:hint="eastAsia"/>
                    <w:sz w:val="20"/>
                    <w:szCs w:val="20"/>
                    <w:lang w:val="en-US"/>
                  </w:rPr>
                  <w:t>☒</w:t>
                </w:r>
              </w:p>
            </w:tc>
          </w:sdtContent>
        </w:sdt>
        <w:sdt>
          <w:sdtPr>
            <w:rPr>
              <w:sz w:val="20"/>
              <w:szCs w:val="20"/>
            </w:rPr>
            <w:id w:val="734049526"/>
            <w14:checkbox>
              <w14:checked w14:val="0"/>
              <w14:checkedState w14:val="2612" w14:font="MS Gothic"/>
              <w14:uncheckedState w14:val="2610" w14:font="MS Gothic"/>
            </w14:checkbox>
          </w:sdtPr>
          <w:sdtEndPr/>
          <w:sdtContent>
            <w:tc>
              <w:tcPr>
                <w:tcW w:w="610" w:type="dxa"/>
                <w:tcBorders>
                  <w:top w:val="single" w:sz="4" w:space="0" w:color="auto"/>
                  <w:left w:val="single" w:sz="4" w:space="0" w:color="auto"/>
                  <w:bottom w:val="single" w:sz="4" w:space="0" w:color="auto"/>
                  <w:right w:val="single" w:sz="4" w:space="0" w:color="auto"/>
                </w:tcBorders>
                <w:hideMark/>
              </w:tcPr>
              <w:p w:rsidR="004D711F" w:rsidRDefault="004D711F">
                <w:pPr>
                  <w:jc w:val="center"/>
                  <w:rPr>
                    <w:sz w:val="20"/>
                    <w:szCs w:val="20"/>
                  </w:rPr>
                </w:pPr>
                <w:r>
                  <w:rPr>
                    <w:rFonts w:ascii="MS Gothic" w:eastAsia="MS Gothic" w:hAnsi="MS Gothic" w:hint="eastAsia"/>
                    <w:sz w:val="20"/>
                    <w:szCs w:val="20"/>
                    <w:lang w:val="en-US"/>
                  </w:rPr>
                  <w:t>☐</w:t>
                </w:r>
              </w:p>
            </w:tc>
          </w:sdtContent>
        </w:sdt>
        <w:sdt>
          <w:sdtPr>
            <w:rPr>
              <w:sz w:val="20"/>
              <w:szCs w:val="20"/>
            </w:rPr>
            <w:id w:val="-393117674"/>
            <w14:checkbox>
              <w14:checked w14:val="0"/>
              <w14:checkedState w14:val="2612" w14:font="MS Gothic"/>
              <w14:uncheckedState w14:val="2610" w14:font="MS Gothic"/>
            </w14:checkbox>
          </w:sdtPr>
          <w:sdtEndPr/>
          <w:sdtContent>
            <w:tc>
              <w:tcPr>
                <w:tcW w:w="610" w:type="dxa"/>
                <w:tcBorders>
                  <w:top w:val="single" w:sz="4" w:space="0" w:color="auto"/>
                  <w:left w:val="single" w:sz="4" w:space="0" w:color="auto"/>
                  <w:bottom w:val="single" w:sz="4" w:space="0" w:color="auto"/>
                  <w:right w:val="single" w:sz="4" w:space="0" w:color="auto"/>
                </w:tcBorders>
                <w:hideMark/>
              </w:tcPr>
              <w:p w:rsidR="004D711F" w:rsidRDefault="004D711F">
                <w:pPr>
                  <w:jc w:val="center"/>
                  <w:rPr>
                    <w:sz w:val="20"/>
                    <w:szCs w:val="20"/>
                  </w:rPr>
                </w:pPr>
                <w:r>
                  <w:rPr>
                    <w:rFonts w:ascii="MS Gothic" w:eastAsia="MS Gothic" w:hAnsi="MS Gothic" w:hint="eastAsia"/>
                    <w:sz w:val="20"/>
                    <w:szCs w:val="20"/>
                    <w:lang w:val="en-US"/>
                  </w:rPr>
                  <w:t>☐</w:t>
                </w:r>
              </w:p>
            </w:tc>
          </w:sdtContent>
        </w:sdt>
        <w:tc>
          <w:tcPr>
            <w:tcW w:w="1289" w:type="dxa"/>
            <w:tcBorders>
              <w:top w:val="single" w:sz="4" w:space="0" w:color="auto"/>
              <w:left w:val="single" w:sz="4" w:space="0" w:color="auto"/>
              <w:bottom w:val="single" w:sz="4" w:space="0" w:color="auto"/>
              <w:right w:val="single" w:sz="4" w:space="0" w:color="auto"/>
            </w:tcBorders>
          </w:tcPr>
          <w:p w:rsidR="004D711F" w:rsidRDefault="004D711F">
            <w:pPr>
              <w:jc w:val="center"/>
              <w:rPr>
                <w:sz w:val="20"/>
                <w:szCs w:val="20"/>
              </w:rPr>
            </w:pPr>
          </w:p>
        </w:tc>
      </w:tr>
      <w:tr w:rsidR="004D711F" w:rsidTr="004D711F">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rPr>
                <w:b/>
                <w:sz w:val="20"/>
                <w:szCs w:val="20"/>
              </w:rPr>
            </w:pPr>
            <w:r>
              <w:rPr>
                <w:b/>
                <w:sz w:val="20"/>
                <w:szCs w:val="20"/>
              </w:rPr>
              <w:t>Public:</w:t>
            </w:r>
          </w:p>
        </w:tc>
        <w:sdt>
          <w:sdtPr>
            <w:rPr>
              <w:rFonts w:cstheme="minorHAnsi"/>
              <w:sz w:val="20"/>
              <w:szCs w:val="20"/>
            </w:rPr>
            <w:id w:val="1632443396"/>
            <w14:checkbox>
              <w14:checked w14:val="1"/>
              <w14:checkedState w14:val="2612" w14:font="MS Gothic"/>
              <w14:uncheckedState w14:val="2610" w14:font="MS Gothic"/>
            </w14:checkbox>
          </w:sdtPr>
          <w:sdtEndPr/>
          <w:sdtContent>
            <w:tc>
              <w:tcPr>
                <w:tcW w:w="629" w:type="dxa"/>
                <w:tcBorders>
                  <w:top w:val="single" w:sz="4" w:space="0" w:color="auto"/>
                  <w:left w:val="single" w:sz="4" w:space="0" w:color="auto"/>
                  <w:bottom w:val="single" w:sz="4" w:space="0" w:color="auto"/>
                  <w:right w:val="single" w:sz="4" w:space="0" w:color="auto"/>
                </w:tcBorders>
                <w:hideMark/>
              </w:tcPr>
              <w:p w:rsidR="004D711F" w:rsidRDefault="004D711F">
                <w:pPr>
                  <w:jc w:val="center"/>
                  <w:rPr>
                    <w:rFonts w:cstheme="minorHAnsi"/>
                    <w:sz w:val="20"/>
                    <w:szCs w:val="20"/>
                  </w:rPr>
                </w:pPr>
                <w:r>
                  <w:rPr>
                    <w:rFonts w:ascii="MS Gothic" w:eastAsia="MS Gothic" w:hAnsi="MS Gothic" w:cstheme="minorHAnsi" w:hint="eastAsia"/>
                    <w:sz w:val="20"/>
                    <w:szCs w:val="20"/>
                    <w:lang w:val="en-US"/>
                  </w:rPr>
                  <w:t>☒</w:t>
                </w:r>
              </w:p>
            </w:tc>
          </w:sdtContent>
        </w:sdt>
        <w:sdt>
          <w:sdtPr>
            <w:rPr>
              <w:rFonts w:cstheme="minorHAnsi"/>
              <w:sz w:val="20"/>
              <w:szCs w:val="20"/>
            </w:rPr>
            <w:id w:val="-1860121022"/>
            <w14:checkbox>
              <w14:checked w14:val="0"/>
              <w14:checkedState w14:val="2612" w14:font="MS Gothic"/>
              <w14:uncheckedState w14:val="2610" w14:font="MS Gothic"/>
            </w14:checkbox>
          </w:sdtPr>
          <w:sdtEndPr/>
          <w:sdtContent>
            <w:tc>
              <w:tcPr>
                <w:tcW w:w="629" w:type="dxa"/>
                <w:tcBorders>
                  <w:top w:val="single" w:sz="4" w:space="0" w:color="auto"/>
                  <w:left w:val="single" w:sz="4" w:space="0" w:color="auto"/>
                  <w:bottom w:val="single" w:sz="4" w:space="0" w:color="auto"/>
                  <w:right w:val="single" w:sz="4" w:space="0" w:color="auto"/>
                </w:tcBorders>
                <w:hideMark/>
              </w:tcPr>
              <w:p w:rsidR="004D711F" w:rsidRDefault="004D711F">
                <w:pPr>
                  <w:jc w:val="center"/>
                  <w:rPr>
                    <w:rFonts w:cstheme="minorHAnsi"/>
                    <w:sz w:val="20"/>
                    <w:szCs w:val="20"/>
                  </w:rPr>
                </w:pPr>
                <w:r>
                  <w:rPr>
                    <w:rFonts w:ascii="MS Gothic" w:eastAsia="MS Gothic" w:hAnsi="MS Gothic" w:cstheme="minorHAnsi" w:hint="eastAsia"/>
                    <w:sz w:val="20"/>
                    <w:szCs w:val="20"/>
                    <w:lang w:val="en-US"/>
                  </w:rPr>
                  <w:t>☐</w:t>
                </w:r>
              </w:p>
            </w:tc>
          </w:sdtContent>
        </w:sdt>
        <w:sdt>
          <w:sdtPr>
            <w:rPr>
              <w:rFonts w:cstheme="minorHAnsi"/>
              <w:sz w:val="20"/>
              <w:szCs w:val="20"/>
            </w:rPr>
            <w:id w:val="-1266764786"/>
            <w14:checkbox>
              <w14:checked w14:val="0"/>
              <w14:checkedState w14:val="2612" w14:font="MS Gothic"/>
              <w14:uncheckedState w14:val="2610" w14:font="MS Gothic"/>
            </w14:checkbox>
          </w:sdtPr>
          <w:sdtEndPr/>
          <w:sdtContent>
            <w:tc>
              <w:tcPr>
                <w:tcW w:w="629" w:type="dxa"/>
                <w:tcBorders>
                  <w:top w:val="single" w:sz="4" w:space="0" w:color="auto"/>
                  <w:left w:val="single" w:sz="4" w:space="0" w:color="auto"/>
                  <w:bottom w:val="single" w:sz="4" w:space="0" w:color="auto"/>
                  <w:right w:val="single" w:sz="4" w:space="0" w:color="auto"/>
                </w:tcBorders>
                <w:hideMark/>
              </w:tcPr>
              <w:p w:rsidR="004D711F" w:rsidRDefault="004D711F">
                <w:pPr>
                  <w:jc w:val="center"/>
                  <w:rPr>
                    <w:rFonts w:cstheme="minorHAnsi"/>
                    <w:sz w:val="20"/>
                    <w:szCs w:val="20"/>
                  </w:rPr>
                </w:pPr>
                <w:r>
                  <w:rPr>
                    <w:rFonts w:ascii="MS Gothic" w:eastAsia="MS Gothic" w:hAnsi="MS Gothic" w:cstheme="minorHAnsi" w:hint="eastAsia"/>
                    <w:sz w:val="20"/>
                    <w:szCs w:val="20"/>
                    <w:lang w:val="en-US"/>
                  </w:rPr>
                  <w:t>☐</w:t>
                </w:r>
              </w:p>
            </w:tc>
          </w:sdtContent>
        </w:sdt>
        <w:tc>
          <w:tcPr>
            <w:tcW w:w="925" w:type="dxa"/>
            <w:tcBorders>
              <w:top w:val="single" w:sz="4" w:space="0" w:color="auto"/>
              <w:left w:val="single" w:sz="4" w:space="0" w:color="auto"/>
              <w:bottom w:val="single" w:sz="4" w:space="0" w:color="auto"/>
              <w:right w:val="single" w:sz="4" w:space="0" w:color="auto"/>
            </w:tcBorders>
          </w:tcPr>
          <w:p w:rsidR="004D711F" w:rsidRDefault="004D711F">
            <w:pPr>
              <w:jc w:val="center"/>
              <w:rPr>
                <w:sz w:val="20"/>
                <w:szCs w:val="20"/>
              </w:rPr>
            </w:pPr>
          </w:p>
        </w:tc>
        <w:tc>
          <w:tcPr>
            <w:tcW w:w="1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11F" w:rsidRDefault="004D711F">
            <w:pPr>
              <w:rPr>
                <w:b/>
                <w:sz w:val="20"/>
                <w:szCs w:val="20"/>
              </w:rPr>
            </w:pPr>
            <w:r>
              <w:rPr>
                <w:b/>
                <w:sz w:val="20"/>
                <w:szCs w:val="20"/>
              </w:rPr>
              <w:t xml:space="preserve">Other: </w:t>
            </w:r>
          </w:p>
        </w:tc>
        <w:sdt>
          <w:sdtPr>
            <w:rPr>
              <w:sz w:val="20"/>
              <w:szCs w:val="20"/>
            </w:rPr>
            <w:id w:val="-1887869663"/>
            <w14:checkbox>
              <w14:checked w14:val="1"/>
              <w14:checkedState w14:val="2612" w14:font="MS Gothic"/>
              <w14:uncheckedState w14:val="2610" w14:font="MS Gothic"/>
            </w14:checkbox>
          </w:sdtPr>
          <w:sdtEndPr/>
          <w:sdtContent>
            <w:tc>
              <w:tcPr>
                <w:tcW w:w="610" w:type="dxa"/>
                <w:tcBorders>
                  <w:top w:val="single" w:sz="4" w:space="0" w:color="auto"/>
                  <w:left w:val="single" w:sz="4" w:space="0" w:color="auto"/>
                  <w:bottom w:val="single" w:sz="4" w:space="0" w:color="auto"/>
                  <w:right w:val="single" w:sz="4" w:space="0" w:color="auto"/>
                </w:tcBorders>
                <w:hideMark/>
              </w:tcPr>
              <w:p w:rsidR="004D711F" w:rsidRDefault="004D711F">
                <w:pPr>
                  <w:jc w:val="center"/>
                  <w:rPr>
                    <w:sz w:val="20"/>
                    <w:szCs w:val="20"/>
                  </w:rPr>
                </w:pPr>
                <w:r>
                  <w:rPr>
                    <w:rFonts w:ascii="MS Gothic" w:eastAsia="MS Gothic" w:hAnsi="MS Gothic" w:hint="eastAsia"/>
                    <w:sz w:val="20"/>
                    <w:szCs w:val="20"/>
                  </w:rPr>
                  <w:t>☒</w:t>
                </w:r>
              </w:p>
            </w:tc>
          </w:sdtContent>
        </w:sdt>
        <w:sdt>
          <w:sdtPr>
            <w:rPr>
              <w:sz w:val="20"/>
              <w:szCs w:val="20"/>
            </w:rPr>
            <w:id w:val="487212862"/>
            <w14:checkbox>
              <w14:checked w14:val="0"/>
              <w14:checkedState w14:val="2612" w14:font="MS Gothic"/>
              <w14:uncheckedState w14:val="2610" w14:font="MS Gothic"/>
            </w14:checkbox>
          </w:sdtPr>
          <w:sdtEndPr/>
          <w:sdtContent>
            <w:tc>
              <w:tcPr>
                <w:tcW w:w="610" w:type="dxa"/>
                <w:tcBorders>
                  <w:top w:val="single" w:sz="4" w:space="0" w:color="auto"/>
                  <w:left w:val="single" w:sz="4" w:space="0" w:color="auto"/>
                  <w:bottom w:val="single" w:sz="4" w:space="0" w:color="auto"/>
                  <w:right w:val="single" w:sz="4" w:space="0" w:color="auto"/>
                </w:tcBorders>
                <w:hideMark/>
              </w:tcPr>
              <w:p w:rsidR="004D711F" w:rsidRDefault="004D711F">
                <w:pPr>
                  <w:jc w:val="center"/>
                  <w:rPr>
                    <w:sz w:val="20"/>
                    <w:szCs w:val="20"/>
                  </w:rPr>
                </w:pPr>
                <w:r>
                  <w:rPr>
                    <w:rFonts w:ascii="MS Gothic" w:eastAsia="MS Gothic" w:hAnsi="MS Gothic" w:hint="eastAsia"/>
                    <w:sz w:val="20"/>
                    <w:szCs w:val="20"/>
                  </w:rPr>
                  <w:t>☐</w:t>
                </w:r>
              </w:p>
            </w:tc>
          </w:sdtContent>
        </w:sdt>
        <w:sdt>
          <w:sdtPr>
            <w:rPr>
              <w:sz w:val="20"/>
              <w:szCs w:val="20"/>
            </w:rPr>
            <w:id w:val="632912675"/>
            <w14:checkbox>
              <w14:checked w14:val="0"/>
              <w14:checkedState w14:val="2612" w14:font="MS Gothic"/>
              <w14:uncheckedState w14:val="2610" w14:font="MS Gothic"/>
            </w14:checkbox>
          </w:sdtPr>
          <w:sdtEndPr/>
          <w:sdtContent>
            <w:tc>
              <w:tcPr>
                <w:tcW w:w="610" w:type="dxa"/>
                <w:tcBorders>
                  <w:top w:val="single" w:sz="4" w:space="0" w:color="auto"/>
                  <w:left w:val="single" w:sz="4" w:space="0" w:color="auto"/>
                  <w:bottom w:val="single" w:sz="4" w:space="0" w:color="auto"/>
                  <w:right w:val="single" w:sz="4" w:space="0" w:color="auto"/>
                </w:tcBorders>
                <w:hideMark/>
              </w:tcPr>
              <w:p w:rsidR="004D711F" w:rsidRDefault="004D711F">
                <w:pPr>
                  <w:jc w:val="center"/>
                  <w:rPr>
                    <w:sz w:val="20"/>
                    <w:szCs w:val="20"/>
                  </w:rPr>
                </w:pPr>
                <w:r>
                  <w:rPr>
                    <w:rFonts w:ascii="MS Gothic" w:eastAsia="MS Gothic" w:hAnsi="MS Gothic" w:hint="eastAsia"/>
                    <w:sz w:val="20"/>
                    <w:szCs w:val="20"/>
                    <w:lang w:val="en-US"/>
                  </w:rPr>
                  <w:t>☐</w:t>
                </w:r>
              </w:p>
            </w:tc>
          </w:sdtContent>
        </w:sdt>
        <w:tc>
          <w:tcPr>
            <w:tcW w:w="1289" w:type="dxa"/>
            <w:tcBorders>
              <w:top w:val="single" w:sz="4" w:space="0" w:color="auto"/>
              <w:left w:val="single" w:sz="4" w:space="0" w:color="auto"/>
              <w:bottom w:val="single" w:sz="4" w:space="0" w:color="auto"/>
              <w:right w:val="single" w:sz="4" w:space="0" w:color="auto"/>
            </w:tcBorders>
            <w:hideMark/>
          </w:tcPr>
          <w:p w:rsidR="004D711F" w:rsidRDefault="004D711F">
            <w:pPr>
              <w:jc w:val="center"/>
              <w:rPr>
                <w:sz w:val="20"/>
                <w:szCs w:val="20"/>
              </w:rPr>
            </w:pPr>
          </w:p>
        </w:tc>
      </w:tr>
    </w:tbl>
    <w:p w:rsidR="004D711F" w:rsidRDefault="004D711F" w:rsidP="004D711F">
      <w:pPr>
        <w:rPr>
          <w:b/>
        </w:rPr>
      </w:pPr>
    </w:p>
    <w:p w:rsidR="004F203F" w:rsidRDefault="004F203F" w:rsidP="004D711F">
      <w:pPr>
        <w:rPr>
          <w:b/>
        </w:rPr>
      </w:pPr>
    </w:p>
    <w:p w:rsidR="004F203F" w:rsidRDefault="004F203F" w:rsidP="004D711F">
      <w:pPr>
        <w:rPr>
          <w:b/>
        </w:rPr>
      </w:pPr>
    </w:p>
    <w:p w:rsidR="004F203F" w:rsidRDefault="004F203F" w:rsidP="004D711F">
      <w:pPr>
        <w:rPr>
          <w:b/>
        </w:rPr>
      </w:pPr>
    </w:p>
    <w:p w:rsidR="004F203F" w:rsidRPr="00015669" w:rsidRDefault="004F203F" w:rsidP="004F203F">
      <w:pPr>
        <w:jc w:val="center"/>
        <w:rPr>
          <w:b/>
          <w:sz w:val="32"/>
          <w:szCs w:val="32"/>
        </w:rPr>
      </w:pPr>
      <w:r w:rsidRPr="00015669">
        <w:rPr>
          <w:b/>
          <w:sz w:val="32"/>
          <w:szCs w:val="32"/>
        </w:rPr>
        <w:lastRenderedPageBreak/>
        <w:t>North Lincolnshire CCG</w:t>
      </w:r>
    </w:p>
    <w:p w:rsidR="004F203F" w:rsidRDefault="004F203F" w:rsidP="004F203F">
      <w:pPr>
        <w:jc w:val="center"/>
      </w:pPr>
      <w:r>
        <w:rPr>
          <w:b/>
          <w:u w:val="single"/>
        </w:rPr>
        <w:t>Primary Care Dashboard - August</w:t>
      </w:r>
      <w:r w:rsidRPr="00015669">
        <w:rPr>
          <w:b/>
          <w:u w:val="single"/>
        </w:rPr>
        <w:t xml:space="preserve"> 2017</w:t>
      </w:r>
    </w:p>
    <w:p w:rsidR="004F203F" w:rsidRDefault="004F203F" w:rsidP="004F203F">
      <w:pPr>
        <w:jc w:val="both"/>
      </w:pPr>
      <w:r w:rsidRPr="00015669">
        <w:t>The PC Dashboard is an on-going development to be used to monitor some areas of performance in General Practice and provide the Joint Commissioning Committee with a brief overview of how North Lincolnshire practices are performing.</w:t>
      </w:r>
      <w:r w:rsidRPr="00015669">
        <w:tab/>
      </w:r>
      <w:r w:rsidRPr="00015669">
        <w:tab/>
      </w:r>
    </w:p>
    <w:p w:rsidR="004F203F" w:rsidRPr="00015669" w:rsidRDefault="004F203F" w:rsidP="004F203F">
      <w:pPr>
        <w:jc w:val="both"/>
      </w:pPr>
      <w:r w:rsidRPr="00015669">
        <w:tab/>
      </w:r>
      <w:r w:rsidRPr="00015669">
        <w:tab/>
      </w:r>
      <w:r w:rsidRPr="00015669">
        <w:tab/>
      </w:r>
      <w:r w:rsidRPr="00015669">
        <w:tab/>
      </w:r>
    </w:p>
    <w:p w:rsidR="004F203F" w:rsidRDefault="004F203F" w:rsidP="004F203F">
      <w:r w:rsidRPr="00015669">
        <w:t>June 2017 is the 5th Dashboard to be published by NHS North Lincolnshire CCG and provides information covering a number of areas (these and other areas will be included and excluded within the Dashboard at the most applicable time to allow for a wider inclusion of data/info</w:t>
      </w:r>
      <w:r>
        <w:t>rmation):</w:t>
      </w:r>
      <w:r>
        <w:tab/>
      </w:r>
    </w:p>
    <w:p w:rsidR="004F203F" w:rsidRDefault="004F203F" w:rsidP="004F203F">
      <w:r>
        <w:tab/>
      </w:r>
      <w:r>
        <w:tab/>
      </w:r>
      <w:r>
        <w:tab/>
      </w:r>
      <w:r>
        <w:tab/>
      </w:r>
      <w:r>
        <w:tab/>
      </w:r>
      <w:r>
        <w:tab/>
      </w:r>
    </w:p>
    <w:p w:rsidR="004F203F" w:rsidRDefault="004F203F" w:rsidP="004F203F">
      <w:pPr>
        <w:pStyle w:val="ListParagraph"/>
        <w:numPr>
          <w:ilvl w:val="0"/>
          <w:numId w:val="8"/>
        </w:numPr>
        <w:spacing w:after="0"/>
      </w:pPr>
      <w:r w:rsidRPr="00015669">
        <w:t>F</w:t>
      </w:r>
      <w:r>
        <w:t>riends and Family Test</w:t>
      </w:r>
      <w:r>
        <w:tab/>
      </w:r>
      <w:r>
        <w:tab/>
      </w:r>
      <w:r>
        <w:tab/>
      </w:r>
      <w:r>
        <w:tab/>
      </w:r>
      <w:r>
        <w:tab/>
      </w:r>
      <w:r>
        <w:tab/>
      </w:r>
      <w:r>
        <w:tab/>
      </w:r>
      <w:r>
        <w:tab/>
      </w:r>
      <w:r>
        <w:tab/>
      </w:r>
    </w:p>
    <w:p w:rsidR="004F203F" w:rsidRDefault="004F203F" w:rsidP="004F203F">
      <w:pPr>
        <w:pStyle w:val="ListParagraph"/>
        <w:numPr>
          <w:ilvl w:val="0"/>
          <w:numId w:val="8"/>
        </w:numPr>
        <w:spacing w:after="0"/>
      </w:pPr>
      <w:r w:rsidRPr="00015669">
        <w:t>GP Patient Survey</w:t>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p>
    <w:p w:rsidR="004F203F" w:rsidRDefault="004F203F" w:rsidP="004F203F">
      <w:pPr>
        <w:pStyle w:val="ListParagraph"/>
        <w:numPr>
          <w:ilvl w:val="0"/>
          <w:numId w:val="8"/>
        </w:numPr>
        <w:spacing w:after="0"/>
      </w:pPr>
      <w:r w:rsidRPr="00015669">
        <w:t>Quality Outcomes Framework</w:t>
      </w:r>
      <w:r w:rsidRPr="00015669">
        <w:tab/>
      </w:r>
      <w:r w:rsidRPr="00015669">
        <w:tab/>
      </w:r>
      <w:r w:rsidRPr="00015669">
        <w:tab/>
      </w:r>
      <w:r w:rsidRPr="00015669">
        <w:tab/>
      </w:r>
      <w:r w:rsidRPr="00015669">
        <w:tab/>
      </w:r>
      <w:r w:rsidRPr="00015669">
        <w:tab/>
      </w:r>
      <w:r w:rsidRPr="00015669">
        <w:tab/>
      </w:r>
      <w:r w:rsidRPr="00015669">
        <w:tab/>
      </w:r>
      <w:r w:rsidRPr="00015669">
        <w:tab/>
      </w:r>
      <w:r>
        <w:tab/>
      </w:r>
    </w:p>
    <w:p w:rsidR="004F203F" w:rsidRDefault="004F203F" w:rsidP="004F203F">
      <w:pPr>
        <w:pStyle w:val="ListParagraph"/>
        <w:numPr>
          <w:ilvl w:val="0"/>
          <w:numId w:val="8"/>
        </w:numPr>
        <w:spacing w:after="0"/>
      </w:pPr>
      <w:r w:rsidRPr="00015669">
        <w:t>Public Health Statistics – GP Practice Profiles for Mortality, Adults and Older Adults</w:t>
      </w:r>
      <w:r w:rsidRPr="00015669">
        <w:tab/>
      </w:r>
      <w:r w:rsidRPr="00015669">
        <w:tab/>
      </w:r>
      <w:r w:rsidRPr="00015669">
        <w:tab/>
      </w:r>
    </w:p>
    <w:p w:rsidR="004F203F" w:rsidRDefault="004F203F" w:rsidP="004F203F">
      <w:pPr>
        <w:pStyle w:val="ListParagraph"/>
        <w:numPr>
          <w:ilvl w:val="0"/>
          <w:numId w:val="8"/>
        </w:numPr>
        <w:spacing w:after="0"/>
      </w:pPr>
      <w:r w:rsidRPr="00015669">
        <w:t>Infection Prevention and Control Audits</w:t>
      </w:r>
      <w:r w:rsidRPr="00015669">
        <w:tab/>
      </w:r>
      <w:r w:rsidRPr="00015669">
        <w:tab/>
      </w:r>
      <w:r w:rsidRPr="00015669">
        <w:tab/>
      </w:r>
      <w:r w:rsidRPr="00015669">
        <w:tab/>
      </w:r>
      <w:r w:rsidRPr="00015669">
        <w:tab/>
      </w:r>
      <w:r w:rsidRPr="00015669">
        <w:tab/>
      </w:r>
      <w:r w:rsidRPr="00015669">
        <w:tab/>
      </w:r>
      <w:r w:rsidRPr="00015669">
        <w:tab/>
      </w:r>
      <w:r w:rsidRPr="00015669">
        <w:tab/>
      </w:r>
    </w:p>
    <w:p w:rsidR="004F203F" w:rsidRDefault="004F203F" w:rsidP="004F203F">
      <w:pPr>
        <w:pStyle w:val="ListParagraph"/>
        <w:numPr>
          <w:ilvl w:val="0"/>
          <w:numId w:val="8"/>
        </w:numPr>
        <w:spacing w:after="0"/>
      </w:pPr>
      <w:r w:rsidRPr="00015669">
        <w:t>CQC Ratings</w:t>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p>
    <w:p w:rsidR="004F203F" w:rsidRDefault="004F203F" w:rsidP="004F203F">
      <w:pPr>
        <w:pStyle w:val="ListParagraph"/>
        <w:numPr>
          <w:ilvl w:val="0"/>
          <w:numId w:val="8"/>
        </w:numPr>
        <w:spacing w:after="0"/>
      </w:pPr>
      <w:r w:rsidRPr="00015669">
        <w:t>Prescribing</w:t>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p>
    <w:p w:rsidR="004F203F" w:rsidRPr="00015669" w:rsidRDefault="004F203F" w:rsidP="004F203F">
      <w:pPr>
        <w:pStyle w:val="ListParagraph"/>
        <w:numPr>
          <w:ilvl w:val="0"/>
          <w:numId w:val="8"/>
        </w:numPr>
        <w:spacing w:after="0"/>
      </w:pPr>
      <w:r w:rsidRPr="00015669">
        <w:t>Quality Issue Reporting</w:t>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p>
    <w:p w:rsidR="004F203F" w:rsidRDefault="004F203F" w:rsidP="004F203F">
      <w:pPr>
        <w:jc w:val="both"/>
        <w:rPr>
          <w:b/>
        </w:rPr>
      </w:pPr>
      <w:r w:rsidRPr="00015669">
        <w:rPr>
          <w:b/>
        </w:rPr>
        <w:t>2</w:t>
      </w:r>
      <w:r w:rsidRPr="00015669">
        <w:rPr>
          <w:b/>
        </w:rPr>
        <w:tab/>
        <w:t>What are the Indicators?</w:t>
      </w:r>
    </w:p>
    <w:p w:rsidR="004F203F" w:rsidRPr="00015669" w:rsidRDefault="004F203F" w:rsidP="004F203F">
      <w:pPr>
        <w:jc w:val="both"/>
        <w:rPr>
          <w:b/>
        </w:rPr>
      </w:pPr>
    </w:p>
    <w:p w:rsidR="004F203F" w:rsidRPr="00015669" w:rsidRDefault="004F203F" w:rsidP="004F203F">
      <w:pPr>
        <w:jc w:val="both"/>
      </w:pPr>
      <w:r w:rsidRPr="00015669">
        <w:t xml:space="preserve">All of the information included is readily available and content, data and information presented has been obtained from a range of sources including NHS England, NHS Digital, Public Health England, </w:t>
      </w:r>
      <w:r>
        <w:t xml:space="preserve">Public Health Intelligence NLC </w:t>
      </w:r>
      <w:r w:rsidRPr="00015669">
        <w:t xml:space="preserve">and the CQC.   The dashboard pulls it into one place and compares practices across North Lincolnshire.  </w:t>
      </w:r>
      <w:r w:rsidRPr="00015669">
        <w:tab/>
      </w:r>
      <w:r w:rsidRPr="00015669">
        <w:tab/>
      </w:r>
      <w:r w:rsidRPr="00015669">
        <w:tab/>
      </w:r>
      <w:r w:rsidRPr="00015669">
        <w:tab/>
      </w:r>
      <w:r w:rsidRPr="00015669">
        <w:tab/>
      </w:r>
      <w:r w:rsidRPr="00015669">
        <w:tab/>
      </w:r>
      <w:r w:rsidRPr="00015669">
        <w:tab/>
      </w:r>
      <w:r w:rsidRPr="00015669">
        <w:tab/>
      </w:r>
    </w:p>
    <w:p w:rsidR="004F203F" w:rsidRPr="00015669" w:rsidRDefault="004F203F" w:rsidP="004F203F">
      <w:pPr>
        <w:jc w:val="both"/>
      </w:pPr>
      <w:r w:rsidRPr="00015669">
        <w:t xml:space="preserve">It is widely acknowledged that practices serve different populations and the pressures vary from practice to practice. It is also known that due to the demographics of some practices scoring positively in some areas is very difficult.    </w:t>
      </w:r>
      <w:r w:rsidRPr="00015669">
        <w:tab/>
      </w:r>
      <w:r w:rsidRPr="00015669">
        <w:tab/>
      </w:r>
      <w:r w:rsidRPr="00015669">
        <w:tab/>
      </w:r>
      <w:r w:rsidRPr="00015669">
        <w:tab/>
      </w:r>
      <w:r w:rsidRPr="00015669">
        <w:tab/>
      </w:r>
      <w:r w:rsidRPr="00015669">
        <w:tab/>
      </w:r>
    </w:p>
    <w:p w:rsidR="004F203F" w:rsidRDefault="004F203F" w:rsidP="004F203F">
      <w:pPr>
        <w:jc w:val="both"/>
      </w:pPr>
      <w:r w:rsidRPr="00015669">
        <w:t>There is a large amount of information that sits behind the Dashboard, including demographics and more detailed information.  This information is available via other sources and in some cases via the CCG Business Intelligence Zone (BIZ)</w:t>
      </w:r>
      <w:r>
        <w:t xml:space="preserve"> </w:t>
      </w:r>
      <w:hyperlink r:id="rId8" w:history="1">
        <w:r w:rsidRPr="00C36A1E">
          <w:rPr>
            <w:rStyle w:val="Hyperlink"/>
          </w:rPr>
          <w:t>http://biz.nyhcsu.org.uk/nlccg/</w:t>
        </w:r>
      </w:hyperlink>
    </w:p>
    <w:p w:rsidR="004F203F" w:rsidRPr="00015669" w:rsidRDefault="004F203F" w:rsidP="004F203F">
      <w:pPr>
        <w:jc w:val="both"/>
      </w:pPr>
      <w:r>
        <w:tab/>
      </w:r>
      <w:r>
        <w:tab/>
      </w:r>
      <w:r>
        <w:tab/>
      </w:r>
      <w:r>
        <w:tab/>
      </w:r>
      <w:r w:rsidRPr="00015669">
        <w:tab/>
      </w:r>
      <w:r w:rsidRPr="00015669">
        <w:tab/>
      </w:r>
      <w:r w:rsidRPr="00015669">
        <w:tab/>
      </w:r>
      <w:r w:rsidRPr="00015669">
        <w:tab/>
      </w:r>
      <w:r w:rsidRPr="00015669">
        <w:tab/>
      </w:r>
      <w:r w:rsidRPr="00015669">
        <w:tab/>
      </w:r>
      <w:r w:rsidRPr="00015669">
        <w:tab/>
      </w:r>
      <w:r w:rsidRPr="00015669">
        <w:tab/>
      </w:r>
      <w:r w:rsidRPr="00015669">
        <w:tab/>
      </w:r>
    </w:p>
    <w:p w:rsidR="004F203F" w:rsidRPr="00015669" w:rsidRDefault="004F203F" w:rsidP="004F203F">
      <w:pPr>
        <w:jc w:val="both"/>
        <w:rPr>
          <w:b/>
        </w:rPr>
      </w:pPr>
      <w:r w:rsidRPr="00015669">
        <w:rPr>
          <w:b/>
        </w:rPr>
        <w:t>3</w:t>
      </w:r>
      <w:r w:rsidRPr="00015669">
        <w:rPr>
          <w:b/>
        </w:rPr>
        <w:tab/>
        <w:t>North Lincolnshire GP Practices:</w:t>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p>
    <w:p w:rsidR="004F203F" w:rsidRPr="00015669" w:rsidRDefault="004F203F" w:rsidP="004F203F">
      <w:pPr>
        <w:jc w:val="both"/>
      </w:pPr>
      <w:r w:rsidRPr="00015669">
        <w:t>NHS North Lincolnshire CCG is comprised of 19 practice members and split into three Care Networks East, West and South.</w:t>
      </w:r>
      <w:r w:rsidRPr="00015669">
        <w:tab/>
      </w:r>
      <w:r w:rsidRPr="00015669">
        <w:tab/>
      </w:r>
      <w:r w:rsidRPr="00015669">
        <w:tab/>
      </w:r>
      <w:r w:rsidRPr="00015669">
        <w:tab/>
      </w:r>
      <w:r w:rsidRPr="00015669">
        <w:tab/>
      </w:r>
      <w:r w:rsidRPr="00015669">
        <w:tab/>
      </w:r>
      <w:r w:rsidRPr="00015669">
        <w:tab/>
      </w:r>
      <w:r w:rsidRPr="00015669">
        <w:tab/>
      </w:r>
      <w:r w:rsidRPr="00015669">
        <w:tab/>
      </w:r>
    </w:p>
    <w:p w:rsidR="004F203F" w:rsidRPr="00015669" w:rsidRDefault="004F203F" w:rsidP="004F203F">
      <w:pPr>
        <w:jc w:val="both"/>
      </w:pPr>
    </w:p>
    <w:p w:rsidR="004F203F" w:rsidRPr="00015669" w:rsidRDefault="004F203F" w:rsidP="004F203F">
      <w:pPr>
        <w:jc w:val="both"/>
        <w:rPr>
          <w:b/>
        </w:rPr>
      </w:pPr>
      <w:r w:rsidRPr="00015669">
        <w:rPr>
          <w:b/>
        </w:rPr>
        <w:t>4</w:t>
      </w:r>
      <w:r w:rsidRPr="00015669">
        <w:rPr>
          <w:b/>
        </w:rPr>
        <w:tab/>
        <w:t xml:space="preserve">Care networks </w:t>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p>
    <w:p w:rsidR="004F203F" w:rsidRPr="00015669" w:rsidRDefault="004F203F" w:rsidP="004F203F">
      <w:pPr>
        <w:jc w:val="both"/>
      </w:pPr>
      <w:r w:rsidRPr="00015669">
        <w:lastRenderedPageBreak/>
        <w:t>NHS North Lincolnshire CCG is comprised of 19 practice members and split into three Care Networks East, West and South.</w:t>
      </w:r>
      <w:r w:rsidRPr="00015669">
        <w:tab/>
      </w:r>
      <w:r>
        <w:t xml:space="preserve">  </w:t>
      </w:r>
      <w:r w:rsidRPr="00015669">
        <w:t>Care Net</w:t>
      </w:r>
      <w:r>
        <w:t>work profiles are available on:</w:t>
      </w:r>
      <w:r w:rsidRPr="00015669">
        <w:t xml:space="preserve"> </w:t>
      </w:r>
      <w:hyperlink r:id="rId9" w:history="1">
        <w:r w:rsidRPr="00C36A1E">
          <w:rPr>
            <w:rStyle w:val="Hyperlink"/>
          </w:rPr>
          <w:t>http://biz.nyhcsu.org.uk/nlccg/data/uploads/current/care-networks/Care%20Networks.pdf</w:t>
        </w:r>
      </w:hyperlink>
      <w:r>
        <w:t xml:space="preserve">  c</w:t>
      </w:r>
      <w:r w:rsidRPr="00AF14DE">
        <w:t>omplimented by the GP profiles.</w:t>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p>
    <w:p w:rsidR="004F203F" w:rsidRDefault="004F203F" w:rsidP="004F203F">
      <w:pPr>
        <w:jc w:val="both"/>
        <w:rPr>
          <w:b/>
        </w:rPr>
      </w:pPr>
    </w:p>
    <w:p w:rsidR="004F203F" w:rsidRDefault="004F203F" w:rsidP="004F203F">
      <w:pPr>
        <w:jc w:val="both"/>
        <w:rPr>
          <w:b/>
        </w:rPr>
      </w:pPr>
    </w:p>
    <w:p w:rsidR="004F203F" w:rsidRPr="00015669" w:rsidRDefault="004F203F" w:rsidP="004F203F">
      <w:pPr>
        <w:jc w:val="both"/>
        <w:rPr>
          <w:b/>
        </w:rPr>
      </w:pPr>
      <w:r w:rsidRPr="00015669">
        <w:rPr>
          <w:b/>
        </w:rPr>
        <w:t xml:space="preserve">5 </w:t>
      </w:r>
      <w:r w:rsidRPr="00015669">
        <w:rPr>
          <w:b/>
        </w:rPr>
        <w:tab/>
        <w:t>Narrative</w:t>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r w:rsidRPr="00015669">
        <w:rPr>
          <w:b/>
        </w:rPr>
        <w:tab/>
      </w:r>
    </w:p>
    <w:p w:rsidR="004F203F" w:rsidRDefault="004F203F" w:rsidP="004F203F">
      <w:pPr>
        <w:jc w:val="both"/>
      </w:pPr>
      <w:r w:rsidRPr="00015669">
        <w:t>The following narrative provides a written account of any key issues highlighted from the Dashboard performance tables and graphs on the successive pages.</w:t>
      </w:r>
      <w:r w:rsidRPr="00015669">
        <w:tab/>
      </w:r>
    </w:p>
    <w:p w:rsidR="004F203F" w:rsidRPr="00015669" w:rsidRDefault="004F203F" w:rsidP="004F203F">
      <w:pPr>
        <w:jc w:val="both"/>
      </w:pPr>
      <w:r w:rsidRPr="00015669">
        <w:tab/>
      </w:r>
      <w:r w:rsidRPr="00015669">
        <w:tab/>
      </w:r>
      <w:r w:rsidRPr="00015669">
        <w:tab/>
      </w:r>
      <w:r w:rsidRPr="00015669">
        <w:tab/>
      </w:r>
    </w:p>
    <w:p w:rsidR="004F203F" w:rsidRDefault="004F203F" w:rsidP="004F203F">
      <w:pPr>
        <w:jc w:val="both"/>
        <w:rPr>
          <w:i/>
        </w:rPr>
      </w:pPr>
      <w:r w:rsidRPr="00015669">
        <w:rPr>
          <w:i/>
        </w:rPr>
        <w:t>5.1</w:t>
      </w:r>
      <w:r w:rsidRPr="00015669">
        <w:rPr>
          <w:i/>
        </w:rPr>
        <w:tab/>
        <w:t xml:space="preserve">F&amp;FT </w:t>
      </w:r>
      <w:r w:rsidRPr="00015669">
        <w:rPr>
          <w:i/>
        </w:rPr>
        <w:tab/>
      </w:r>
    </w:p>
    <w:p w:rsidR="004F203F" w:rsidRPr="00015669" w:rsidRDefault="004F203F" w:rsidP="004F203F">
      <w:pPr>
        <w:jc w:val="both"/>
        <w:rPr>
          <w:i/>
        </w:rPr>
      </w:pPr>
      <w:r w:rsidRPr="00015669">
        <w:rPr>
          <w:i/>
        </w:rPr>
        <w:tab/>
      </w:r>
      <w:r w:rsidRPr="00015669">
        <w:rPr>
          <w:i/>
        </w:rPr>
        <w:tab/>
      </w:r>
      <w:r w:rsidRPr="00015669">
        <w:rPr>
          <w:i/>
        </w:rPr>
        <w:tab/>
      </w:r>
      <w:r w:rsidRPr="00015669">
        <w:rPr>
          <w:i/>
        </w:rPr>
        <w:tab/>
      </w:r>
      <w:r w:rsidRPr="00015669">
        <w:rPr>
          <w:i/>
        </w:rPr>
        <w:tab/>
      </w:r>
      <w:r w:rsidRPr="00015669">
        <w:rPr>
          <w:i/>
        </w:rPr>
        <w:tab/>
      </w:r>
      <w:r w:rsidRPr="00015669">
        <w:rPr>
          <w:i/>
        </w:rPr>
        <w:tab/>
      </w:r>
      <w:r w:rsidRPr="00015669">
        <w:rPr>
          <w:i/>
        </w:rPr>
        <w:tab/>
      </w:r>
    </w:p>
    <w:p w:rsidR="004F203F" w:rsidRDefault="004F203F" w:rsidP="004F203F">
      <w:pPr>
        <w:jc w:val="both"/>
      </w:pPr>
      <w:r>
        <w:t xml:space="preserve">Currently, there are six practices in North Lincolnshire for which no data is provided.  In addition, </w:t>
      </w:r>
      <w:r w:rsidRPr="009672D2">
        <w:t>there were too few responses for Church Lane Medical Centre &amp; Killingholme Surgery to calculate an accurate percentage.</w:t>
      </w:r>
      <w:r>
        <w:t xml:space="preserve">  </w:t>
      </w:r>
    </w:p>
    <w:p w:rsidR="004F203F" w:rsidRDefault="004F203F" w:rsidP="004F203F">
      <w:pPr>
        <w:jc w:val="both"/>
      </w:pPr>
    </w:p>
    <w:p w:rsidR="004F203F" w:rsidRDefault="004F203F" w:rsidP="004F203F">
      <w:pPr>
        <w:jc w:val="both"/>
      </w:pPr>
      <w:r>
        <w:t>Compared to March 2017 data there are no significant changes in response rates and overall the data suggests that a substantial number of patients would recommend their Practice.</w:t>
      </w:r>
    </w:p>
    <w:p w:rsidR="004F203F" w:rsidRDefault="004F203F" w:rsidP="004F203F">
      <w:pPr>
        <w:jc w:val="both"/>
      </w:pPr>
      <w:r>
        <w:t xml:space="preserve"> </w:t>
      </w:r>
    </w:p>
    <w:p w:rsidR="004F203F" w:rsidRPr="00015669" w:rsidRDefault="004F203F" w:rsidP="004F203F">
      <w:pPr>
        <w:jc w:val="both"/>
      </w:pPr>
      <w:r w:rsidRPr="00015669">
        <w:t xml:space="preserve">The Friends and Family Test (FFT) is an important feedback tool that supports the fundamental principle that people who use NHS services should have the opportunity to provide feedback on their experience. </w:t>
      </w:r>
      <w:r>
        <w:t xml:space="preserve"> </w:t>
      </w:r>
      <w:r w:rsidRPr="00015669">
        <w:t xml:space="preserve">It asks people if they would recommend the services they have used and offers a range of responses. </w:t>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p>
    <w:p w:rsidR="004F203F" w:rsidRPr="00015669" w:rsidRDefault="004F203F" w:rsidP="004F203F">
      <w:pPr>
        <w:jc w:val="both"/>
      </w:pPr>
      <w:r w:rsidRPr="00015669">
        <w:t>When combined with supplementary follow-up questions, the FFT provides a mechanism to highlight both a good and poor patient experience.</w:t>
      </w:r>
      <w:r>
        <w:t xml:space="preserve"> </w:t>
      </w:r>
      <w:r w:rsidRPr="00015669">
        <w:t xml:space="preserve"> This feedback is vital in transforming NHS services and supporting patient choice.</w:t>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p>
    <w:p w:rsidR="004F203F" w:rsidRDefault="004F203F" w:rsidP="004F203F">
      <w:pPr>
        <w:jc w:val="both"/>
        <w:rPr>
          <w:i/>
        </w:rPr>
      </w:pPr>
      <w:r w:rsidRPr="00015669">
        <w:rPr>
          <w:i/>
        </w:rPr>
        <w:t>5.2</w:t>
      </w:r>
      <w:r w:rsidRPr="00015669">
        <w:rPr>
          <w:i/>
        </w:rPr>
        <w:tab/>
        <w:t>GP Survey</w:t>
      </w:r>
      <w:r w:rsidRPr="00015669">
        <w:rPr>
          <w:i/>
        </w:rPr>
        <w:tab/>
      </w:r>
    </w:p>
    <w:p w:rsidR="004F203F" w:rsidRPr="00015669" w:rsidRDefault="004F203F" w:rsidP="004F203F">
      <w:pPr>
        <w:jc w:val="both"/>
        <w:rPr>
          <w:i/>
        </w:rPr>
      </w:pPr>
      <w:r w:rsidRPr="00015669">
        <w:rPr>
          <w:i/>
        </w:rPr>
        <w:tab/>
      </w:r>
      <w:r w:rsidRPr="00015669">
        <w:rPr>
          <w:i/>
        </w:rPr>
        <w:tab/>
      </w:r>
      <w:r w:rsidRPr="00015669">
        <w:rPr>
          <w:i/>
        </w:rPr>
        <w:tab/>
      </w:r>
      <w:r w:rsidRPr="00015669">
        <w:rPr>
          <w:i/>
        </w:rPr>
        <w:tab/>
      </w:r>
    </w:p>
    <w:p w:rsidR="004F203F" w:rsidRPr="00015669" w:rsidRDefault="004F203F" w:rsidP="004F203F">
      <w:pPr>
        <w:jc w:val="both"/>
      </w:pPr>
      <w:r w:rsidRPr="00015669">
        <w:t>Overall Patient Experience</w:t>
      </w:r>
      <w:r>
        <w:t xml:space="preserve"> from March 2017 suggests that 81% </w:t>
      </w:r>
      <w:r w:rsidRPr="00015669">
        <w:t>of respondents rated their overall experience with their GP practice as either good or very good</w:t>
      </w:r>
      <w:r>
        <w:t xml:space="preserve"> compared to 85% in 2016</w:t>
      </w:r>
      <w:r w:rsidRPr="00015669">
        <w:t xml:space="preserve">; with </w:t>
      </w:r>
      <w:r>
        <w:t xml:space="preserve"> 14%</w:t>
      </w:r>
      <w:r w:rsidRPr="00015669">
        <w:t xml:space="preserve"> of respondents rating their experience as neither good nor bad</w:t>
      </w:r>
      <w:r>
        <w:t xml:space="preserve"> (compared to 10% previously)</w:t>
      </w:r>
      <w:r w:rsidRPr="00015669">
        <w:t xml:space="preserve"> and the remaining 5% rating either fairly poor or very poor.</w:t>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p>
    <w:p w:rsidR="004F203F" w:rsidRDefault="004F203F" w:rsidP="004F203F">
      <w:pPr>
        <w:jc w:val="both"/>
      </w:pPr>
      <w:r w:rsidRPr="00015669">
        <w:t>The Primary Care team supports and encourages pr</w:t>
      </w:r>
      <w:r>
        <w:t>actices to improve response rate, particularly as there has been a slight drop in response rate from 45% in 2016 to 44% in March 2017,</w:t>
      </w:r>
      <w:r w:rsidRPr="00015669">
        <w:t xml:space="preserve"> and identify areas that can be improved.</w:t>
      </w:r>
      <w:r w:rsidRPr="00015669">
        <w:tab/>
      </w:r>
    </w:p>
    <w:p w:rsidR="004F203F" w:rsidRDefault="004F203F" w:rsidP="004F203F">
      <w:pPr>
        <w:jc w:val="both"/>
      </w:pPr>
    </w:p>
    <w:p w:rsidR="004F203F" w:rsidRDefault="004F203F" w:rsidP="004F203F">
      <w:pPr>
        <w:jc w:val="both"/>
      </w:pPr>
      <w:r>
        <w:t>5.3</w:t>
      </w:r>
      <w:r>
        <w:tab/>
        <w:t>Patient Online</w:t>
      </w:r>
    </w:p>
    <w:p w:rsidR="004F203F" w:rsidRDefault="004F203F" w:rsidP="004F203F">
      <w:pPr>
        <w:jc w:val="both"/>
      </w:pPr>
    </w:p>
    <w:p w:rsidR="004F203F" w:rsidRPr="00015669" w:rsidRDefault="004F203F" w:rsidP="004F203F">
      <w:pPr>
        <w:jc w:val="both"/>
      </w:pPr>
      <w:r>
        <w:t>Reporting up to March 2017 identifies 4 practices unable to meet the combined 10% benchmark for patient online registrations for appointments and prescription requests.  One practice in particular has fallen below this benchmark.  All practices have continued to promote Patient Online and other strategies for increasing registrations are being explored.</w:t>
      </w:r>
      <w:r w:rsidRPr="00015669">
        <w:tab/>
      </w:r>
      <w:r>
        <w:t>Primary Care is assured however, that all practices do endeavour to promote Patient Online.</w:t>
      </w:r>
      <w:r w:rsidRPr="00015669">
        <w:tab/>
      </w:r>
      <w:r w:rsidRPr="00015669">
        <w:tab/>
      </w:r>
      <w:r w:rsidRPr="00015669">
        <w:tab/>
      </w:r>
      <w:r w:rsidRPr="00015669">
        <w:tab/>
      </w:r>
      <w:r w:rsidRPr="00015669">
        <w:tab/>
      </w:r>
      <w:r w:rsidRPr="00015669">
        <w:lastRenderedPageBreak/>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p>
    <w:p w:rsidR="004F203F" w:rsidRDefault="004F203F" w:rsidP="004F203F">
      <w:pPr>
        <w:jc w:val="both"/>
        <w:rPr>
          <w:i/>
        </w:rPr>
      </w:pPr>
      <w:r w:rsidRPr="00015669">
        <w:rPr>
          <w:i/>
        </w:rPr>
        <w:t>5</w:t>
      </w:r>
      <w:r>
        <w:rPr>
          <w:i/>
        </w:rPr>
        <w:t>.4</w:t>
      </w:r>
      <w:r w:rsidRPr="00015669">
        <w:rPr>
          <w:i/>
        </w:rPr>
        <w:tab/>
        <w:t xml:space="preserve">Quality Outcomes Framework </w:t>
      </w:r>
      <w:r w:rsidRPr="00015669">
        <w:rPr>
          <w:i/>
        </w:rPr>
        <w:tab/>
      </w:r>
      <w:r w:rsidRPr="00015669">
        <w:rPr>
          <w:i/>
        </w:rPr>
        <w:tab/>
      </w:r>
    </w:p>
    <w:p w:rsidR="004F203F" w:rsidRPr="00015669" w:rsidRDefault="004F203F" w:rsidP="004F203F">
      <w:pPr>
        <w:jc w:val="both"/>
        <w:rPr>
          <w:i/>
        </w:rPr>
      </w:pPr>
      <w:r w:rsidRPr="00015669">
        <w:rPr>
          <w:i/>
        </w:rPr>
        <w:tab/>
      </w:r>
      <w:r w:rsidRPr="00015669">
        <w:rPr>
          <w:i/>
        </w:rPr>
        <w:tab/>
      </w:r>
      <w:r w:rsidRPr="00015669">
        <w:rPr>
          <w:i/>
        </w:rPr>
        <w:tab/>
      </w:r>
      <w:r w:rsidRPr="00015669">
        <w:rPr>
          <w:i/>
        </w:rPr>
        <w:tab/>
      </w:r>
      <w:r w:rsidRPr="00015669">
        <w:rPr>
          <w:i/>
        </w:rPr>
        <w:tab/>
      </w:r>
      <w:r w:rsidRPr="00015669">
        <w:rPr>
          <w:i/>
        </w:rPr>
        <w:tab/>
      </w:r>
      <w:r w:rsidRPr="00015669">
        <w:rPr>
          <w:i/>
        </w:rPr>
        <w:tab/>
      </w:r>
      <w:r w:rsidRPr="00015669">
        <w:rPr>
          <w:i/>
        </w:rPr>
        <w:tab/>
      </w:r>
    </w:p>
    <w:p w:rsidR="004F203F" w:rsidRPr="00015669" w:rsidRDefault="004F203F" w:rsidP="004F203F">
      <w:pPr>
        <w:jc w:val="both"/>
      </w:pPr>
      <w:r w:rsidRPr="00015669">
        <w:t>The Quality Outcomes Framework (QOF) is the annual reward and incentive programme detailing GP practice achievement results.  Rewarding practices for the provision of quality care and helps standardise improvement in the delivery of primary medic</w:t>
      </w:r>
      <w:r>
        <w:t>al services.</w:t>
      </w:r>
      <w:r>
        <w:tab/>
      </w:r>
      <w:r>
        <w:tab/>
      </w:r>
      <w:r>
        <w:tab/>
      </w:r>
      <w:r>
        <w:tab/>
      </w:r>
      <w:r>
        <w:tab/>
      </w:r>
      <w:r>
        <w:tab/>
      </w:r>
      <w:r>
        <w:tab/>
      </w:r>
      <w:r>
        <w:tab/>
      </w:r>
      <w:r>
        <w:tab/>
      </w:r>
      <w:r>
        <w:tab/>
      </w:r>
      <w:r>
        <w:tab/>
      </w:r>
      <w:r>
        <w:tab/>
      </w:r>
      <w:r>
        <w:tab/>
      </w:r>
      <w:r>
        <w:tab/>
      </w:r>
      <w:r>
        <w:tab/>
      </w:r>
      <w:r>
        <w:tab/>
      </w:r>
      <w:r>
        <w:tab/>
      </w:r>
      <w:r>
        <w:tab/>
      </w:r>
      <w:r>
        <w:tab/>
      </w:r>
      <w:r w:rsidRPr="00015669">
        <w:tab/>
      </w:r>
      <w:r w:rsidRPr="00015669">
        <w:tab/>
      </w:r>
      <w:r w:rsidRPr="00015669">
        <w:tab/>
      </w:r>
      <w:r w:rsidRPr="00015669">
        <w:tab/>
      </w:r>
      <w:r w:rsidRPr="00015669">
        <w:tab/>
      </w:r>
    </w:p>
    <w:p w:rsidR="004F203F" w:rsidRPr="00015669" w:rsidRDefault="004F203F" w:rsidP="004F203F">
      <w:pPr>
        <w:jc w:val="both"/>
      </w:pPr>
      <w:r w:rsidRPr="00015669">
        <w:t>The most recent QOF publication provides data for the reporting year April 2015 to March 2016.</w:t>
      </w:r>
      <w:r>
        <w:t xml:space="preserve"> </w:t>
      </w:r>
      <w:r w:rsidRPr="00015669">
        <w:t xml:space="preserve"> The indicators for the QOF change annually, with new measures and indicators been retired.</w:t>
      </w:r>
      <w:r>
        <w:t xml:space="preserve"> </w:t>
      </w:r>
      <w:r w:rsidRPr="00015669">
        <w:t xml:space="preserve"> The 2015/16 QOF awarded practices achievement points for:</w:t>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p>
    <w:p w:rsidR="004F203F" w:rsidRDefault="004F203F" w:rsidP="004F203F">
      <w:pPr>
        <w:pStyle w:val="ListParagraph"/>
        <w:numPr>
          <w:ilvl w:val="0"/>
          <w:numId w:val="9"/>
        </w:numPr>
        <w:spacing w:after="0"/>
        <w:jc w:val="both"/>
      </w:pPr>
      <w:r w:rsidRPr="00015669">
        <w:t>Managing some of the most common chronic disease</w:t>
      </w:r>
      <w:r>
        <w:t>s, e.g. asthma and diabetes</w:t>
      </w:r>
      <w:r w:rsidRPr="00015669">
        <w:tab/>
      </w:r>
      <w:r w:rsidRPr="00015669">
        <w:tab/>
      </w:r>
      <w:r w:rsidRPr="00015669">
        <w:tab/>
      </w:r>
      <w:r w:rsidRPr="00015669">
        <w:tab/>
      </w:r>
    </w:p>
    <w:p w:rsidR="004F203F" w:rsidRDefault="004F203F" w:rsidP="004F203F">
      <w:pPr>
        <w:pStyle w:val="ListParagraph"/>
        <w:numPr>
          <w:ilvl w:val="0"/>
          <w:numId w:val="9"/>
        </w:numPr>
        <w:spacing w:after="0"/>
        <w:jc w:val="both"/>
      </w:pPr>
      <w:r w:rsidRPr="00015669">
        <w:t>Managing major public health concerns</w:t>
      </w:r>
      <w:r>
        <w:t>, e.g. smoking and obesity</w:t>
      </w:r>
      <w:r>
        <w:tab/>
      </w:r>
      <w:r>
        <w:tab/>
      </w:r>
      <w:r>
        <w:tab/>
      </w:r>
      <w:r>
        <w:tab/>
      </w:r>
    </w:p>
    <w:p w:rsidR="004F203F" w:rsidRPr="00015669" w:rsidRDefault="004F203F" w:rsidP="004F203F">
      <w:pPr>
        <w:pStyle w:val="ListParagraph"/>
        <w:numPr>
          <w:ilvl w:val="0"/>
          <w:numId w:val="9"/>
        </w:numPr>
        <w:spacing w:after="0"/>
        <w:jc w:val="both"/>
      </w:pPr>
      <w:r w:rsidRPr="00015669">
        <w:t>Implementing preventative measures, e.g. regular blood pressure checks</w:t>
      </w:r>
      <w:r w:rsidRPr="00015669">
        <w:tab/>
      </w:r>
      <w:r w:rsidRPr="00015669">
        <w:tab/>
      </w:r>
      <w:r w:rsidRPr="00015669">
        <w:tab/>
      </w:r>
      <w:r w:rsidRPr="00015669">
        <w:tab/>
      </w:r>
    </w:p>
    <w:p w:rsidR="004F203F" w:rsidRPr="00015669" w:rsidRDefault="004F203F" w:rsidP="004F203F">
      <w:pPr>
        <w:jc w:val="both"/>
      </w:pPr>
      <w:r w:rsidRPr="00015669">
        <w:tab/>
      </w:r>
      <w:r w:rsidRPr="00015669">
        <w:tab/>
      </w:r>
      <w:r w:rsidRPr="00015669">
        <w:tab/>
      </w:r>
      <w:r w:rsidRPr="00015669">
        <w:tab/>
      </w:r>
      <w:r w:rsidRPr="00015669">
        <w:tab/>
      </w:r>
      <w:r w:rsidRPr="00015669">
        <w:tab/>
      </w:r>
    </w:p>
    <w:p w:rsidR="004F203F" w:rsidRPr="00015669" w:rsidRDefault="004F203F" w:rsidP="004F203F">
      <w:pPr>
        <w:jc w:val="both"/>
      </w:pPr>
      <w:r w:rsidRPr="00015669">
        <w:t xml:space="preserve">Practices are encouraged to work to achieve QOF. </w:t>
      </w:r>
      <w:r>
        <w:t xml:space="preserve"> </w:t>
      </w:r>
      <w:r w:rsidRPr="00015669">
        <w:t>Where they have difficulties reviewing some of the patients they have the option to ‘exception report’ them.  This should only be used once maximum effort has been taken to obtain patient engagement with the process.</w:t>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p>
    <w:p w:rsidR="004F203F" w:rsidRPr="00015669" w:rsidRDefault="004F203F" w:rsidP="004F203F">
      <w:pPr>
        <w:jc w:val="both"/>
      </w:pPr>
      <w:r w:rsidRPr="00015669">
        <w:t>High exception reporting practices will be reviewed to understand the challenges experienced by the practices.</w:t>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p>
    <w:p w:rsidR="004F203F" w:rsidRPr="00015669" w:rsidRDefault="004F203F" w:rsidP="004F203F">
      <w:pPr>
        <w:jc w:val="both"/>
      </w:pPr>
      <w:r w:rsidRPr="00015669">
        <w:t>The CCG together with NHS England following review will look to pr</w:t>
      </w:r>
      <w:r>
        <w:t xml:space="preserve">ovide support and in some cases </w:t>
      </w:r>
      <w:r w:rsidRPr="00015669">
        <w:t xml:space="preserve">may challenge the </w:t>
      </w:r>
      <w:r>
        <w:t>financial outcomes.</w:t>
      </w:r>
      <w:r>
        <w:tab/>
      </w:r>
      <w:r>
        <w:tab/>
      </w:r>
      <w:r>
        <w:tab/>
      </w:r>
      <w:r>
        <w:tab/>
      </w:r>
      <w:r>
        <w:tab/>
      </w:r>
      <w:r>
        <w:tab/>
      </w:r>
      <w:r>
        <w:tab/>
      </w:r>
      <w:r>
        <w:tab/>
      </w:r>
      <w:r>
        <w:tab/>
      </w:r>
      <w:r>
        <w:tab/>
      </w:r>
      <w:r>
        <w:tab/>
      </w:r>
      <w:r>
        <w:tab/>
      </w:r>
    </w:p>
    <w:p w:rsidR="004F203F" w:rsidRDefault="004F203F" w:rsidP="004F203F">
      <w:pPr>
        <w:jc w:val="both"/>
        <w:rPr>
          <w:i/>
        </w:rPr>
      </w:pPr>
    </w:p>
    <w:p w:rsidR="004F203F" w:rsidRDefault="004F203F" w:rsidP="004F203F">
      <w:pPr>
        <w:jc w:val="both"/>
      </w:pPr>
      <w:r w:rsidRPr="00116923">
        <w:rPr>
          <w:i/>
        </w:rPr>
        <w:t>5.</w:t>
      </w:r>
      <w:r>
        <w:rPr>
          <w:i/>
        </w:rPr>
        <w:t>5</w:t>
      </w:r>
      <w:r w:rsidRPr="00116923">
        <w:rPr>
          <w:i/>
        </w:rPr>
        <w:tab/>
        <w:t>North Lincolnshire GP Practice Profiles (produced by NLC Public Health Intelligence</w:t>
      </w:r>
      <w:r>
        <w:t>)</w:t>
      </w:r>
    </w:p>
    <w:p w:rsidR="004F203F" w:rsidRPr="00015669" w:rsidRDefault="004F203F" w:rsidP="004F203F">
      <w:pPr>
        <w:jc w:val="both"/>
      </w:pPr>
    </w:p>
    <w:p w:rsidR="004F203F" w:rsidRDefault="004F203F" w:rsidP="004F203F">
      <w:pPr>
        <w:jc w:val="both"/>
      </w:pPr>
      <w:r>
        <w:t>T</w:t>
      </w:r>
      <w:r w:rsidRPr="00015669">
        <w:t>hese 3 GP practice profiles provide a snapshot of some public health indicators at GP practice level, and are intended to complement the Care Network Profiles produced on behalf of the ACP.</w:t>
      </w:r>
    </w:p>
    <w:p w:rsidR="004F203F" w:rsidRDefault="004F203F" w:rsidP="004F203F">
      <w:pPr>
        <w:jc w:val="both"/>
      </w:pPr>
      <w:hyperlink r:id="rId10" w:history="1">
        <w:r w:rsidRPr="00C36A1E">
          <w:rPr>
            <w:rStyle w:val="Hyperlink"/>
          </w:rPr>
          <w:t>http://biz.nyhcsu.org.uk/nlccg/data/uploads/current/care-networks/Care%20Networks.pdf</w:t>
        </w:r>
      </w:hyperlink>
    </w:p>
    <w:p w:rsidR="004F203F" w:rsidRPr="00015669" w:rsidRDefault="004F203F" w:rsidP="004F203F">
      <w:pPr>
        <w:jc w:val="both"/>
      </w:pPr>
      <w:r>
        <w:tab/>
      </w:r>
      <w:r>
        <w:tab/>
      </w:r>
      <w:r>
        <w:tab/>
      </w:r>
      <w:r w:rsidRPr="00015669">
        <w:tab/>
      </w:r>
      <w:r w:rsidRPr="00015669">
        <w:tab/>
      </w:r>
      <w:r w:rsidRPr="00015669">
        <w:tab/>
      </w:r>
      <w:r w:rsidRPr="00015669">
        <w:tab/>
      </w:r>
      <w:r w:rsidRPr="00015669">
        <w:tab/>
      </w:r>
    </w:p>
    <w:p w:rsidR="004F203F" w:rsidRPr="00015669" w:rsidRDefault="004F203F" w:rsidP="004F203F">
      <w:pPr>
        <w:jc w:val="both"/>
      </w:pPr>
      <w:r w:rsidRPr="00015669">
        <w:t xml:space="preserve">They represent a fraction of what Public Health Intelligence can and have already produced at GP practice level. Additional profiles, which are both condition and life-stage specific can be provided.   </w:t>
      </w:r>
      <w:r w:rsidRPr="00015669">
        <w:tab/>
      </w:r>
      <w:r w:rsidRPr="00015669">
        <w:tab/>
      </w:r>
      <w:r w:rsidRPr="00015669">
        <w:tab/>
      </w:r>
      <w:r w:rsidRPr="00015669">
        <w:tab/>
      </w:r>
    </w:p>
    <w:p w:rsidR="004F203F" w:rsidRPr="00015669" w:rsidRDefault="004F203F" w:rsidP="004F203F">
      <w:pPr>
        <w:jc w:val="both"/>
      </w:pPr>
      <w:r w:rsidRPr="00015669">
        <w:tab/>
      </w:r>
      <w:r w:rsidRPr="00015669">
        <w:tab/>
      </w:r>
      <w:r w:rsidRPr="00015669">
        <w:tab/>
      </w:r>
      <w:r w:rsidRPr="00015669">
        <w:tab/>
      </w:r>
      <w:r w:rsidRPr="00015669">
        <w:tab/>
      </w:r>
    </w:p>
    <w:p w:rsidR="004F203F" w:rsidRPr="00015669" w:rsidRDefault="004F203F" w:rsidP="004F203F">
      <w:pPr>
        <w:jc w:val="both"/>
      </w:pPr>
      <w:r w:rsidRPr="00015669">
        <w:t>They are presented in this format to enable readers to compare practices at a glance across a range of population and public health indicators.</w:t>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p>
    <w:p w:rsidR="004F203F" w:rsidRPr="00015669" w:rsidRDefault="004F203F" w:rsidP="004F203F">
      <w:pPr>
        <w:jc w:val="both"/>
      </w:pPr>
      <w:r w:rsidRPr="00015669">
        <w:tab/>
      </w:r>
      <w:r w:rsidRPr="00015669">
        <w:tab/>
      </w:r>
      <w:r w:rsidRPr="00015669">
        <w:tab/>
      </w:r>
      <w:r w:rsidRPr="00015669">
        <w:tab/>
      </w:r>
      <w:r w:rsidRPr="00015669">
        <w:tab/>
      </w:r>
    </w:p>
    <w:p w:rsidR="004F203F" w:rsidRPr="00015669" w:rsidRDefault="004F203F" w:rsidP="004F203F">
      <w:pPr>
        <w:jc w:val="both"/>
      </w:pPr>
      <w:r w:rsidRPr="00015669">
        <w:lastRenderedPageBreak/>
        <w:t xml:space="preserve">They suggest where there might be opportunities for sharing initiatives aimed at reducing risk, improving health, reducing or delaying unnecessary admissions, and improving end of life care.     </w:t>
      </w:r>
      <w:r w:rsidRPr="00015669">
        <w:tab/>
      </w:r>
      <w:r w:rsidRPr="00015669">
        <w:tab/>
      </w:r>
      <w:r w:rsidRPr="00015669">
        <w:tab/>
      </w:r>
      <w:r w:rsidRPr="00015669">
        <w:tab/>
      </w:r>
      <w:r w:rsidRPr="00015669">
        <w:tab/>
      </w:r>
    </w:p>
    <w:p w:rsidR="004F203F" w:rsidRPr="00015669" w:rsidRDefault="004F203F" w:rsidP="004F203F">
      <w:pPr>
        <w:jc w:val="both"/>
      </w:pPr>
      <w:r w:rsidRPr="00015669">
        <w:tab/>
      </w:r>
      <w:r w:rsidRPr="00015669">
        <w:tab/>
      </w:r>
      <w:r w:rsidRPr="00015669">
        <w:tab/>
      </w:r>
      <w:r w:rsidRPr="00015669">
        <w:tab/>
      </w:r>
      <w:r w:rsidRPr="00015669">
        <w:tab/>
      </w:r>
    </w:p>
    <w:p w:rsidR="004F203F" w:rsidRPr="00015669" w:rsidRDefault="004F203F" w:rsidP="004F203F">
      <w:pPr>
        <w:jc w:val="both"/>
      </w:pPr>
      <w:r w:rsidRPr="00015669">
        <w:t xml:space="preserve">The benchmark employed in these profiles is the North Lincolnshire average, although it may be possible to use other comparators, e.g. national or 10 most similar CCGs, where the data are available, and where the data suggest North Lincolnshire as a whole is an ‘outlier’.  </w:t>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p>
    <w:p w:rsidR="004F203F" w:rsidRPr="00015669" w:rsidRDefault="004F203F" w:rsidP="004F203F">
      <w:pPr>
        <w:jc w:val="both"/>
      </w:pPr>
      <w:r w:rsidRPr="00015669">
        <w:t xml:space="preserve">No judgement is made about whether variation between practices is ‘warranted’ or ‘unwarranted’. </w:t>
      </w:r>
      <w:r w:rsidRPr="00015669">
        <w:tab/>
      </w:r>
      <w:r w:rsidRPr="00015669">
        <w:tab/>
      </w:r>
    </w:p>
    <w:p w:rsidR="004F203F" w:rsidRPr="00015669" w:rsidRDefault="004F203F" w:rsidP="004F203F">
      <w:pPr>
        <w:jc w:val="both"/>
      </w:pPr>
      <w:r w:rsidRPr="00015669">
        <w:tab/>
      </w:r>
      <w:r w:rsidRPr="00015669">
        <w:tab/>
      </w:r>
      <w:r w:rsidRPr="00015669">
        <w:tab/>
      </w:r>
      <w:r w:rsidRPr="00015669">
        <w:tab/>
      </w:r>
      <w:r w:rsidRPr="00015669">
        <w:tab/>
      </w:r>
    </w:p>
    <w:p w:rsidR="004F203F" w:rsidRPr="00015669" w:rsidRDefault="004F203F" w:rsidP="004F203F">
      <w:pPr>
        <w:jc w:val="both"/>
      </w:pPr>
      <w:proofErr w:type="gramStart"/>
      <w:r w:rsidRPr="00015669">
        <w:t>The shading highlights which results are statistically significantly different to the North Lincolnshire average, using a 95% confidence interval.</w:t>
      </w:r>
      <w:proofErr w:type="gramEnd"/>
      <w:r w:rsidRPr="00015669">
        <w:t xml:space="preserve">  It is possible to apply a 98% or 99% interval.</w:t>
      </w:r>
      <w:r w:rsidRPr="00015669">
        <w:tab/>
      </w:r>
      <w:r w:rsidRPr="00015669">
        <w:tab/>
      </w:r>
      <w:r w:rsidRPr="00015669">
        <w:tab/>
      </w:r>
      <w:r w:rsidRPr="00015669">
        <w:tab/>
      </w:r>
      <w:r w:rsidRPr="00015669">
        <w:tab/>
      </w:r>
      <w:r w:rsidRPr="00015669">
        <w:tab/>
      </w:r>
    </w:p>
    <w:p w:rsidR="004F203F" w:rsidRPr="00015669" w:rsidRDefault="004F203F" w:rsidP="004F203F">
      <w:pPr>
        <w:jc w:val="both"/>
      </w:pPr>
      <w:r w:rsidRPr="00015669">
        <w:tab/>
      </w:r>
      <w:r w:rsidRPr="00015669">
        <w:tab/>
      </w:r>
      <w:r w:rsidRPr="00015669">
        <w:tab/>
      </w:r>
      <w:r w:rsidRPr="00015669">
        <w:tab/>
      </w:r>
      <w:r w:rsidRPr="00015669">
        <w:tab/>
      </w:r>
      <w:r w:rsidRPr="00015669">
        <w:tab/>
      </w:r>
    </w:p>
    <w:p w:rsidR="004F203F" w:rsidRPr="00015669" w:rsidRDefault="004F203F" w:rsidP="004F203F">
      <w:pPr>
        <w:jc w:val="both"/>
      </w:pPr>
      <w:r w:rsidRPr="00015669">
        <w:t xml:space="preserve">A cell highlighted in blue indicates that the result is significantly below the North Lincolnshire average, and a cell highlighted in orange, that it is significantly above the North Lincolnshire average.  </w:t>
      </w:r>
      <w:proofErr w:type="spellStart"/>
      <w:r w:rsidRPr="00015669">
        <w:t>Unshaded</w:t>
      </w:r>
      <w:proofErr w:type="spellEnd"/>
      <w:r w:rsidRPr="00015669">
        <w:t xml:space="preserve"> cells are not statistically significantly different to the North Lincolnshire CCG average.  Blank cells indicate missing data. </w:t>
      </w:r>
      <w:r w:rsidRPr="00015669">
        <w:tab/>
      </w:r>
    </w:p>
    <w:p w:rsidR="004F203F" w:rsidRPr="00015669" w:rsidRDefault="004F203F" w:rsidP="004F203F">
      <w:pPr>
        <w:jc w:val="both"/>
      </w:pPr>
      <w:r w:rsidRPr="00015669">
        <w:tab/>
      </w:r>
      <w:r w:rsidRPr="00015669">
        <w:tab/>
      </w:r>
      <w:r w:rsidRPr="00015669">
        <w:tab/>
      </w:r>
      <w:r w:rsidRPr="00015669">
        <w:tab/>
      </w:r>
      <w:r w:rsidRPr="00015669">
        <w:tab/>
      </w:r>
    </w:p>
    <w:p w:rsidR="004F203F" w:rsidRPr="00015669" w:rsidRDefault="004F203F" w:rsidP="004F203F">
      <w:pPr>
        <w:jc w:val="both"/>
      </w:pPr>
      <w:r w:rsidRPr="00015669">
        <w:t xml:space="preserve">For some indicators a rate above the CCG average may be desirable, in others a lower rate maybe the desired outcome. In some cases the desired direction of travel is open to local interpretation.    </w:t>
      </w:r>
      <w:r w:rsidRPr="00015669">
        <w:tab/>
      </w:r>
      <w:r w:rsidRPr="00015669">
        <w:tab/>
      </w:r>
      <w:r w:rsidRPr="00015669">
        <w:tab/>
      </w:r>
      <w:r w:rsidRPr="00015669">
        <w:tab/>
      </w:r>
    </w:p>
    <w:p w:rsidR="004F203F" w:rsidRPr="00015669" w:rsidRDefault="004F203F" w:rsidP="004F203F">
      <w:pPr>
        <w:jc w:val="both"/>
      </w:pPr>
      <w:r w:rsidRPr="00015669">
        <w:tab/>
      </w:r>
      <w:r w:rsidRPr="00015669">
        <w:tab/>
      </w:r>
      <w:r w:rsidRPr="00015669">
        <w:tab/>
      </w:r>
      <w:r w:rsidRPr="00015669">
        <w:tab/>
      </w:r>
      <w:r w:rsidRPr="00015669">
        <w:tab/>
      </w:r>
      <w:r w:rsidRPr="00015669">
        <w:tab/>
      </w:r>
    </w:p>
    <w:p w:rsidR="004F203F" w:rsidRPr="00015669" w:rsidRDefault="004F203F" w:rsidP="004F203F">
      <w:pPr>
        <w:jc w:val="both"/>
      </w:pPr>
      <w:r w:rsidRPr="00015669">
        <w:t>The profiles include both raw numbers as well as rates.</w:t>
      </w:r>
      <w:r w:rsidRPr="00015669">
        <w:tab/>
      </w:r>
      <w:r w:rsidRPr="00015669">
        <w:tab/>
      </w:r>
      <w:r w:rsidRPr="00015669">
        <w:tab/>
      </w:r>
      <w:r w:rsidRPr="00015669">
        <w:tab/>
      </w:r>
      <w:r w:rsidRPr="00015669">
        <w:tab/>
      </w:r>
      <w:r w:rsidRPr="00015669">
        <w:tab/>
      </w:r>
      <w:r w:rsidRPr="00015669">
        <w:tab/>
      </w:r>
      <w:r w:rsidRPr="00015669">
        <w:tab/>
      </w:r>
    </w:p>
    <w:p w:rsidR="004F203F" w:rsidRPr="00015669" w:rsidRDefault="004F203F" w:rsidP="004F203F">
      <w:pPr>
        <w:jc w:val="both"/>
      </w:pPr>
      <w:r w:rsidRPr="00015669">
        <w:tab/>
      </w:r>
      <w:r w:rsidRPr="00015669">
        <w:tab/>
      </w:r>
      <w:r w:rsidRPr="00015669">
        <w:tab/>
      </w:r>
      <w:r w:rsidRPr="00015669">
        <w:tab/>
      </w:r>
      <w:r w:rsidRPr="00015669">
        <w:tab/>
      </w:r>
    </w:p>
    <w:p w:rsidR="004F203F" w:rsidRPr="00015669" w:rsidRDefault="004F203F" w:rsidP="004F203F">
      <w:pPr>
        <w:jc w:val="both"/>
      </w:pPr>
      <w:r w:rsidRPr="00015669">
        <w:t xml:space="preserve">We have not used ‘weighted’ practice population data to calculate rates. This data were not available by age group at the time of writing.  </w:t>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p>
    <w:p w:rsidR="004F203F" w:rsidRPr="00015669" w:rsidRDefault="004F203F" w:rsidP="004F203F">
      <w:pPr>
        <w:jc w:val="both"/>
      </w:pPr>
      <w:r w:rsidRPr="00015669">
        <w:tab/>
      </w:r>
      <w:r w:rsidRPr="00015669">
        <w:tab/>
      </w:r>
      <w:r w:rsidRPr="00015669">
        <w:tab/>
      </w:r>
      <w:r w:rsidRPr="00015669">
        <w:tab/>
      </w:r>
      <w:r w:rsidRPr="00015669">
        <w:tab/>
      </w:r>
    </w:p>
    <w:p w:rsidR="004F203F" w:rsidRPr="00015669" w:rsidRDefault="004F203F" w:rsidP="004F203F">
      <w:pPr>
        <w:jc w:val="both"/>
      </w:pPr>
      <w:r w:rsidRPr="00015669">
        <w:t xml:space="preserve">Where possible and appropriate, the rates are directly standardised for age and sex, and thus take account of the different age profiles of GP practice patient lists within North Lincolnshire. </w:t>
      </w:r>
      <w:r w:rsidRPr="00015669">
        <w:tab/>
      </w:r>
      <w:r w:rsidRPr="00015669">
        <w:tab/>
      </w:r>
      <w:r w:rsidRPr="00015669">
        <w:tab/>
      </w:r>
      <w:r w:rsidRPr="00015669">
        <w:tab/>
      </w:r>
      <w:r w:rsidRPr="00015669">
        <w:tab/>
      </w:r>
    </w:p>
    <w:p w:rsidR="004F203F" w:rsidRPr="00015669" w:rsidRDefault="004F203F" w:rsidP="004F203F">
      <w:pPr>
        <w:jc w:val="both"/>
      </w:pPr>
      <w:r w:rsidRPr="00015669">
        <w:tab/>
      </w:r>
      <w:r w:rsidRPr="00015669">
        <w:tab/>
      </w:r>
      <w:r w:rsidRPr="00015669">
        <w:tab/>
      </w:r>
      <w:r w:rsidRPr="00015669">
        <w:tab/>
      </w:r>
      <w:r w:rsidRPr="00015669">
        <w:tab/>
      </w:r>
    </w:p>
    <w:p w:rsidR="004F203F" w:rsidRPr="00015669" w:rsidRDefault="004F203F" w:rsidP="004F203F">
      <w:pPr>
        <w:jc w:val="both"/>
      </w:pPr>
      <w:r w:rsidRPr="00015669">
        <w:t>Although we cannot ‘weight’ each GP practice indicator for deprivation, (another proxy for case mix), we have included the proportion of patients on each practice list who reside in the most deprived 20% neighbourhoods in North Lincolnshire.</w:t>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p>
    <w:p w:rsidR="004F203F" w:rsidRPr="00A73B6D" w:rsidRDefault="004F203F" w:rsidP="004F203F">
      <w:pPr>
        <w:jc w:val="both"/>
        <w:rPr>
          <w:i/>
        </w:rPr>
      </w:pPr>
      <w:r>
        <w:rPr>
          <w:i/>
        </w:rPr>
        <w:t>5.5</w:t>
      </w:r>
      <w:r w:rsidRPr="00A73B6D">
        <w:rPr>
          <w:i/>
        </w:rPr>
        <w:t>.1</w:t>
      </w:r>
      <w:r w:rsidRPr="00A73B6D">
        <w:rPr>
          <w:i/>
        </w:rPr>
        <w:tab/>
        <w:t>Data Sources</w:t>
      </w:r>
    </w:p>
    <w:p w:rsidR="004F203F" w:rsidRPr="00A73B6D" w:rsidRDefault="004F203F" w:rsidP="004F203F">
      <w:pPr>
        <w:jc w:val="both"/>
        <w:rPr>
          <w:u w:val="single"/>
        </w:rPr>
      </w:pPr>
    </w:p>
    <w:p w:rsidR="004F203F" w:rsidRPr="00015669" w:rsidRDefault="004F203F" w:rsidP="004F203F">
      <w:pPr>
        <w:jc w:val="both"/>
      </w:pPr>
      <w:r w:rsidRPr="00015669">
        <w:t>Some of the data sour</w:t>
      </w:r>
      <w:r>
        <w:t>ces, (e.g. Exeter population</w:t>
      </w:r>
      <w:r w:rsidRPr="00015669">
        <w:t>) are publically available.</w:t>
      </w:r>
      <w:r>
        <w:t xml:space="preserve"> </w:t>
      </w:r>
      <w:r w:rsidRPr="00015669">
        <w:t xml:space="preserve"> Other indicators are based on local unpublished data sources, including hospital activity, (HES) and mortality </w:t>
      </w:r>
      <w:r>
        <w:t>data, (PCMD).</w:t>
      </w:r>
      <w:r>
        <w:tab/>
      </w:r>
      <w:r>
        <w:tab/>
      </w:r>
      <w:r>
        <w:tab/>
      </w:r>
      <w:r>
        <w:tab/>
      </w:r>
    </w:p>
    <w:p w:rsidR="004F203F" w:rsidRPr="00015669" w:rsidRDefault="004F203F" w:rsidP="004F203F">
      <w:pPr>
        <w:jc w:val="both"/>
      </w:pPr>
      <w:r w:rsidRPr="00015669">
        <w:tab/>
      </w:r>
      <w:r w:rsidRPr="00015669">
        <w:tab/>
      </w:r>
      <w:r w:rsidRPr="00015669">
        <w:tab/>
      </w:r>
      <w:r w:rsidRPr="00015669">
        <w:tab/>
      </w:r>
      <w:r w:rsidRPr="00015669">
        <w:tab/>
      </w:r>
      <w:r w:rsidRPr="00015669">
        <w:tab/>
      </w:r>
    </w:p>
    <w:p w:rsidR="004F203F" w:rsidRPr="00015669" w:rsidRDefault="004F203F" w:rsidP="004F203F">
      <w:pPr>
        <w:jc w:val="both"/>
      </w:pPr>
      <w:r w:rsidRPr="00015669">
        <w:t xml:space="preserve">Where possible we have used the latest available annual data.  </w:t>
      </w:r>
      <w:r w:rsidRPr="00015669">
        <w:tab/>
      </w:r>
      <w:r w:rsidRPr="00015669">
        <w:tab/>
      </w:r>
      <w:r w:rsidRPr="00015669">
        <w:tab/>
      </w:r>
      <w:r w:rsidRPr="00015669">
        <w:tab/>
      </w:r>
      <w:r w:rsidRPr="00015669">
        <w:tab/>
      </w:r>
      <w:r w:rsidRPr="00015669">
        <w:tab/>
      </w:r>
      <w:r w:rsidRPr="00015669">
        <w:tab/>
      </w:r>
    </w:p>
    <w:p w:rsidR="004F203F" w:rsidRPr="00015669" w:rsidRDefault="004F203F" w:rsidP="004F203F">
      <w:pPr>
        <w:jc w:val="both"/>
      </w:pPr>
      <w:r w:rsidRPr="00015669">
        <w:lastRenderedPageBreak/>
        <w:tab/>
      </w:r>
      <w:r w:rsidRPr="00015669">
        <w:tab/>
      </w:r>
      <w:r w:rsidRPr="00015669">
        <w:tab/>
      </w:r>
      <w:r w:rsidRPr="00015669">
        <w:tab/>
      </w:r>
      <w:r w:rsidRPr="00015669">
        <w:tab/>
      </w:r>
    </w:p>
    <w:p w:rsidR="004F203F" w:rsidRPr="00015669" w:rsidRDefault="004F203F" w:rsidP="004F203F">
      <w:pPr>
        <w:jc w:val="both"/>
      </w:pPr>
      <w:r w:rsidRPr="00015669">
        <w:t xml:space="preserve">Where the number of events is small we have pooled these over three years or more.  Readers will need to take this into account when considering the raw numbers. </w:t>
      </w:r>
      <w:r w:rsidRPr="00015669">
        <w:tab/>
      </w:r>
      <w:r w:rsidRPr="00015669">
        <w:tab/>
      </w:r>
      <w:r w:rsidRPr="00015669">
        <w:tab/>
      </w:r>
      <w:r w:rsidRPr="00015669">
        <w:tab/>
      </w:r>
      <w:r w:rsidRPr="00015669">
        <w:tab/>
      </w:r>
      <w:r w:rsidRPr="00015669">
        <w:tab/>
      </w:r>
      <w:r w:rsidRPr="00015669">
        <w:tab/>
      </w:r>
      <w:r w:rsidRPr="00015669">
        <w:tab/>
      </w:r>
    </w:p>
    <w:p w:rsidR="004F203F" w:rsidRPr="00015669" w:rsidRDefault="004F203F" w:rsidP="004F203F">
      <w:pPr>
        <w:jc w:val="both"/>
      </w:pPr>
      <w:r w:rsidRPr="00015669">
        <w:tab/>
      </w:r>
      <w:r w:rsidRPr="00015669">
        <w:tab/>
      </w:r>
      <w:r w:rsidRPr="00015669">
        <w:tab/>
      </w:r>
      <w:r w:rsidRPr="00015669">
        <w:tab/>
      </w:r>
      <w:r w:rsidRPr="00015669">
        <w:tab/>
      </w:r>
    </w:p>
    <w:p w:rsidR="004F203F" w:rsidRPr="00015669" w:rsidRDefault="004F203F" w:rsidP="004F203F">
      <w:pPr>
        <w:jc w:val="both"/>
      </w:pPr>
      <w:r w:rsidRPr="00015669">
        <w:t>The metadata for each profile is attached.</w:t>
      </w:r>
      <w:r w:rsidRPr="00015669">
        <w:tab/>
      </w:r>
      <w:r w:rsidRPr="00015669">
        <w:tab/>
      </w:r>
      <w:r w:rsidRPr="00015669">
        <w:tab/>
      </w:r>
      <w:r w:rsidRPr="00015669">
        <w:tab/>
      </w:r>
      <w:r w:rsidRPr="00015669">
        <w:tab/>
      </w:r>
      <w:r w:rsidRPr="00015669">
        <w:tab/>
      </w:r>
      <w:r w:rsidRPr="00015669">
        <w:tab/>
      </w:r>
      <w:r w:rsidRPr="00015669">
        <w:tab/>
      </w:r>
      <w:r w:rsidRPr="00015669">
        <w:tab/>
      </w:r>
    </w:p>
    <w:p w:rsidR="004F203F" w:rsidRPr="00015669" w:rsidRDefault="004F203F" w:rsidP="004F203F">
      <w:pPr>
        <w:jc w:val="both"/>
      </w:pPr>
      <w:r w:rsidRPr="00015669">
        <w:tab/>
      </w:r>
      <w:r w:rsidRPr="00015669">
        <w:tab/>
      </w:r>
      <w:r w:rsidRPr="00015669">
        <w:tab/>
      </w:r>
      <w:r w:rsidRPr="00015669">
        <w:tab/>
      </w:r>
      <w:r w:rsidRPr="00015669">
        <w:tab/>
      </w:r>
    </w:p>
    <w:p w:rsidR="004F203F" w:rsidRPr="00A73B6D" w:rsidRDefault="004F203F" w:rsidP="004F203F">
      <w:pPr>
        <w:jc w:val="both"/>
        <w:rPr>
          <w:i/>
        </w:rPr>
      </w:pPr>
      <w:r>
        <w:rPr>
          <w:i/>
        </w:rPr>
        <w:t>5.5</w:t>
      </w:r>
      <w:r w:rsidRPr="00A73B6D">
        <w:rPr>
          <w:i/>
        </w:rPr>
        <w:t>.2</w:t>
      </w:r>
      <w:r w:rsidRPr="00A73B6D">
        <w:rPr>
          <w:i/>
        </w:rPr>
        <w:tab/>
        <w:t xml:space="preserve">What the data suggests… </w:t>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p>
    <w:p w:rsidR="004F203F" w:rsidRPr="00015669" w:rsidRDefault="004F203F" w:rsidP="004F203F">
      <w:pPr>
        <w:jc w:val="both"/>
      </w:pPr>
      <w:r w:rsidRPr="00015669">
        <w:tab/>
      </w:r>
      <w:r w:rsidRPr="00015669">
        <w:tab/>
      </w:r>
      <w:r w:rsidRPr="00015669">
        <w:tab/>
      </w:r>
      <w:r w:rsidRPr="00015669">
        <w:tab/>
      </w:r>
      <w:r w:rsidRPr="00015669">
        <w:tab/>
      </w:r>
      <w:r w:rsidRPr="00015669">
        <w:tab/>
      </w:r>
    </w:p>
    <w:p w:rsidR="004F203F" w:rsidRPr="00A73B6D" w:rsidRDefault="004F203F" w:rsidP="004F203F">
      <w:pPr>
        <w:jc w:val="both"/>
        <w:rPr>
          <w:i/>
        </w:rPr>
      </w:pPr>
      <w:r>
        <w:rPr>
          <w:i/>
        </w:rPr>
        <w:t>5.5</w:t>
      </w:r>
      <w:r w:rsidRPr="00A73B6D">
        <w:rPr>
          <w:i/>
        </w:rPr>
        <w:t>.2.1</w:t>
      </w:r>
      <w:r w:rsidRPr="00A73B6D">
        <w:rPr>
          <w:i/>
        </w:rPr>
        <w:tab/>
        <w:t xml:space="preserve">Adult Profile    </w:t>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p>
    <w:p w:rsidR="004F203F" w:rsidRPr="00015669" w:rsidRDefault="004F203F" w:rsidP="004F203F">
      <w:pPr>
        <w:jc w:val="both"/>
      </w:pPr>
      <w:r w:rsidRPr="00015669">
        <w:t>GP practices which serve some of our most deprived working age residents, have the highest risk factors for poor health, and also tend to have the highest unscheduled admission rates for people under the age of 65 years, including for ambula</w:t>
      </w:r>
      <w:r>
        <w:t xml:space="preserve">tory care sensitive conditions.  </w:t>
      </w:r>
      <w:r w:rsidRPr="00015669">
        <w:t>However there are some noticeable exceptions which suggest opportunities for shared learning and f</w:t>
      </w:r>
      <w:r>
        <w:t>urther improvement.</w:t>
      </w:r>
      <w:r>
        <w:tab/>
      </w:r>
      <w:r>
        <w:tab/>
      </w:r>
      <w:r>
        <w:tab/>
      </w:r>
      <w:r>
        <w:tab/>
      </w:r>
      <w:r>
        <w:tab/>
      </w:r>
      <w:r>
        <w:tab/>
      </w:r>
      <w:r>
        <w:tab/>
      </w:r>
      <w:r w:rsidRPr="00015669">
        <w:tab/>
      </w:r>
      <w:r w:rsidRPr="00015669">
        <w:tab/>
      </w:r>
      <w:r w:rsidRPr="00015669">
        <w:tab/>
      </w:r>
      <w:r w:rsidRPr="00015669">
        <w:tab/>
      </w:r>
      <w:r w:rsidRPr="00015669">
        <w:tab/>
      </w:r>
    </w:p>
    <w:p w:rsidR="004F203F" w:rsidRPr="00015669" w:rsidRDefault="004F203F" w:rsidP="004F203F">
      <w:pPr>
        <w:jc w:val="both"/>
      </w:pPr>
      <w:r w:rsidRPr="00015669">
        <w:t xml:space="preserve">The profiles also highlight opportunities for targeting public health interventions at high risk vulnerable residents, and increasing uptake of early detection and intervention services such as cancer screening, stop smoking and weight management services in communities with low take up.  </w:t>
      </w:r>
      <w:r w:rsidRPr="00015669">
        <w:tab/>
      </w:r>
      <w:r w:rsidRPr="00015669">
        <w:tab/>
      </w:r>
      <w:r w:rsidRPr="00015669">
        <w:tab/>
      </w:r>
      <w:r w:rsidRPr="00015669">
        <w:tab/>
      </w:r>
      <w:r w:rsidRPr="00015669">
        <w:tab/>
      </w:r>
      <w:r w:rsidRPr="00015669">
        <w:tab/>
      </w:r>
      <w:r w:rsidRPr="00015669">
        <w:tab/>
      </w:r>
    </w:p>
    <w:p w:rsidR="004F203F" w:rsidRPr="00015669" w:rsidRDefault="004F203F" w:rsidP="004F203F">
      <w:pPr>
        <w:jc w:val="both"/>
      </w:pPr>
      <w:r w:rsidRPr="00015669">
        <w:tab/>
      </w:r>
      <w:r w:rsidRPr="00015669">
        <w:tab/>
      </w:r>
      <w:r w:rsidRPr="00015669">
        <w:tab/>
      </w:r>
      <w:r w:rsidRPr="00015669">
        <w:tab/>
      </w:r>
      <w:r w:rsidRPr="00015669">
        <w:tab/>
      </w:r>
      <w:r w:rsidRPr="00015669">
        <w:tab/>
      </w:r>
    </w:p>
    <w:p w:rsidR="004F203F" w:rsidRPr="00A73B6D" w:rsidRDefault="004F203F" w:rsidP="004F203F">
      <w:pPr>
        <w:jc w:val="both"/>
        <w:rPr>
          <w:i/>
        </w:rPr>
      </w:pPr>
      <w:r>
        <w:rPr>
          <w:i/>
        </w:rPr>
        <w:t>5.5</w:t>
      </w:r>
      <w:r w:rsidRPr="00A73B6D">
        <w:rPr>
          <w:i/>
        </w:rPr>
        <w:t>.2.2</w:t>
      </w:r>
      <w:r w:rsidRPr="00A73B6D">
        <w:rPr>
          <w:i/>
        </w:rPr>
        <w:tab/>
        <w:t xml:space="preserve">Older Adults </w:t>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p>
    <w:p w:rsidR="004F203F" w:rsidRPr="00015669" w:rsidRDefault="004F203F" w:rsidP="004F203F">
      <w:pPr>
        <w:jc w:val="both"/>
      </w:pPr>
      <w:r w:rsidRPr="00015669">
        <w:t xml:space="preserve">The GP practices which serve some of the poorest and most frail pensioners in North Lincolnshire also tend to have the highest A&amp;E attendance and emergency admission rates of 65+. These GP practices also tend to have number of residential and nursing home residents on their patient lists.  </w:t>
      </w:r>
      <w:r w:rsidRPr="00015669">
        <w:tab/>
      </w:r>
      <w:r w:rsidRPr="00015669">
        <w:tab/>
      </w:r>
      <w:r w:rsidRPr="00015669">
        <w:tab/>
      </w:r>
      <w:r w:rsidRPr="00015669">
        <w:tab/>
      </w:r>
      <w:r w:rsidRPr="00015669">
        <w:tab/>
      </w:r>
      <w:r w:rsidRPr="00015669">
        <w:tab/>
      </w:r>
      <w:r w:rsidRPr="00015669">
        <w:tab/>
      </w:r>
    </w:p>
    <w:p w:rsidR="004F203F" w:rsidRPr="00015669" w:rsidRDefault="004F203F" w:rsidP="004F203F">
      <w:pPr>
        <w:jc w:val="both"/>
      </w:pPr>
      <w:r w:rsidRPr="00015669">
        <w:tab/>
      </w:r>
      <w:r w:rsidRPr="00015669">
        <w:tab/>
      </w:r>
      <w:r w:rsidRPr="00015669">
        <w:tab/>
      </w:r>
      <w:r w:rsidRPr="00015669">
        <w:tab/>
      </w:r>
      <w:r w:rsidRPr="00015669">
        <w:tab/>
      </w:r>
    </w:p>
    <w:p w:rsidR="004F203F" w:rsidRPr="00015669" w:rsidRDefault="004F203F" w:rsidP="004F203F">
      <w:pPr>
        <w:jc w:val="both"/>
      </w:pPr>
      <w:r w:rsidRPr="00015669">
        <w:t>The profiles highlight opportunities for targeting public health interventions aimed at reducing vascular and COPD risk in older age, and increasing uptake of early detection services such as bowel cancer screening and sharing learning within care networks.</w:t>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p>
    <w:p w:rsidR="004F203F" w:rsidRPr="00015669" w:rsidRDefault="004F203F" w:rsidP="004F203F">
      <w:pPr>
        <w:jc w:val="both"/>
      </w:pPr>
      <w:r w:rsidRPr="00015669">
        <w:tab/>
      </w:r>
      <w:r w:rsidRPr="00015669">
        <w:tab/>
      </w:r>
      <w:r w:rsidRPr="00015669">
        <w:tab/>
      </w:r>
      <w:r w:rsidRPr="00015669">
        <w:tab/>
      </w:r>
      <w:r w:rsidRPr="00015669">
        <w:tab/>
      </w:r>
    </w:p>
    <w:p w:rsidR="004F203F" w:rsidRPr="00A73B6D" w:rsidRDefault="004F203F" w:rsidP="004F203F">
      <w:pPr>
        <w:jc w:val="both"/>
        <w:rPr>
          <w:i/>
        </w:rPr>
      </w:pPr>
      <w:r>
        <w:rPr>
          <w:i/>
        </w:rPr>
        <w:t>5.5</w:t>
      </w:r>
      <w:r w:rsidRPr="00A73B6D">
        <w:rPr>
          <w:i/>
        </w:rPr>
        <w:t>.2.3</w:t>
      </w:r>
      <w:r w:rsidRPr="00A73B6D">
        <w:rPr>
          <w:i/>
        </w:rPr>
        <w:tab/>
        <w:t xml:space="preserve">Mortality data </w:t>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p>
    <w:p w:rsidR="004F203F" w:rsidRPr="00015669" w:rsidRDefault="004F203F" w:rsidP="004F203F">
      <w:pPr>
        <w:jc w:val="both"/>
      </w:pPr>
      <w:r w:rsidRPr="00015669">
        <w:t xml:space="preserve">Some of the differences in deprivation, lifestyle risk and activity rates between GP practice populations, are reflected in relative life expectancy and premature mortality rates. </w:t>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p>
    <w:p w:rsidR="004F203F" w:rsidRDefault="004F203F" w:rsidP="004F203F">
      <w:pPr>
        <w:jc w:val="both"/>
      </w:pPr>
      <w:r w:rsidRPr="00015669">
        <w:t>Those practices which serve the most deprived and vulnerable residents tend to have the highest premature death rates and lowest life expectancy, largely as a result of higher rates of premature deaths from lung cancer and respiratory disease.</w:t>
      </w:r>
    </w:p>
    <w:p w:rsidR="004F203F" w:rsidRDefault="004F203F" w:rsidP="004F203F">
      <w:pPr>
        <w:jc w:val="both"/>
      </w:pPr>
    </w:p>
    <w:p w:rsidR="004F203F" w:rsidRPr="00015669" w:rsidRDefault="004F203F" w:rsidP="004F203F">
      <w:pPr>
        <w:jc w:val="both"/>
      </w:pPr>
      <w:r w:rsidRPr="00015669">
        <w:t xml:space="preserve">Some GP practices have a high number and proportion of very frail elderly residents on their patient lists (as measured by deaths in nursing and care homes), suggesting opportunities for sharing best </w:t>
      </w:r>
      <w:r w:rsidRPr="00015669">
        <w:lastRenderedPageBreak/>
        <w:t>practice in supporting end of life care at home/care home between and across care networks.</w:t>
      </w:r>
      <w:r w:rsidRPr="00015669">
        <w:tab/>
      </w:r>
      <w:r w:rsidRPr="00015669">
        <w:tab/>
      </w:r>
      <w:r w:rsidRPr="00015669">
        <w:tab/>
      </w:r>
      <w:r w:rsidRPr="00015669">
        <w:tab/>
      </w:r>
      <w:r w:rsidRPr="00015669">
        <w:tab/>
      </w:r>
      <w:r w:rsidRPr="00015669">
        <w:tab/>
      </w:r>
    </w:p>
    <w:p w:rsidR="004F203F" w:rsidRPr="00015669" w:rsidRDefault="004F203F" w:rsidP="004F203F">
      <w:pPr>
        <w:jc w:val="both"/>
      </w:pPr>
      <w:r w:rsidRPr="00015669">
        <w:tab/>
      </w:r>
    </w:p>
    <w:p w:rsidR="004F203F" w:rsidRPr="00A73B6D" w:rsidRDefault="004F203F" w:rsidP="004F203F">
      <w:pPr>
        <w:jc w:val="both"/>
        <w:rPr>
          <w:i/>
        </w:rPr>
      </w:pPr>
      <w:r>
        <w:rPr>
          <w:i/>
        </w:rPr>
        <w:t>5.6</w:t>
      </w:r>
      <w:r w:rsidRPr="00A73B6D">
        <w:rPr>
          <w:i/>
        </w:rPr>
        <w:tab/>
        <w:t xml:space="preserve">Infection control </w:t>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p>
    <w:p w:rsidR="004F203F" w:rsidRPr="00015669" w:rsidRDefault="004F203F" w:rsidP="004F203F">
      <w:pPr>
        <w:jc w:val="both"/>
      </w:pPr>
      <w:r w:rsidRPr="00015669">
        <w:t xml:space="preserve">Infection Prevention and Control (IPC) audits are completed within GP surgeries by the specialist nurse infection prevention and control North Lincolnshire CCG (NLCCG). </w:t>
      </w:r>
      <w:r>
        <w:t xml:space="preserve"> </w:t>
      </w:r>
      <w:r w:rsidRPr="00015669">
        <w:t xml:space="preserve">Overall Total Audit results are shown as percentages in the graph provided below. The graph below details the IPC audits undertaken in 2015/16 and 2016/17 to date.  </w:t>
      </w:r>
      <w:r w:rsidRPr="00015669">
        <w:tab/>
      </w:r>
      <w:r w:rsidRPr="00015669">
        <w:tab/>
      </w:r>
      <w:r w:rsidRPr="00015669">
        <w:tab/>
      </w:r>
      <w:r w:rsidRPr="00015669">
        <w:tab/>
      </w:r>
      <w:r w:rsidRPr="00015669">
        <w:tab/>
      </w:r>
    </w:p>
    <w:p w:rsidR="004F203F" w:rsidRPr="00015669" w:rsidRDefault="004F203F" w:rsidP="004F203F">
      <w:pPr>
        <w:jc w:val="both"/>
      </w:pPr>
      <w:r w:rsidRPr="00015669">
        <w:t>In future data will be presented within this dashboard that demonstrates practice audit dates and provides year on year comparator - this data is being sought.</w:t>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p>
    <w:p w:rsidR="004F203F" w:rsidRDefault="004F203F" w:rsidP="004F203F">
      <w:pPr>
        <w:jc w:val="both"/>
      </w:pPr>
      <w:r w:rsidRPr="00015669">
        <w:t xml:space="preserve">During 2016/17 there were no cases of Community acquired MRSA, however 19 cases of Community acquired </w:t>
      </w:r>
      <w:proofErr w:type="spellStart"/>
      <w:r w:rsidRPr="00015669">
        <w:t>C.</w:t>
      </w:r>
      <w:r>
        <w:t>diff</w:t>
      </w:r>
      <w:proofErr w:type="spellEnd"/>
      <w:r>
        <w:t xml:space="preserve"> were recorded in 2016/17.</w:t>
      </w:r>
    </w:p>
    <w:p w:rsidR="004F203F" w:rsidRPr="00015669" w:rsidRDefault="004F203F" w:rsidP="004F203F">
      <w:pPr>
        <w:jc w:val="both"/>
      </w:pPr>
      <w:r w:rsidRPr="00015669">
        <w:tab/>
      </w:r>
      <w:r w:rsidRPr="00015669">
        <w:tab/>
      </w:r>
      <w:r w:rsidRPr="00015669">
        <w:tab/>
      </w:r>
      <w:r w:rsidRPr="00015669">
        <w:tab/>
      </w:r>
      <w:r w:rsidRPr="00015669">
        <w:tab/>
      </w:r>
    </w:p>
    <w:p w:rsidR="004F203F" w:rsidRPr="00015669" w:rsidRDefault="004F203F" w:rsidP="004F203F">
      <w:pPr>
        <w:jc w:val="both"/>
      </w:pPr>
      <w:r w:rsidRPr="00015669">
        <w:t>Future IPC audit schedule: a review of action plans with all practices will take place throughout the year; currently no further audits have been carried out during April and May 2017.</w:t>
      </w:r>
      <w:r w:rsidRPr="00015669">
        <w:tab/>
      </w:r>
      <w:r w:rsidRPr="00015669">
        <w:tab/>
      </w:r>
      <w:r w:rsidRPr="00015669">
        <w:tab/>
      </w:r>
      <w:r w:rsidRPr="00015669">
        <w:tab/>
      </w:r>
      <w:r w:rsidRPr="00015669">
        <w:tab/>
      </w:r>
      <w:r w:rsidRPr="00015669">
        <w:tab/>
      </w:r>
      <w:r w:rsidRPr="00015669">
        <w:tab/>
      </w:r>
    </w:p>
    <w:p w:rsidR="004F203F" w:rsidRPr="00015669" w:rsidRDefault="004F203F" w:rsidP="004F203F">
      <w:pPr>
        <w:jc w:val="both"/>
      </w:pPr>
      <w:r w:rsidRPr="00015669">
        <w:tab/>
      </w:r>
      <w:r w:rsidRPr="00015669">
        <w:tab/>
      </w:r>
      <w:r w:rsidRPr="00015669">
        <w:tab/>
      </w:r>
      <w:r w:rsidRPr="00015669">
        <w:tab/>
      </w:r>
      <w:r w:rsidRPr="00015669">
        <w:tab/>
      </w:r>
    </w:p>
    <w:p w:rsidR="004F203F" w:rsidRPr="00A73B6D" w:rsidRDefault="004F203F" w:rsidP="004F203F">
      <w:pPr>
        <w:jc w:val="both"/>
        <w:rPr>
          <w:i/>
        </w:rPr>
      </w:pPr>
      <w:r>
        <w:rPr>
          <w:i/>
        </w:rPr>
        <w:t>5.7</w:t>
      </w:r>
      <w:r w:rsidRPr="00A73B6D">
        <w:rPr>
          <w:i/>
        </w:rPr>
        <w:tab/>
        <w:t>CQC Ratings</w:t>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p>
    <w:p w:rsidR="004F203F" w:rsidRPr="00015669" w:rsidRDefault="004F203F" w:rsidP="004F203F">
      <w:pPr>
        <w:jc w:val="both"/>
      </w:pPr>
      <w:r w:rsidRPr="00015669">
        <w:t>During inspections, the CQC looks at how the practice provides services to six particular</w:t>
      </w:r>
      <w:r>
        <w:t xml:space="preserve"> population groups, these are:</w:t>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p>
    <w:p w:rsidR="004F203F" w:rsidRPr="00015669" w:rsidRDefault="004F203F" w:rsidP="004F203F">
      <w:pPr>
        <w:jc w:val="both"/>
      </w:pPr>
      <w:r w:rsidRPr="00015669">
        <w:t>·        </w:t>
      </w:r>
      <w:r>
        <w:t xml:space="preserve"> Older people</w:t>
      </w:r>
      <w:r w:rsidRPr="00015669">
        <w:tab/>
      </w:r>
      <w:r w:rsidRPr="00015669">
        <w:tab/>
      </w:r>
      <w:r w:rsidRPr="00015669">
        <w:tab/>
      </w:r>
      <w:r w:rsidRPr="00015669">
        <w:tab/>
      </w:r>
      <w:r w:rsidRPr="00015669">
        <w:tab/>
      </w:r>
      <w:r w:rsidRPr="00015669">
        <w:tab/>
      </w:r>
      <w:r w:rsidRPr="00015669">
        <w:tab/>
      </w:r>
    </w:p>
    <w:p w:rsidR="004F203F" w:rsidRPr="00015669" w:rsidRDefault="004F203F" w:rsidP="004F203F">
      <w:pPr>
        <w:jc w:val="both"/>
      </w:pPr>
      <w:r w:rsidRPr="00015669">
        <w:t>·         P</w:t>
      </w:r>
      <w:r>
        <w:t>eople with long-term conditions</w:t>
      </w:r>
      <w:r w:rsidRPr="00015669">
        <w:tab/>
      </w:r>
      <w:r w:rsidRPr="00015669">
        <w:tab/>
      </w:r>
      <w:r w:rsidRPr="00015669">
        <w:tab/>
      </w:r>
      <w:r w:rsidRPr="00015669">
        <w:tab/>
      </w:r>
      <w:r w:rsidRPr="00015669">
        <w:tab/>
      </w:r>
      <w:r w:rsidRPr="00015669">
        <w:tab/>
      </w:r>
      <w:r w:rsidRPr="00015669">
        <w:tab/>
      </w:r>
      <w:r w:rsidRPr="00015669">
        <w:tab/>
      </w:r>
    </w:p>
    <w:p w:rsidR="004F203F" w:rsidRPr="00015669" w:rsidRDefault="004F203F" w:rsidP="004F203F">
      <w:pPr>
        <w:jc w:val="both"/>
      </w:pPr>
      <w:r w:rsidRPr="00015669">
        <w:t>·         Families, children and young people</w:t>
      </w:r>
      <w:r w:rsidRPr="00015669">
        <w:tab/>
      </w:r>
      <w:r w:rsidRPr="00015669">
        <w:tab/>
      </w:r>
      <w:r w:rsidRPr="00015669">
        <w:tab/>
      </w:r>
      <w:r w:rsidRPr="00015669">
        <w:tab/>
      </w:r>
      <w:r w:rsidRPr="00015669">
        <w:tab/>
      </w:r>
      <w:r w:rsidRPr="00015669">
        <w:tab/>
      </w:r>
      <w:r w:rsidRPr="00015669">
        <w:tab/>
      </w:r>
      <w:r w:rsidRPr="00015669">
        <w:tab/>
      </w:r>
      <w:r w:rsidRPr="00015669">
        <w:tab/>
      </w:r>
    </w:p>
    <w:p w:rsidR="004F203F" w:rsidRPr="00015669" w:rsidRDefault="004F203F" w:rsidP="004F203F">
      <w:pPr>
        <w:jc w:val="both"/>
      </w:pPr>
      <w:r w:rsidRPr="00015669">
        <w:t>·         Working-age people</w:t>
      </w:r>
      <w:r w:rsidRPr="00015669">
        <w:tab/>
      </w:r>
      <w:r w:rsidRPr="00015669">
        <w:tab/>
      </w:r>
      <w:r w:rsidRPr="00015669">
        <w:tab/>
      </w:r>
      <w:r w:rsidRPr="00015669">
        <w:tab/>
      </w:r>
      <w:r w:rsidRPr="00015669">
        <w:tab/>
      </w:r>
      <w:r w:rsidRPr="00015669">
        <w:tab/>
      </w:r>
      <w:r w:rsidRPr="00015669">
        <w:tab/>
      </w:r>
    </w:p>
    <w:p w:rsidR="004F203F" w:rsidRDefault="004F203F" w:rsidP="004F203F">
      <w:pPr>
        <w:jc w:val="both"/>
      </w:pPr>
      <w:r w:rsidRPr="00015669">
        <w:t>·         People whose circumstances may mak</w:t>
      </w:r>
      <w:r>
        <w:t>e them vulnerable</w:t>
      </w:r>
    </w:p>
    <w:p w:rsidR="004F203F" w:rsidRPr="00015669" w:rsidRDefault="004F203F" w:rsidP="004F203F">
      <w:pPr>
        <w:jc w:val="both"/>
      </w:pPr>
      <w:r w:rsidRPr="00015669">
        <w:t>·         People experi</w:t>
      </w:r>
      <w:r>
        <w:t>ence poor mental health</w:t>
      </w:r>
    </w:p>
    <w:p w:rsidR="004F203F" w:rsidRPr="00015669" w:rsidRDefault="004F203F" w:rsidP="004F203F">
      <w:pPr>
        <w:jc w:val="both"/>
      </w:pPr>
      <w:r w:rsidRPr="00015669">
        <w:tab/>
      </w:r>
      <w:r w:rsidRPr="00015669">
        <w:tab/>
      </w:r>
      <w:r w:rsidRPr="00015669">
        <w:tab/>
      </w:r>
      <w:r w:rsidRPr="00015669">
        <w:tab/>
      </w:r>
      <w:r w:rsidRPr="00015669">
        <w:tab/>
      </w:r>
    </w:p>
    <w:p w:rsidR="004F203F" w:rsidRPr="00015669" w:rsidRDefault="004F203F" w:rsidP="004F203F">
      <w:pPr>
        <w:jc w:val="both"/>
      </w:pPr>
      <w:r w:rsidRPr="00015669">
        <w:t>The CQC assesses whether the services being provided for each group are safe, effective, well-led, responsive and caring.</w:t>
      </w:r>
      <w:r>
        <w:t xml:space="preserve"> </w:t>
      </w:r>
      <w:r w:rsidRPr="00015669">
        <w:t xml:space="preserve"> By looking at services for each group, the CQC can ensure that their inspections look at the outcomes for all people, including those who are particularly vulnerable.</w:t>
      </w:r>
      <w:r w:rsidRPr="00015669">
        <w:tab/>
      </w:r>
      <w:r w:rsidRPr="00015669">
        <w:tab/>
      </w:r>
      <w:r w:rsidRPr="00015669">
        <w:tab/>
      </w:r>
      <w:r w:rsidRPr="00015669">
        <w:tab/>
      </w:r>
      <w:r w:rsidRPr="00015669">
        <w:tab/>
      </w:r>
      <w:r w:rsidRPr="00015669">
        <w:tab/>
      </w:r>
      <w:r w:rsidRPr="00015669">
        <w:tab/>
      </w:r>
      <w:r w:rsidRPr="00015669">
        <w:tab/>
      </w:r>
    </w:p>
    <w:p w:rsidR="004F203F" w:rsidRPr="00015669" w:rsidRDefault="004F203F" w:rsidP="004F203F">
      <w:pPr>
        <w:jc w:val="both"/>
      </w:pPr>
      <w:r w:rsidRPr="00015669">
        <w:tab/>
      </w:r>
      <w:r w:rsidRPr="00015669">
        <w:tab/>
      </w:r>
      <w:r w:rsidRPr="00015669">
        <w:tab/>
      </w:r>
      <w:r w:rsidRPr="00015669">
        <w:tab/>
      </w:r>
      <w:r w:rsidRPr="00015669">
        <w:tab/>
      </w:r>
    </w:p>
    <w:p w:rsidR="004F203F" w:rsidRPr="00A73B6D" w:rsidRDefault="004F203F" w:rsidP="004F203F">
      <w:pPr>
        <w:jc w:val="both"/>
        <w:rPr>
          <w:i/>
        </w:rPr>
      </w:pPr>
      <w:r>
        <w:rPr>
          <w:i/>
        </w:rPr>
        <w:t>5.8</w:t>
      </w:r>
      <w:r w:rsidRPr="00A73B6D">
        <w:rPr>
          <w:i/>
        </w:rPr>
        <w:tab/>
        <w:t>Prescribing</w:t>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p>
    <w:p w:rsidR="004F203F" w:rsidRPr="00015669" w:rsidRDefault="004F203F" w:rsidP="004F203F">
      <w:pPr>
        <w:jc w:val="both"/>
      </w:pPr>
      <w:r w:rsidRPr="00015669">
        <w:t xml:space="preserve">Detailed prescribing data is provided by accessing the links on the Scorecard table including access to the full Scorecard.  Updates from medicines management relating to identified drugs and issues to be provided in subsequent Dashboards. </w:t>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r w:rsidRPr="00015669">
        <w:tab/>
      </w:r>
    </w:p>
    <w:p w:rsidR="004F203F" w:rsidRPr="00015669" w:rsidRDefault="004F203F" w:rsidP="004F203F">
      <w:pPr>
        <w:jc w:val="both"/>
      </w:pPr>
      <w:r w:rsidRPr="00015669">
        <w:tab/>
      </w:r>
      <w:r w:rsidRPr="00015669">
        <w:tab/>
      </w:r>
      <w:r w:rsidRPr="00015669">
        <w:tab/>
      </w:r>
      <w:r w:rsidRPr="00015669">
        <w:tab/>
      </w:r>
      <w:r w:rsidRPr="00015669">
        <w:tab/>
      </w:r>
    </w:p>
    <w:p w:rsidR="004F203F" w:rsidRDefault="004F203F" w:rsidP="004F203F">
      <w:pPr>
        <w:jc w:val="both"/>
        <w:rPr>
          <w:i/>
        </w:rPr>
      </w:pPr>
      <w:r>
        <w:rPr>
          <w:i/>
        </w:rPr>
        <w:t>5.9</w:t>
      </w:r>
      <w:r>
        <w:rPr>
          <w:i/>
        </w:rPr>
        <w:tab/>
        <w:t>Quality Issue Reporting</w:t>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r w:rsidRPr="00A73B6D">
        <w:rPr>
          <w:i/>
        </w:rPr>
        <w:tab/>
      </w:r>
    </w:p>
    <w:p w:rsidR="004F203F" w:rsidRPr="002215FF" w:rsidRDefault="004F203F" w:rsidP="004F203F">
      <w:pPr>
        <w:jc w:val="both"/>
        <w:rPr>
          <w:i/>
        </w:rPr>
      </w:pPr>
      <w:r w:rsidRPr="00015669">
        <w:lastRenderedPageBreak/>
        <w:t>All North Lincolnshire practices have now been trained in the use of the reporting App, however not all are engaged in the use of the reporting process and two in particular have demonstrated no reporting.</w:t>
      </w:r>
      <w:r w:rsidRPr="00015669">
        <w:tab/>
      </w:r>
    </w:p>
    <w:p w:rsidR="004F203F" w:rsidRDefault="004F203F" w:rsidP="004F203F">
      <w:pPr>
        <w:jc w:val="both"/>
      </w:pPr>
    </w:p>
    <w:p w:rsidR="004F203F" w:rsidRDefault="004F203F" w:rsidP="004F203F">
      <w:pPr>
        <w:jc w:val="both"/>
      </w:pPr>
      <w:r>
        <w:t>During the period 1 to 31 July 2017, there was NIL Quality Issue Reports (QIR) raised against GP Practices by other healthcare providers.</w:t>
      </w:r>
    </w:p>
    <w:p w:rsidR="004F203F" w:rsidRDefault="004F203F" w:rsidP="004F203F">
      <w:pPr>
        <w:jc w:val="both"/>
      </w:pPr>
    </w:p>
    <w:p w:rsidR="004F203F" w:rsidRDefault="004F203F" w:rsidP="004F203F">
      <w:pPr>
        <w:jc w:val="both"/>
      </w:pPr>
      <w:r>
        <w:t>During the period 1 January 2016 to 31 March 2017 (16/17), a total of 27 QIRs have been resolved and 1 remains under investigation.</w:t>
      </w:r>
    </w:p>
    <w:p w:rsidR="004F203F" w:rsidRDefault="004F203F" w:rsidP="004F203F">
      <w:pPr>
        <w:jc w:val="both"/>
      </w:pPr>
    </w:p>
    <w:p w:rsidR="004F203F" w:rsidRDefault="004F203F" w:rsidP="004F203F">
      <w:pPr>
        <w:jc w:val="both"/>
      </w:pPr>
      <w:r>
        <w:t>During the period 1 April to 31 July 2017 (17/18), 2 QIRs remain under investigation.</w:t>
      </w:r>
    </w:p>
    <w:p w:rsidR="004F203F" w:rsidRDefault="004F203F" w:rsidP="004F203F">
      <w:pPr>
        <w:jc w:val="both"/>
      </w:pPr>
    </w:p>
    <w:p w:rsidR="004F203F" w:rsidRDefault="004F203F" w:rsidP="004F203F">
      <w:pPr>
        <w:jc w:val="both"/>
      </w:pPr>
      <w:r w:rsidRPr="0024410C">
        <w:t>During the period 1 to 31 July 2017, there were 7 incidents identified/reported and addressed by GP Practices.</w:t>
      </w:r>
    </w:p>
    <w:p w:rsidR="004F203F" w:rsidRDefault="004F203F" w:rsidP="004F203F">
      <w:pPr>
        <w:jc w:val="both"/>
      </w:pPr>
    </w:p>
    <w:p w:rsidR="004F203F" w:rsidRDefault="004F203F" w:rsidP="004F203F">
      <w:pPr>
        <w:rPr>
          <w:b/>
        </w:rPr>
      </w:pPr>
      <w:r>
        <w:t>All QIRs are reviewed however the committee is reminded that not all</w:t>
      </w:r>
      <w:bookmarkStart w:id="0" w:name="_GoBack"/>
      <w:bookmarkEnd w:id="0"/>
    </w:p>
    <w:sectPr w:rsidR="004F203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2E1" w:rsidRDefault="007132E1" w:rsidP="007132E1">
      <w:r>
        <w:separator/>
      </w:r>
    </w:p>
  </w:endnote>
  <w:endnote w:type="continuationSeparator" w:id="0">
    <w:p w:rsidR="007132E1" w:rsidRDefault="007132E1" w:rsidP="0071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2E1" w:rsidRDefault="007132E1" w:rsidP="007132E1">
      <w:r>
        <w:separator/>
      </w:r>
    </w:p>
  </w:footnote>
  <w:footnote w:type="continuationSeparator" w:id="0">
    <w:p w:rsidR="007132E1" w:rsidRDefault="007132E1" w:rsidP="00713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2E1" w:rsidRDefault="007132E1" w:rsidP="007132E1">
    <w:pPr>
      <w:pStyle w:val="Header"/>
      <w:jc w:val="right"/>
    </w:pPr>
    <w:r>
      <w:rPr>
        <w:noProof/>
        <w:lang w:eastAsia="en-GB"/>
      </w:rPr>
      <w:drawing>
        <wp:inline distT="0" distB="0" distL="0" distR="0" wp14:anchorId="7A84D62F">
          <wp:extent cx="1840865" cy="847725"/>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8477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2799"/>
    <w:multiLevelType w:val="hybridMultilevel"/>
    <w:tmpl w:val="A02C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6E5712"/>
    <w:multiLevelType w:val="hybridMultilevel"/>
    <w:tmpl w:val="099029F4"/>
    <w:lvl w:ilvl="0" w:tplc="3252C0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744BC6"/>
    <w:multiLevelType w:val="hybridMultilevel"/>
    <w:tmpl w:val="562C6450"/>
    <w:lvl w:ilvl="0" w:tplc="3252C0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CA4FBB"/>
    <w:multiLevelType w:val="hybridMultilevel"/>
    <w:tmpl w:val="ECA86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E84513E"/>
    <w:multiLevelType w:val="hybridMultilevel"/>
    <w:tmpl w:val="D60AD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C852BB1"/>
    <w:multiLevelType w:val="multilevel"/>
    <w:tmpl w:val="627236B0"/>
    <w:lvl w:ilvl="0">
      <w:start w:val="1"/>
      <w:numFmt w:val="decimal"/>
      <w:pStyle w:val="Heading1Numbered"/>
      <w:suff w:val="space"/>
      <w:lvlText w:val="%1."/>
      <w:lvlJc w:val="left"/>
      <w:pPr>
        <w:ind w:left="0" w:firstLine="0"/>
      </w:pPr>
    </w:lvl>
    <w:lvl w:ilvl="1">
      <w:start w:val="1"/>
      <w:numFmt w:val="decimal"/>
      <w:pStyle w:val="Heading2Numbered"/>
      <w:suff w:val="space"/>
      <w:lvlText w:val="%1.%2."/>
      <w:lvlJc w:val="left"/>
      <w:pPr>
        <w:ind w:left="0" w:firstLine="0"/>
      </w:pPr>
    </w:lvl>
    <w:lvl w:ilvl="2">
      <w:start w:val="1"/>
      <w:numFmt w:val="decimal"/>
      <w:pStyle w:val="Heading3Numbered"/>
      <w:suff w:val="space"/>
      <w:lvlText w:val="%1.%2.%3."/>
      <w:lvlJc w:val="left"/>
      <w:pPr>
        <w:ind w:left="0" w:firstLine="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C4D1CA7"/>
    <w:multiLevelType w:val="hybridMultilevel"/>
    <w:tmpl w:val="BD588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5F16C66"/>
    <w:multiLevelType w:val="hybridMultilevel"/>
    <w:tmpl w:val="B6686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7"/>
  </w:num>
  <w:num w:numId="5">
    <w:abstractNumId w:val="3"/>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1F"/>
    <w:rsid w:val="00137577"/>
    <w:rsid w:val="003941FE"/>
    <w:rsid w:val="004D711F"/>
    <w:rsid w:val="004F203F"/>
    <w:rsid w:val="007132E1"/>
    <w:rsid w:val="0084357E"/>
    <w:rsid w:val="00BC2B8A"/>
    <w:rsid w:val="00C178A7"/>
    <w:rsid w:val="00C47CEE"/>
    <w:rsid w:val="00CF0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1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11F"/>
    <w:rPr>
      <w:color w:val="0000FF" w:themeColor="hyperlink"/>
      <w:u w:val="single"/>
    </w:rPr>
  </w:style>
  <w:style w:type="character" w:customStyle="1" w:styleId="ListParagraphChar">
    <w:name w:val="List Paragraph Char"/>
    <w:link w:val="ListParagraph"/>
    <w:uiPriority w:val="34"/>
    <w:locked/>
    <w:rsid w:val="004D711F"/>
  </w:style>
  <w:style w:type="paragraph" w:styleId="ListParagraph">
    <w:name w:val="List Paragraph"/>
    <w:basedOn w:val="Normal"/>
    <w:link w:val="ListParagraphChar"/>
    <w:uiPriority w:val="34"/>
    <w:qFormat/>
    <w:rsid w:val="004D711F"/>
    <w:pPr>
      <w:spacing w:after="200" w:line="276" w:lineRule="auto"/>
      <w:ind w:left="720"/>
      <w:contextualSpacing/>
    </w:pPr>
  </w:style>
  <w:style w:type="paragraph" w:customStyle="1" w:styleId="Heading1Numbered">
    <w:name w:val="Heading 1 (Numbered)"/>
    <w:qFormat/>
    <w:rsid w:val="004D711F"/>
    <w:pPr>
      <w:numPr>
        <w:numId w:val="1"/>
      </w:numPr>
      <w:spacing w:after="320" w:line="264" w:lineRule="auto"/>
    </w:pPr>
    <w:rPr>
      <w:rFonts w:ascii="Arial" w:eastAsia="MS Gothic" w:hAnsi="Arial" w:cs="Times New Roman"/>
      <w:b/>
      <w:bCs/>
      <w:color w:val="0072C6"/>
      <w:sz w:val="40"/>
      <w:szCs w:val="28"/>
    </w:rPr>
  </w:style>
  <w:style w:type="paragraph" w:customStyle="1" w:styleId="Heading2Numbered">
    <w:name w:val="Heading 2 (Numbered)"/>
    <w:qFormat/>
    <w:rsid w:val="004D711F"/>
    <w:pPr>
      <w:numPr>
        <w:ilvl w:val="1"/>
        <w:numId w:val="1"/>
      </w:numPr>
      <w:spacing w:before="220" w:after="0" w:line="264" w:lineRule="auto"/>
    </w:pPr>
    <w:rPr>
      <w:rFonts w:ascii="Arial" w:eastAsia="MS Gothic" w:hAnsi="Arial" w:cs="Times New Roman"/>
      <w:b/>
      <w:bCs/>
      <w:color w:val="0072C6"/>
      <w:sz w:val="28"/>
      <w:szCs w:val="26"/>
    </w:rPr>
  </w:style>
  <w:style w:type="paragraph" w:customStyle="1" w:styleId="Heading3Numbered">
    <w:name w:val="Heading 3 (Numbered)"/>
    <w:qFormat/>
    <w:rsid w:val="004D711F"/>
    <w:pPr>
      <w:numPr>
        <w:ilvl w:val="2"/>
        <w:numId w:val="1"/>
      </w:numPr>
      <w:spacing w:before="120" w:after="0" w:line="264" w:lineRule="auto"/>
    </w:pPr>
    <w:rPr>
      <w:rFonts w:ascii="Arial" w:eastAsia="Calibri" w:hAnsi="Arial" w:cs="Times New Roman"/>
      <w:color w:val="0096D1"/>
      <w:szCs w:val="28"/>
    </w:rPr>
  </w:style>
  <w:style w:type="table" w:styleId="TableGrid">
    <w:name w:val="Table Grid"/>
    <w:basedOn w:val="TableNormal"/>
    <w:uiPriority w:val="59"/>
    <w:rsid w:val="004D7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711F"/>
    <w:rPr>
      <w:rFonts w:ascii="Tahoma" w:hAnsi="Tahoma" w:cs="Tahoma"/>
      <w:sz w:val="16"/>
      <w:szCs w:val="16"/>
    </w:rPr>
  </w:style>
  <w:style w:type="character" w:customStyle="1" w:styleId="BalloonTextChar">
    <w:name w:val="Balloon Text Char"/>
    <w:basedOn w:val="DefaultParagraphFont"/>
    <w:link w:val="BalloonText"/>
    <w:uiPriority w:val="99"/>
    <w:semiHidden/>
    <w:rsid w:val="004D711F"/>
    <w:rPr>
      <w:rFonts w:ascii="Tahoma" w:hAnsi="Tahoma" w:cs="Tahoma"/>
      <w:sz w:val="16"/>
      <w:szCs w:val="16"/>
    </w:rPr>
  </w:style>
  <w:style w:type="paragraph" w:styleId="Header">
    <w:name w:val="header"/>
    <w:basedOn w:val="Normal"/>
    <w:link w:val="HeaderChar"/>
    <w:uiPriority w:val="99"/>
    <w:unhideWhenUsed/>
    <w:rsid w:val="007132E1"/>
    <w:pPr>
      <w:tabs>
        <w:tab w:val="center" w:pos="4513"/>
        <w:tab w:val="right" w:pos="9026"/>
      </w:tabs>
    </w:pPr>
  </w:style>
  <w:style w:type="character" w:customStyle="1" w:styleId="HeaderChar">
    <w:name w:val="Header Char"/>
    <w:basedOn w:val="DefaultParagraphFont"/>
    <w:link w:val="Header"/>
    <w:uiPriority w:val="99"/>
    <w:rsid w:val="007132E1"/>
  </w:style>
  <w:style w:type="paragraph" w:styleId="Footer">
    <w:name w:val="footer"/>
    <w:basedOn w:val="Normal"/>
    <w:link w:val="FooterChar"/>
    <w:uiPriority w:val="99"/>
    <w:unhideWhenUsed/>
    <w:rsid w:val="007132E1"/>
    <w:pPr>
      <w:tabs>
        <w:tab w:val="center" w:pos="4513"/>
        <w:tab w:val="right" w:pos="9026"/>
      </w:tabs>
    </w:pPr>
  </w:style>
  <w:style w:type="character" w:customStyle="1" w:styleId="FooterChar">
    <w:name w:val="Footer Char"/>
    <w:basedOn w:val="DefaultParagraphFont"/>
    <w:link w:val="Footer"/>
    <w:uiPriority w:val="99"/>
    <w:rsid w:val="00713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1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11F"/>
    <w:rPr>
      <w:color w:val="0000FF" w:themeColor="hyperlink"/>
      <w:u w:val="single"/>
    </w:rPr>
  </w:style>
  <w:style w:type="character" w:customStyle="1" w:styleId="ListParagraphChar">
    <w:name w:val="List Paragraph Char"/>
    <w:link w:val="ListParagraph"/>
    <w:uiPriority w:val="34"/>
    <w:locked/>
    <w:rsid w:val="004D711F"/>
  </w:style>
  <w:style w:type="paragraph" w:styleId="ListParagraph">
    <w:name w:val="List Paragraph"/>
    <w:basedOn w:val="Normal"/>
    <w:link w:val="ListParagraphChar"/>
    <w:uiPriority w:val="34"/>
    <w:qFormat/>
    <w:rsid w:val="004D711F"/>
    <w:pPr>
      <w:spacing w:after="200" w:line="276" w:lineRule="auto"/>
      <w:ind w:left="720"/>
      <w:contextualSpacing/>
    </w:pPr>
  </w:style>
  <w:style w:type="paragraph" w:customStyle="1" w:styleId="Heading1Numbered">
    <w:name w:val="Heading 1 (Numbered)"/>
    <w:qFormat/>
    <w:rsid w:val="004D711F"/>
    <w:pPr>
      <w:numPr>
        <w:numId w:val="1"/>
      </w:numPr>
      <w:spacing w:after="320" w:line="264" w:lineRule="auto"/>
    </w:pPr>
    <w:rPr>
      <w:rFonts w:ascii="Arial" w:eastAsia="MS Gothic" w:hAnsi="Arial" w:cs="Times New Roman"/>
      <w:b/>
      <w:bCs/>
      <w:color w:val="0072C6"/>
      <w:sz w:val="40"/>
      <w:szCs w:val="28"/>
    </w:rPr>
  </w:style>
  <w:style w:type="paragraph" w:customStyle="1" w:styleId="Heading2Numbered">
    <w:name w:val="Heading 2 (Numbered)"/>
    <w:qFormat/>
    <w:rsid w:val="004D711F"/>
    <w:pPr>
      <w:numPr>
        <w:ilvl w:val="1"/>
        <w:numId w:val="1"/>
      </w:numPr>
      <w:spacing w:before="220" w:after="0" w:line="264" w:lineRule="auto"/>
    </w:pPr>
    <w:rPr>
      <w:rFonts w:ascii="Arial" w:eastAsia="MS Gothic" w:hAnsi="Arial" w:cs="Times New Roman"/>
      <w:b/>
      <w:bCs/>
      <w:color w:val="0072C6"/>
      <w:sz w:val="28"/>
      <w:szCs w:val="26"/>
    </w:rPr>
  </w:style>
  <w:style w:type="paragraph" w:customStyle="1" w:styleId="Heading3Numbered">
    <w:name w:val="Heading 3 (Numbered)"/>
    <w:qFormat/>
    <w:rsid w:val="004D711F"/>
    <w:pPr>
      <w:numPr>
        <w:ilvl w:val="2"/>
        <w:numId w:val="1"/>
      </w:numPr>
      <w:spacing w:before="120" w:after="0" w:line="264" w:lineRule="auto"/>
    </w:pPr>
    <w:rPr>
      <w:rFonts w:ascii="Arial" w:eastAsia="Calibri" w:hAnsi="Arial" w:cs="Times New Roman"/>
      <w:color w:val="0096D1"/>
      <w:szCs w:val="28"/>
    </w:rPr>
  </w:style>
  <w:style w:type="table" w:styleId="TableGrid">
    <w:name w:val="Table Grid"/>
    <w:basedOn w:val="TableNormal"/>
    <w:uiPriority w:val="59"/>
    <w:rsid w:val="004D7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711F"/>
    <w:rPr>
      <w:rFonts w:ascii="Tahoma" w:hAnsi="Tahoma" w:cs="Tahoma"/>
      <w:sz w:val="16"/>
      <w:szCs w:val="16"/>
    </w:rPr>
  </w:style>
  <w:style w:type="character" w:customStyle="1" w:styleId="BalloonTextChar">
    <w:name w:val="Balloon Text Char"/>
    <w:basedOn w:val="DefaultParagraphFont"/>
    <w:link w:val="BalloonText"/>
    <w:uiPriority w:val="99"/>
    <w:semiHidden/>
    <w:rsid w:val="004D711F"/>
    <w:rPr>
      <w:rFonts w:ascii="Tahoma" w:hAnsi="Tahoma" w:cs="Tahoma"/>
      <w:sz w:val="16"/>
      <w:szCs w:val="16"/>
    </w:rPr>
  </w:style>
  <w:style w:type="paragraph" w:styleId="Header">
    <w:name w:val="header"/>
    <w:basedOn w:val="Normal"/>
    <w:link w:val="HeaderChar"/>
    <w:uiPriority w:val="99"/>
    <w:unhideWhenUsed/>
    <w:rsid w:val="007132E1"/>
    <w:pPr>
      <w:tabs>
        <w:tab w:val="center" w:pos="4513"/>
        <w:tab w:val="right" w:pos="9026"/>
      </w:tabs>
    </w:pPr>
  </w:style>
  <w:style w:type="character" w:customStyle="1" w:styleId="HeaderChar">
    <w:name w:val="Header Char"/>
    <w:basedOn w:val="DefaultParagraphFont"/>
    <w:link w:val="Header"/>
    <w:uiPriority w:val="99"/>
    <w:rsid w:val="007132E1"/>
  </w:style>
  <w:style w:type="paragraph" w:styleId="Footer">
    <w:name w:val="footer"/>
    <w:basedOn w:val="Normal"/>
    <w:link w:val="FooterChar"/>
    <w:uiPriority w:val="99"/>
    <w:unhideWhenUsed/>
    <w:rsid w:val="007132E1"/>
    <w:pPr>
      <w:tabs>
        <w:tab w:val="center" w:pos="4513"/>
        <w:tab w:val="right" w:pos="9026"/>
      </w:tabs>
    </w:pPr>
  </w:style>
  <w:style w:type="character" w:customStyle="1" w:styleId="FooterChar">
    <w:name w:val="Footer Char"/>
    <w:basedOn w:val="DefaultParagraphFont"/>
    <w:link w:val="Footer"/>
    <w:uiPriority w:val="99"/>
    <w:rsid w:val="00713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8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z.nyhcsu.org.uk/nlcc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z.nyhcsu.org.uk/nlccg/data/uploads/current/care-networks/Care%20Networks.pdf" TargetMode="External"/><Relationship Id="rId4" Type="http://schemas.openxmlformats.org/officeDocument/2006/relationships/settings" Target="settings.xml"/><Relationship Id="rId9" Type="http://schemas.openxmlformats.org/officeDocument/2006/relationships/hyperlink" Target="http://biz.nyhcsu.org.uk/nlccg/data/uploads/current/care-networks/Care%20Network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2482</Words>
  <Characters>14148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2017-08-09T11:59:00Z</dcterms:created>
  <dcterms:modified xsi:type="dcterms:W3CDTF">2017-08-09T11:59:00Z</dcterms:modified>
</cp:coreProperties>
</file>