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D15" w14:textId="77777777" w:rsidR="001A1E6E" w:rsidRPr="005640A5" w:rsidRDefault="001A1E6E" w:rsidP="001A1E6E">
      <w:pPr>
        <w:spacing w:line="276" w:lineRule="auto"/>
        <w:jc w:val="right"/>
        <w:rPr>
          <w:color w:val="FF0000"/>
        </w:rPr>
      </w:pPr>
      <w:r w:rsidRPr="005640A5">
        <w:rPr>
          <w:noProof/>
          <w:color w:val="FF0000"/>
          <w:lang w:eastAsia="en-GB"/>
        </w:rPr>
        <w:drawing>
          <wp:inline distT="0" distB="0" distL="0" distR="0" wp14:anchorId="3B451EFC" wp14:editId="65C27659">
            <wp:extent cx="1503218" cy="734291"/>
            <wp:effectExtent l="0" t="0" r="190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C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640" cy="734985"/>
                    </a:xfrm>
                    <a:prstGeom prst="rect">
                      <a:avLst/>
                    </a:prstGeom>
                  </pic:spPr>
                </pic:pic>
              </a:graphicData>
            </a:graphic>
          </wp:inline>
        </w:drawing>
      </w:r>
    </w:p>
    <w:tbl>
      <w:tblPr>
        <w:tblStyle w:val="TableGrid"/>
        <w:tblW w:w="10173" w:type="dxa"/>
        <w:tblLook w:val="04A0" w:firstRow="1" w:lastRow="0" w:firstColumn="1" w:lastColumn="0" w:noHBand="0" w:noVBand="1"/>
      </w:tblPr>
      <w:tblGrid>
        <w:gridCol w:w="1809"/>
        <w:gridCol w:w="2425"/>
        <w:gridCol w:w="281"/>
        <w:gridCol w:w="5658"/>
      </w:tblGrid>
      <w:tr w:rsidR="001A1E6E" w:rsidRPr="005640A5" w14:paraId="1A197C6F" w14:textId="77777777" w:rsidTr="00875700">
        <w:tc>
          <w:tcPr>
            <w:tcW w:w="1809" w:type="dxa"/>
            <w:tcBorders>
              <w:bottom w:val="single" w:sz="4" w:space="0" w:color="auto"/>
              <w:right w:val="single" w:sz="4" w:space="0" w:color="auto"/>
            </w:tcBorders>
            <w:shd w:val="clear" w:color="auto" w:fill="D9D9D9" w:themeFill="background1" w:themeFillShade="D9"/>
          </w:tcPr>
          <w:p w14:paraId="490B052C" w14:textId="77777777" w:rsidR="001A1E6E" w:rsidRPr="001A1E6E" w:rsidRDefault="001A1E6E" w:rsidP="00875700">
            <w:pPr>
              <w:spacing w:before="60" w:after="60"/>
              <w:rPr>
                <w:b/>
                <w:sz w:val="22"/>
              </w:rPr>
            </w:pPr>
            <w:r w:rsidRPr="001A1E6E">
              <w:rPr>
                <w:b/>
                <w:sz w:val="22"/>
              </w:rPr>
              <w:t>Date:</w:t>
            </w:r>
          </w:p>
        </w:tc>
        <w:tc>
          <w:tcPr>
            <w:tcW w:w="2425" w:type="dxa"/>
            <w:tcBorders>
              <w:left w:val="single" w:sz="4" w:space="0" w:color="auto"/>
            </w:tcBorders>
          </w:tcPr>
          <w:p w14:paraId="46D23AF5" w14:textId="64851362" w:rsidR="001A1E6E" w:rsidRPr="001A1E6E" w:rsidRDefault="00D177C9" w:rsidP="00875700">
            <w:pPr>
              <w:spacing w:before="60" w:after="60"/>
              <w:rPr>
                <w:sz w:val="22"/>
              </w:rPr>
            </w:pPr>
            <w:r>
              <w:rPr>
                <w:sz w:val="22"/>
              </w:rPr>
              <w:t>28</w:t>
            </w:r>
            <w:r w:rsidRPr="00D177C9">
              <w:rPr>
                <w:sz w:val="22"/>
                <w:vertAlign w:val="superscript"/>
              </w:rPr>
              <w:t>th</w:t>
            </w:r>
            <w:r>
              <w:rPr>
                <w:sz w:val="22"/>
              </w:rPr>
              <w:t xml:space="preserve"> September 2021</w:t>
            </w:r>
          </w:p>
        </w:tc>
        <w:tc>
          <w:tcPr>
            <w:tcW w:w="281" w:type="dxa"/>
            <w:tcBorders>
              <w:top w:val="nil"/>
              <w:left w:val="single" w:sz="4" w:space="0" w:color="auto"/>
              <w:bottom w:val="nil"/>
              <w:right w:val="single" w:sz="4" w:space="0" w:color="auto"/>
            </w:tcBorders>
          </w:tcPr>
          <w:p w14:paraId="0A2C97E8" w14:textId="77777777" w:rsidR="001A1E6E" w:rsidRPr="005640A5" w:rsidRDefault="001A1E6E" w:rsidP="00875700">
            <w:pPr>
              <w:spacing w:before="60" w:after="60"/>
            </w:pPr>
          </w:p>
        </w:tc>
        <w:tc>
          <w:tcPr>
            <w:tcW w:w="5658" w:type="dxa"/>
            <w:tcBorders>
              <w:left w:val="single" w:sz="4" w:space="0" w:color="auto"/>
            </w:tcBorders>
            <w:shd w:val="clear" w:color="auto" w:fill="D9D9D9" w:themeFill="background1" w:themeFillShade="D9"/>
          </w:tcPr>
          <w:p w14:paraId="6BCC5D05" w14:textId="77777777" w:rsidR="001A1E6E" w:rsidRPr="005640A5" w:rsidRDefault="001A1E6E" w:rsidP="00875700">
            <w:pPr>
              <w:spacing w:before="60" w:after="60"/>
              <w:rPr>
                <w:b/>
              </w:rPr>
            </w:pPr>
            <w:r w:rsidRPr="005640A5">
              <w:rPr>
                <w:b/>
              </w:rPr>
              <w:t>Report Title:</w:t>
            </w:r>
          </w:p>
        </w:tc>
      </w:tr>
      <w:tr w:rsidR="001A1E6E" w:rsidRPr="005640A5" w14:paraId="318A69B9" w14:textId="77777777" w:rsidTr="00875700">
        <w:tc>
          <w:tcPr>
            <w:tcW w:w="1809" w:type="dxa"/>
            <w:tcBorders>
              <w:bottom w:val="single" w:sz="4" w:space="0" w:color="auto"/>
              <w:right w:val="single" w:sz="4" w:space="0" w:color="auto"/>
            </w:tcBorders>
            <w:shd w:val="clear" w:color="auto" w:fill="D9D9D9" w:themeFill="background1" w:themeFillShade="D9"/>
          </w:tcPr>
          <w:p w14:paraId="5EC76C4A" w14:textId="77777777" w:rsidR="001A1E6E" w:rsidRPr="001A1E6E" w:rsidRDefault="001A1E6E" w:rsidP="00875700">
            <w:pPr>
              <w:spacing w:before="60" w:after="60"/>
              <w:rPr>
                <w:b/>
                <w:sz w:val="22"/>
              </w:rPr>
            </w:pPr>
            <w:r w:rsidRPr="001A1E6E">
              <w:rPr>
                <w:b/>
                <w:sz w:val="22"/>
              </w:rPr>
              <w:t>Meeting:</w:t>
            </w:r>
          </w:p>
        </w:tc>
        <w:tc>
          <w:tcPr>
            <w:tcW w:w="2425" w:type="dxa"/>
            <w:tcBorders>
              <w:left w:val="single" w:sz="4" w:space="0" w:color="auto"/>
            </w:tcBorders>
          </w:tcPr>
          <w:p w14:paraId="2392350A" w14:textId="2ED2686D" w:rsidR="001A1E6E" w:rsidRPr="001A1E6E" w:rsidRDefault="001A1E6E" w:rsidP="00875700">
            <w:pPr>
              <w:spacing w:before="60" w:after="60"/>
              <w:rPr>
                <w:sz w:val="22"/>
              </w:rPr>
            </w:pPr>
            <w:r w:rsidRPr="001A1E6E">
              <w:rPr>
                <w:sz w:val="22"/>
              </w:rPr>
              <w:t xml:space="preserve">Executive </w:t>
            </w:r>
            <w:r w:rsidR="00D177C9">
              <w:rPr>
                <w:sz w:val="22"/>
              </w:rPr>
              <w:t>Committee</w:t>
            </w:r>
          </w:p>
        </w:tc>
        <w:tc>
          <w:tcPr>
            <w:tcW w:w="281" w:type="dxa"/>
            <w:tcBorders>
              <w:top w:val="nil"/>
              <w:left w:val="single" w:sz="4" w:space="0" w:color="auto"/>
              <w:bottom w:val="nil"/>
              <w:right w:val="single" w:sz="4" w:space="0" w:color="auto"/>
            </w:tcBorders>
          </w:tcPr>
          <w:p w14:paraId="3B099886" w14:textId="77777777" w:rsidR="001A1E6E" w:rsidRPr="005640A5" w:rsidRDefault="001A1E6E" w:rsidP="00875700">
            <w:pPr>
              <w:spacing w:before="60" w:after="60"/>
            </w:pPr>
          </w:p>
        </w:tc>
        <w:tc>
          <w:tcPr>
            <w:tcW w:w="5658" w:type="dxa"/>
            <w:vMerge w:val="restart"/>
            <w:tcBorders>
              <w:left w:val="single" w:sz="4" w:space="0" w:color="auto"/>
            </w:tcBorders>
          </w:tcPr>
          <w:p w14:paraId="7A2D28FD" w14:textId="361E0613" w:rsidR="001A1E6E" w:rsidRPr="005640A5" w:rsidRDefault="001A1E6E" w:rsidP="00875700">
            <w:pPr>
              <w:spacing w:before="60" w:after="60"/>
              <w:jc w:val="both"/>
            </w:pPr>
            <w:r>
              <w:t>Workforce</w:t>
            </w:r>
            <w:r w:rsidR="00D177C9">
              <w:t xml:space="preserve"> </w:t>
            </w:r>
            <w:r>
              <w:t>Equality Repor</w:t>
            </w:r>
            <w:r w:rsidR="00D177C9">
              <w:t>t</w:t>
            </w:r>
            <w:r>
              <w:t xml:space="preserve"> </w:t>
            </w:r>
          </w:p>
        </w:tc>
      </w:tr>
      <w:tr w:rsidR="001A1E6E" w:rsidRPr="005640A5" w14:paraId="2CEE77B4" w14:textId="77777777" w:rsidTr="00875700">
        <w:tc>
          <w:tcPr>
            <w:tcW w:w="1809" w:type="dxa"/>
            <w:tcBorders>
              <w:bottom w:val="single" w:sz="4" w:space="0" w:color="auto"/>
              <w:right w:val="single" w:sz="4" w:space="0" w:color="auto"/>
            </w:tcBorders>
            <w:shd w:val="clear" w:color="auto" w:fill="D9D9D9" w:themeFill="background1" w:themeFillShade="D9"/>
          </w:tcPr>
          <w:p w14:paraId="2606A2C5" w14:textId="77777777" w:rsidR="001A1E6E" w:rsidRPr="001A1E6E" w:rsidRDefault="001A1E6E" w:rsidP="00875700">
            <w:pPr>
              <w:spacing w:before="60" w:after="60"/>
              <w:rPr>
                <w:b/>
                <w:sz w:val="22"/>
              </w:rPr>
            </w:pPr>
            <w:r w:rsidRPr="001A1E6E">
              <w:rPr>
                <w:b/>
                <w:sz w:val="22"/>
              </w:rPr>
              <w:t>Item Number:</w:t>
            </w:r>
          </w:p>
        </w:tc>
        <w:tc>
          <w:tcPr>
            <w:tcW w:w="2425" w:type="dxa"/>
            <w:tcBorders>
              <w:left w:val="single" w:sz="4" w:space="0" w:color="auto"/>
            </w:tcBorders>
          </w:tcPr>
          <w:p w14:paraId="679F1AC2" w14:textId="648CBE7C" w:rsidR="001A1E6E" w:rsidRPr="001A1E6E" w:rsidRDefault="001A1E6E" w:rsidP="00875700">
            <w:pPr>
              <w:spacing w:before="60" w:after="60"/>
              <w:rPr>
                <w:sz w:val="22"/>
              </w:rPr>
            </w:pPr>
          </w:p>
        </w:tc>
        <w:tc>
          <w:tcPr>
            <w:tcW w:w="281" w:type="dxa"/>
            <w:tcBorders>
              <w:top w:val="nil"/>
              <w:left w:val="single" w:sz="4" w:space="0" w:color="auto"/>
              <w:bottom w:val="nil"/>
              <w:right w:val="single" w:sz="4" w:space="0" w:color="auto"/>
            </w:tcBorders>
          </w:tcPr>
          <w:p w14:paraId="5DD27159" w14:textId="77777777" w:rsidR="001A1E6E" w:rsidRPr="005640A5" w:rsidRDefault="001A1E6E" w:rsidP="00875700">
            <w:pPr>
              <w:spacing w:before="60" w:after="60"/>
            </w:pPr>
          </w:p>
        </w:tc>
        <w:tc>
          <w:tcPr>
            <w:tcW w:w="5658" w:type="dxa"/>
            <w:vMerge/>
            <w:tcBorders>
              <w:left w:val="single" w:sz="4" w:space="0" w:color="auto"/>
            </w:tcBorders>
          </w:tcPr>
          <w:p w14:paraId="6D533A3F" w14:textId="77777777" w:rsidR="001A1E6E" w:rsidRPr="005640A5" w:rsidRDefault="001A1E6E" w:rsidP="00875700">
            <w:pPr>
              <w:spacing w:before="60" w:after="60"/>
            </w:pPr>
          </w:p>
        </w:tc>
      </w:tr>
      <w:tr w:rsidR="001A1E6E" w:rsidRPr="005640A5" w14:paraId="18FE32C3" w14:textId="77777777" w:rsidTr="00875700">
        <w:tc>
          <w:tcPr>
            <w:tcW w:w="1809" w:type="dxa"/>
            <w:tcBorders>
              <w:bottom w:val="single" w:sz="4" w:space="0" w:color="auto"/>
              <w:right w:val="single" w:sz="4" w:space="0" w:color="auto"/>
            </w:tcBorders>
            <w:shd w:val="clear" w:color="auto" w:fill="D9D9D9" w:themeFill="background1" w:themeFillShade="D9"/>
          </w:tcPr>
          <w:p w14:paraId="5372EEC2" w14:textId="77777777" w:rsidR="001A1E6E" w:rsidRPr="001A1E6E" w:rsidRDefault="001A1E6E" w:rsidP="00875700">
            <w:pPr>
              <w:spacing w:before="60" w:after="60"/>
              <w:rPr>
                <w:b/>
                <w:sz w:val="22"/>
              </w:rPr>
            </w:pPr>
            <w:r w:rsidRPr="001A1E6E">
              <w:rPr>
                <w:b/>
                <w:sz w:val="22"/>
              </w:rPr>
              <w:t>Public/Private:</w:t>
            </w:r>
          </w:p>
        </w:tc>
        <w:tc>
          <w:tcPr>
            <w:tcW w:w="2425" w:type="dxa"/>
            <w:tcBorders>
              <w:left w:val="single" w:sz="4" w:space="0" w:color="auto"/>
              <w:bottom w:val="single" w:sz="4" w:space="0" w:color="auto"/>
            </w:tcBorders>
          </w:tcPr>
          <w:p w14:paraId="7B3E756B" w14:textId="418BE266" w:rsidR="001A1E6E" w:rsidRPr="001A1E6E" w:rsidRDefault="001A1E6E" w:rsidP="00875700">
            <w:pPr>
              <w:spacing w:before="60" w:after="60"/>
              <w:jc w:val="center"/>
              <w:rPr>
                <w:sz w:val="22"/>
              </w:rPr>
            </w:pPr>
            <w:r w:rsidRPr="001A1E6E">
              <w:rPr>
                <w:sz w:val="22"/>
              </w:rPr>
              <w:t xml:space="preserve">Public </w:t>
            </w:r>
            <w:sdt>
              <w:sdtPr>
                <w:rPr>
                  <w:sz w:val="22"/>
                </w:rPr>
                <w:id w:val="391547425"/>
              </w:sdtPr>
              <w:sdtEndPr/>
              <w:sdtContent>
                <w:sdt>
                  <w:sdtPr>
                    <w:rPr>
                      <w:sz w:val="22"/>
                    </w:rPr>
                    <w:id w:val="1102303617"/>
                    <w14:checkbox>
                      <w14:checked w14:val="0"/>
                      <w14:checkedState w14:val="2612" w14:font="MS Gothic"/>
                      <w14:uncheckedState w14:val="2610" w14:font="MS Gothic"/>
                    </w14:checkbox>
                  </w:sdtPr>
                  <w:sdtEndPr/>
                  <w:sdtContent>
                    <w:r w:rsidRPr="001A1E6E">
                      <w:rPr>
                        <w:rFonts w:ascii="MS Gothic" w:eastAsia="MS Gothic" w:hAnsi="MS Gothic" w:cs="MS Gothic" w:hint="eastAsia"/>
                        <w:sz w:val="22"/>
                      </w:rPr>
                      <w:t>☐</w:t>
                    </w:r>
                  </w:sdtContent>
                </w:sdt>
              </w:sdtContent>
            </w:sdt>
            <w:r w:rsidRPr="001A1E6E">
              <w:rPr>
                <w:sz w:val="22"/>
              </w:rPr>
              <w:t xml:space="preserve">     Private</w:t>
            </w:r>
            <w:sdt>
              <w:sdtPr>
                <w:rPr>
                  <w:sz w:val="22"/>
                </w:rPr>
                <w:id w:val="-408532474"/>
              </w:sdtPr>
              <w:sdtEndPr/>
              <w:sdtContent>
                <w:sdt>
                  <w:sdtPr>
                    <w:rPr>
                      <w:sz w:val="22"/>
                    </w:rPr>
                    <w:id w:val="-632174904"/>
                    <w14:checkbox>
                      <w14:checked w14:val="1"/>
                      <w14:checkedState w14:val="2612" w14:font="MS Gothic"/>
                      <w14:uncheckedState w14:val="2610" w14:font="MS Gothic"/>
                    </w14:checkbox>
                  </w:sdtPr>
                  <w:sdtEndPr/>
                  <w:sdtContent>
                    <w:r w:rsidR="00D177C9">
                      <w:rPr>
                        <w:rFonts w:ascii="MS Gothic" w:eastAsia="MS Gothic" w:hAnsi="MS Gothic" w:hint="eastAsia"/>
                        <w:sz w:val="22"/>
                      </w:rPr>
                      <w:t>☒</w:t>
                    </w:r>
                  </w:sdtContent>
                </w:sdt>
              </w:sdtContent>
            </w:sdt>
            <w:r w:rsidRPr="001A1E6E">
              <w:rPr>
                <w:sz w:val="22"/>
              </w:rPr>
              <w:t xml:space="preserve"> </w:t>
            </w:r>
          </w:p>
        </w:tc>
        <w:tc>
          <w:tcPr>
            <w:tcW w:w="281" w:type="dxa"/>
            <w:tcBorders>
              <w:top w:val="nil"/>
              <w:left w:val="single" w:sz="4" w:space="0" w:color="auto"/>
              <w:bottom w:val="nil"/>
              <w:right w:val="single" w:sz="4" w:space="0" w:color="auto"/>
            </w:tcBorders>
          </w:tcPr>
          <w:p w14:paraId="262B8E1F" w14:textId="77777777" w:rsidR="001A1E6E" w:rsidRPr="005640A5" w:rsidRDefault="001A1E6E" w:rsidP="00875700">
            <w:pPr>
              <w:spacing w:before="60" w:after="60"/>
            </w:pPr>
          </w:p>
        </w:tc>
        <w:tc>
          <w:tcPr>
            <w:tcW w:w="5658" w:type="dxa"/>
            <w:vMerge/>
            <w:tcBorders>
              <w:left w:val="single" w:sz="4" w:space="0" w:color="auto"/>
            </w:tcBorders>
          </w:tcPr>
          <w:p w14:paraId="6FF805AA" w14:textId="77777777" w:rsidR="001A1E6E" w:rsidRPr="005640A5" w:rsidRDefault="001A1E6E" w:rsidP="00875700">
            <w:pPr>
              <w:spacing w:before="60" w:after="60"/>
            </w:pPr>
          </w:p>
        </w:tc>
      </w:tr>
      <w:tr w:rsidR="001A1E6E" w:rsidRPr="005640A5" w14:paraId="2C8E6BC0" w14:textId="77777777" w:rsidTr="00875700">
        <w:tc>
          <w:tcPr>
            <w:tcW w:w="1809" w:type="dxa"/>
            <w:tcBorders>
              <w:left w:val="nil"/>
              <w:right w:val="nil"/>
            </w:tcBorders>
            <w:shd w:val="clear" w:color="auto" w:fill="FFFFFF" w:themeFill="background1"/>
          </w:tcPr>
          <w:p w14:paraId="6AEE1ACF" w14:textId="77777777" w:rsidR="001A1E6E" w:rsidRPr="001A1E6E" w:rsidRDefault="001A1E6E" w:rsidP="00875700">
            <w:pPr>
              <w:spacing w:before="60" w:after="60"/>
              <w:rPr>
                <w:b/>
                <w:sz w:val="22"/>
              </w:rPr>
            </w:pPr>
          </w:p>
        </w:tc>
        <w:tc>
          <w:tcPr>
            <w:tcW w:w="2425" w:type="dxa"/>
            <w:tcBorders>
              <w:left w:val="nil"/>
              <w:right w:val="nil"/>
            </w:tcBorders>
          </w:tcPr>
          <w:p w14:paraId="4B876B56" w14:textId="77777777" w:rsidR="001A1E6E" w:rsidRPr="001A1E6E" w:rsidRDefault="001A1E6E" w:rsidP="00875700">
            <w:pPr>
              <w:spacing w:before="60" w:after="60"/>
              <w:rPr>
                <w:sz w:val="22"/>
              </w:rPr>
            </w:pPr>
          </w:p>
        </w:tc>
        <w:tc>
          <w:tcPr>
            <w:tcW w:w="281" w:type="dxa"/>
            <w:tcBorders>
              <w:top w:val="nil"/>
              <w:left w:val="nil"/>
              <w:bottom w:val="nil"/>
              <w:right w:val="single" w:sz="4" w:space="0" w:color="auto"/>
            </w:tcBorders>
          </w:tcPr>
          <w:p w14:paraId="252DB110" w14:textId="77777777" w:rsidR="001A1E6E" w:rsidRPr="005640A5" w:rsidRDefault="001A1E6E" w:rsidP="00875700">
            <w:pPr>
              <w:spacing w:before="60" w:after="60"/>
            </w:pPr>
          </w:p>
        </w:tc>
        <w:tc>
          <w:tcPr>
            <w:tcW w:w="5658" w:type="dxa"/>
            <w:tcBorders>
              <w:left w:val="single" w:sz="4" w:space="0" w:color="auto"/>
              <w:bottom w:val="single" w:sz="4" w:space="0" w:color="auto"/>
            </w:tcBorders>
            <w:shd w:val="clear" w:color="auto" w:fill="D9D9D9" w:themeFill="background1" w:themeFillShade="D9"/>
          </w:tcPr>
          <w:p w14:paraId="64EE7F16" w14:textId="77777777" w:rsidR="001A1E6E" w:rsidRPr="005640A5" w:rsidRDefault="001A1E6E" w:rsidP="00875700">
            <w:pPr>
              <w:spacing w:before="60" w:after="60"/>
              <w:rPr>
                <w:b/>
              </w:rPr>
            </w:pPr>
            <w:r w:rsidRPr="005640A5">
              <w:rPr>
                <w:b/>
              </w:rPr>
              <w:t xml:space="preserve">Decisions to be made: </w:t>
            </w:r>
          </w:p>
        </w:tc>
      </w:tr>
      <w:tr w:rsidR="001A1E6E" w:rsidRPr="005640A5" w14:paraId="1ABF7F6B" w14:textId="77777777" w:rsidTr="00875700">
        <w:tc>
          <w:tcPr>
            <w:tcW w:w="1809" w:type="dxa"/>
            <w:tcBorders>
              <w:right w:val="single" w:sz="4" w:space="0" w:color="auto"/>
            </w:tcBorders>
            <w:shd w:val="clear" w:color="auto" w:fill="D9D9D9" w:themeFill="background1" w:themeFillShade="D9"/>
          </w:tcPr>
          <w:p w14:paraId="6EC868C8" w14:textId="77777777" w:rsidR="001A1E6E" w:rsidRPr="001A1E6E" w:rsidRDefault="001A1E6E" w:rsidP="00875700">
            <w:pPr>
              <w:spacing w:before="60" w:after="60"/>
              <w:rPr>
                <w:b/>
                <w:sz w:val="22"/>
              </w:rPr>
            </w:pPr>
            <w:r w:rsidRPr="001A1E6E">
              <w:rPr>
                <w:b/>
                <w:sz w:val="22"/>
              </w:rPr>
              <w:t>Author:</w:t>
            </w:r>
          </w:p>
          <w:p w14:paraId="1968BE2A" w14:textId="77777777" w:rsidR="001A1E6E" w:rsidRPr="001A1E6E" w:rsidRDefault="001A1E6E" w:rsidP="00875700">
            <w:pPr>
              <w:spacing w:before="60" w:after="60"/>
              <w:rPr>
                <w:i/>
                <w:sz w:val="22"/>
              </w:rPr>
            </w:pPr>
            <w:r w:rsidRPr="001A1E6E">
              <w:rPr>
                <w:i/>
                <w:sz w:val="22"/>
              </w:rPr>
              <w:t>(Name, Title)</w:t>
            </w:r>
          </w:p>
        </w:tc>
        <w:tc>
          <w:tcPr>
            <w:tcW w:w="2425" w:type="dxa"/>
            <w:tcBorders>
              <w:left w:val="single" w:sz="4" w:space="0" w:color="auto"/>
            </w:tcBorders>
          </w:tcPr>
          <w:p w14:paraId="62540E53" w14:textId="77777777" w:rsidR="001A1E6E" w:rsidRPr="001A1E6E" w:rsidRDefault="001A1E6E" w:rsidP="00875700">
            <w:pPr>
              <w:spacing w:before="60" w:after="60"/>
              <w:rPr>
                <w:sz w:val="22"/>
              </w:rPr>
            </w:pPr>
            <w:r w:rsidRPr="001A1E6E">
              <w:rPr>
                <w:sz w:val="22"/>
              </w:rPr>
              <w:t>Emma Kirkwood</w:t>
            </w:r>
          </w:p>
          <w:p w14:paraId="4DB6616A" w14:textId="4BD6B50F" w:rsidR="001A1E6E" w:rsidRPr="001A1E6E" w:rsidRDefault="001A1E6E" w:rsidP="00875700">
            <w:pPr>
              <w:spacing w:before="60" w:after="60"/>
              <w:rPr>
                <w:sz w:val="22"/>
              </w:rPr>
            </w:pPr>
            <w:r>
              <w:rPr>
                <w:sz w:val="22"/>
              </w:rPr>
              <w:t xml:space="preserve">Head of HR </w:t>
            </w:r>
            <w:r w:rsidRPr="001A1E6E">
              <w:rPr>
                <w:sz w:val="22"/>
              </w:rPr>
              <w:t xml:space="preserve"> </w:t>
            </w:r>
          </w:p>
        </w:tc>
        <w:tc>
          <w:tcPr>
            <w:tcW w:w="281" w:type="dxa"/>
            <w:tcBorders>
              <w:top w:val="nil"/>
              <w:left w:val="single" w:sz="4" w:space="0" w:color="auto"/>
              <w:bottom w:val="nil"/>
              <w:right w:val="single" w:sz="4" w:space="0" w:color="auto"/>
            </w:tcBorders>
          </w:tcPr>
          <w:p w14:paraId="68C4027C" w14:textId="77777777" w:rsidR="001A1E6E" w:rsidRPr="005640A5" w:rsidRDefault="001A1E6E" w:rsidP="00875700">
            <w:pPr>
              <w:spacing w:before="60" w:after="60"/>
            </w:pPr>
          </w:p>
        </w:tc>
        <w:tc>
          <w:tcPr>
            <w:tcW w:w="5658" w:type="dxa"/>
            <w:vMerge w:val="restart"/>
            <w:tcBorders>
              <w:top w:val="single" w:sz="4" w:space="0" w:color="auto"/>
              <w:left w:val="single" w:sz="4" w:space="0" w:color="auto"/>
              <w:right w:val="single" w:sz="4" w:space="0" w:color="auto"/>
            </w:tcBorders>
          </w:tcPr>
          <w:p w14:paraId="7F1E3FC8" w14:textId="652FB3CD" w:rsidR="00D177C9" w:rsidRDefault="00D177C9" w:rsidP="00875700">
            <w:pPr>
              <w:spacing w:before="60" w:after="60"/>
              <w:jc w:val="both"/>
            </w:pPr>
            <w:r>
              <w:t xml:space="preserve">The Executive Committee are asked </w:t>
            </w:r>
            <w:proofErr w:type="gramStart"/>
            <w:r>
              <w:t>to;</w:t>
            </w:r>
            <w:proofErr w:type="gramEnd"/>
          </w:p>
          <w:p w14:paraId="18B62902" w14:textId="77777777" w:rsidR="00D177C9" w:rsidRDefault="001A1E6E" w:rsidP="00D177C9">
            <w:pPr>
              <w:pStyle w:val="ListParagraph"/>
              <w:numPr>
                <w:ilvl w:val="0"/>
                <w:numId w:val="41"/>
              </w:numPr>
              <w:spacing w:before="60" w:after="60"/>
              <w:jc w:val="both"/>
            </w:pPr>
            <w:r>
              <w:t>Note the</w:t>
            </w:r>
            <w:r w:rsidR="00D177C9">
              <w:t xml:space="preserve"> WRES</w:t>
            </w:r>
            <w:r>
              <w:t xml:space="preserve"> submission to the NHS Digital Strategic Data Collection Service (SDCS)</w:t>
            </w:r>
            <w:r w:rsidR="00D177C9">
              <w:t xml:space="preserve"> </w:t>
            </w:r>
          </w:p>
          <w:p w14:paraId="42A04D3A" w14:textId="6FE869C1" w:rsidR="001A1E6E" w:rsidRPr="005640A5" w:rsidRDefault="00D177C9" w:rsidP="00D177C9">
            <w:pPr>
              <w:pStyle w:val="ListParagraph"/>
              <w:numPr>
                <w:ilvl w:val="0"/>
                <w:numId w:val="41"/>
              </w:numPr>
              <w:spacing w:before="60" w:after="60"/>
              <w:jc w:val="both"/>
            </w:pPr>
            <w:r>
              <w:t xml:space="preserve">Agree for the Workforce Equality Report to be placed on the CCG public facing website in accordance with the guidance. </w:t>
            </w:r>
          </w:p>
        </w:tc>
      </w:tr>
      <w:tr w:rsidR="001A1E6E" w:rsidRPr="005640A5" w14:paraId="532E5F22" w14:textId="77777777" w:rsidTr="00875700">
        <w:tc>
          <w:tcPr>
            <w:tcW w:w="1809" w:type="dxa"/>
            <w:tcBorders>
              <w:right w:val="single" w:sz="4" w:space="0" w:color="auto"/>
            </w:tcBorders>
            <w:shd w:val="clear" w:color="auto" w:fill="D9D9D9" w:themeFill="background1" w:themeFillShade="D9"/>
          </w:tcPr>
          <w:p w14:paraId="3F87DB14" w14:textId="77777777" w:rsidR="001A1E6E" w:rsidRPr="001A1E6E" w:rsidRDefault="001A1E6E" w:rsidP="00875700">
            <w:pPr>
              <w:spacing w:before="60" w:after="60"/>
              <w:rPr>
                <w:b/>
                <w:sz w:val="22"/>
              </w:rPr>
            </w:pPr>
            <w:r w:rsidRPr="001A1E6E">
              <w:rPr>
                <w:b/>
                <w:sz w:val="22"/>
              </w:rPr>
              <w:t>GB Clinical Lead:</w:t>
            </w:r>
          </w:p>
          <w:p w14:paraId="59EC5260" w14:textId="77777777" w:rsidR="001A1E6E" w:rsidRPr="001A1E6E" w:rsidRDefault="001A1E6E" w:rsidP="00875700">
            <w:pPr>
              <w:spacing w:before="60" w:after="60"/>
              <w:rPr>
                <w:i/>
                <w:sz w:val="22"/>
              </w:rPr>
            </w:pPr>
            <w:r w:rsidRPr="001A1E6E">
              <w:rPr>
                <w:i/>
                <w:sz w:val="22"/>
              </w:rPr>
              <w:t>(Name, Title)</w:t>
            </w:r>
          </w:p>
        </w:tc>
        <w:tc>
          <w:tcPr>
            <w:tcW w:w="2425" w:type="dxa"/>
            <w:tcBorders>
              <w:left w:val="single" w:sz="4" w:space="0" w:color="auto"/>
            </w:tcBorders>
          </w:tcPr>
          <w:p w14:paraId="5A210AFC" w14:textId="77777777" w:rsidR="001A1E6E" w:rsidRPr="001A1E6E" w:rsidRDefault="001A1E6E" w:rsidP="00875700">
            <w:pPr>
              <w:spacing w:before="60" w:after="60"/>
              <w:rPr>
                <w:sz w:val="22"/>
              </w:rPr>
            </w:pPr>
          </w:p>
          <w:p w14:paraId="40AF44C8" w14:textId="77777777" w:rsidR="001A1E6E" w:rsidRPr="001A1E6E" w:rsidRDefault="001A1E6E" w:rsidP="00875700">
            <w:pPr>
              <w:spacing w:before="60" w:after="60"/>
              <w:rPr>
                <w:sz w:val="22"/>
              </w:rPr>
            </w:pPr>
          </w:p>
        </w:tc>
        <w:tc>
          <w:tcPr>
            <w:tcW w:w="281" w:type="dxa"/>
            <w:tcBorders>
              <w:top w:val="nil"/>
              <w:left w:val="single" w:sz="4" w:space="0" w:color="auto"/>
              <w:bottom w:val="nil"/>
              <w:right w:val="single" w:sz="4" w:space="0" w:color="auto"/>
            </w:tcBorders>
          </w:tcPr>
          <w:p w14:paraId="1EEE8154" w14:textId="77777777" w:rsidR="001A1E6E" w:rsidRPr="005640A5" w:rsidRDefault="001A1E6E" w:rsidP="00875700">
            <w:pPr>
              <w:spacing w:before="60" w:after="60"/>
            </w:pPr>
          </w:p>
        </w:tc>
        <w:tc>
          <w:tcPr>
            <w:tcW w:w="5658" w:type="dxa"/>
            <w:vMerge/>
            <w:tcBorders>
              <w:left w:val="single" w:sz="4" w:space="0" w:color="auto"/>
              <w:right w:val="single" w:sz="4" w:space="0" w:color="auto"/>
            </w:tcBorders>
          </w:tcPr>
          <w:p w14:paraId="3EE430BC" w14:textId="77777777" w:rsidR="001A1E6E" w:rsidRPr="005640A5" w:rsidRDefault="001A1E6E" w:rsidP="00875700">
            <w:pPr>
              <w:spacing w:before="60" w:after="60"/>
            </w:pPr>
          </w:p>
        </w:tc>
      </w:tr>
      <w:tr w:rsidR="001A1E6E" w:rsidRPr="005640A5" w14:paraId="2BE84BE3" w14:textId="77777777" w:rsidTr="00875700">
        <w:tc>
          <w:tcPr>
            <w:tcW w:w="1809" w:type="dxa"/>
            <w:tcBorders>
              <w:right w:val="single" w:sz="4" w:space="0" w:color="auto"/>
            </w:tcBorders>
            <w:shd w:val="clear" w:color="auto" w:fill="D9D9D9" w:themeFill="background1" w:themeFillShade="D9"/>
          </w:tcPr>
          <w:p w14:paraId="35047617" w14:textId="77777777" w:rsidR="001A1E6E" w:rsidRPr="001A1E6E" w:rsidRDefault="001A1E6E" w:rsidP="00875700">
            <w:pPr>
              <w:spacing w:before="60" w:after="60"/>
              <w:rPr>
                <w:b/>
                <w:sz w:val="22"/>
              </w:rPr>
            </w:pPr>
            <w:r w:rsidRPr="001A1E6E">
              <w:rPr>
                <w:b/>
                <w:sz w:val="22"/>
              </w:rPr>
              <w:t xml:space="preserve">Director approval </w:t>
            </w:r>
          </w:p>
          <w:p w14:paraId="073328ED" w14:textId="77777777" w:rsidR="001A1E6E" w:rsidRPr="001A1E6E" w:rsidRDefault="001A1E6E" w:rsidP="00875700">
            <w:pPr>
              <w:spacing w:before="60" w:after="60"/>
              <w:rPr>
                <w:sz w:val="22"/>
              </w:rPr>
            </w:pPr>
            <w:r w:rsidRPr="001A1E6E">
              <w:rPr>
                <w:sz w:val="22"/>
              </w:rPr>
              <w:t>(Name)</w:t>
            </w:r>
          </w:p>
        </w:tc>
        <w:tc>
          <w:tcPr>
            <w:tcW w:w="2425" w:type="dxa"/>
            <w:tcBorders>
              <w:left w:val="single" w:sz="4" w:space="0" w:color="auto"/>
            </w:tcBorders>
          </w:tcPr>
          <w:p w14:paraId="50B5B409" w14:textId="4C199571" w:rsidR="001A1E6E" w:rsidRPr="001A1E6E" w:rsidRDefault="001A1E6E" w:rsidP="00875700">
            <w:pPr>
              <w:spacing w:before="60" w:after="60"/>
              <w:rPr>
                <w:sz w:val="22"/>
              </w:rPr>
            </w:pPr>
            <w:r>
              <w:rPr>
                <w:sz w:val="22"/>
              </w:rPr>
              <w:t>Helen Davis</w:t>
            </w:r>
          </w:p>
          <w:p w14:paraId="65C88FFD" w14:textId="5997291B" w:rsidR="001A1E6E" w:rsidRPr="001A1E6E" w:rsidRDefault="001A1E6E" w:rsidP="00875700">
            <w:pPr>
              <w:spacing w:before="60" w:after="60"/>
              <w:rPr>
                <w:sz w:val="22"/>
              </w:rPr>
            </w:pPr>
            <w:r>
              <w:rPr>
                <w:sz w:val="22"/>
              </w:rPr>
              <w:t xml:space="preserve">Interim </w:t>
            </w:r>
            <w:r w:rsidRPr="001A1E6E">
              <w:rPr>
                <w:sz w:val="22"/>
              </w:rPr>
              <w:t xml:space="preserve">Director of Nursing Quality </w:t>
            </w:r>
          </w:p>
        </w:tc>
        <w:tc>
          <w:tcPr>
            <w:tcW w:w="281" w:type="dxa"/>
            <w:tcBorders>
              <w:top w:val="nil"/>
              <w:left w:val="single" w:sz="4" w:space="0" w:color="auto"/>
              <w:bottom w:val="nil"/>
              <w:right w:val="single" w:sz="4" w:space="0" w:color="auto"/>
            </w:tcBorders>
          </w:tcPr>
          <w:p w14:paraId="5A48CB21" w14:textId="77777777" w:rsidR="001A1E6E" w:rsidRPr="005640A5" w:rsidRDefault="001A1E6E" w:rsidP="00875700">
            <w:pPr>
              <w:spacing w:before="60" w:after="60"/>
            </w:pPr>
          </w:p>
        </w:tc>
        <w:tc>
          <w:tcPr>
            <w:tcW w:w="5658" w:type="dxa"/>
            <w:vMerge/>
            <w:tcBorders>
              <w:left w:val="single" w:sz="4" w:space="0" w:color="auto"/>
              <w:right w:val="single" w:sz="4" w:space="0" w:color="auto"/>
            </w:tcBorders>
          </w:tcPr>
          <w:p w14:paraId="35A5923F" w14:textId="77777777" w:rsidR="001A1E6E" w:rsidRPr="005640A5" w:rsidRDefault="001A1E6E" w:rsidP="00875700">
            <w:pPr>
              <w:spacing w:before="60" w:after="60"/>
            </w:pPr>
          </w:p>
        </w:tc>
      </w:tr>
      <w:tr w:rsidR="001A1E6E" w:rsidRPr="005640A5" w14:paraId="3B6BDC2F" w14:textId="77777777" w:rsidTr="00875700">
        <w:tc>
          <w:tcPr>
            <w:tcW w:w="1809" w:type="dxa"/>
            <w:tcBorders>
              <w:right w:val="single" w:sz="4" w:space="0" w:color="auto"/>
            </w:tcBorders>
            <w:shd w:val="clear" w:color="auto" w:fill="D9D9D9" w:themeFill="background1" w:themeFillShade="D9"/>
          </w:tcPr>
          <w:p w14:paraId="09B40482" w14:textId="77777777" w:rsidR="001A1E6E" w:rsidRPr="001A1E6E" w:rsidRDefault="001A1E6E" w:rsidP="00875700">
            <w:pPr>
              <w:spacing w:before="60" w:after="60"/>
              <w:rPr>
                <w:b/>
                <w:sz w:val="22"/>
              </w:rPr>
            </w:pPr>
            <w:r w:rsidRPr="001A1E6E">
              <w:rPr>
                <w:b/>
                <w:sz w:val="22"/>
              </w:rPr>
              <w:t>Director Signature</w:t>
            </w:r>
          </w:p>
          <w:p w14:paraId="5A1D95D0" w14:textId="77777777" w:rsidR="001A1E6E" w:rsidRPr="001A1E6E" w:rsidRDefault="001A1E6E" w:rsidP="00875700">
            <w:pPr>
              <w:spacing w:before="60" w:after="60"/>
              <w:rPr>
                <w:i/>
                <w:sz w:val="22"/>
              </w:rPr>
            </w:pPr>
            <w:r w:rsidRPr="001A1E6E">
              <w:rPr>
                <w:b/>
                <w:color w:val="FF0000"/>
                <w:sz w:val="22"/>
              </w:rPr>
              <w:t>(MUST BE SIGNED)</w:t>
            </w:r>
          </w:p>
        </w:tc>
        <w:tc>
          <w:tcPr>
            <w:tcW w:w="2425" w:type="dxa"/>
            <w:tcBorders>
              <w:left w:val="single" w:sz="4" w:space="0" w:color="auto"/>
            </w:tcBorders>
          </w:tcPr>
          <w:p w14:paraId="3C093B4F" w14:textId="77777777" w:rsidR="001A1E6E" w:rsidRPr="001A1E6E" w:rsidRDefault="001A1E6E" w:rsidP="00875700">
            <w:pPr>
              <w:spacing w:before="60" w:after="60"/>
              <w:rPr>
                <w:sz w:val="22"/>
              </w:rPr>
            </w:pPr>
          </w:p>
        </w:tc>
        <w:tc>
          <w:tcPr>
            <w:tcW w:w="281" w:type="dxa"/>
            <w:tcBorders>
              <w:top w:val="nil"/>
              <w:left w:val="single" w:sz="4" w:space="0" w:color="auto"/>
              <w:bottom w:val="nil"/>
              <w:right w:val="single" w:sz="4" w:space="0" w:color="auto"/>
            </w:tcBorders>
          </w:tcPr>
          <w:p w14:paraId="49350B02" w14:textId="77777777" w:rsidR="001A1E6E" w:rsidRPr="005640A5" w:rsidRDefault="001A1E6E" w:rsidP="00875700">
            <w:pPr>
              <w:spacing w:before="60" w:after="60"/>
            </w:pPr>
          </w:p>
        </w:tc>
        <w:tc>
          <w:tcPr>
            <w:tcW w:w="5658" w:type="dxa"/>
            <w:vMerge/>
            <w:tcBorders>
              <w:left w:val="single" w:sz="4" w:space="0" w:color="auto"/>
              <w:bottom w:val="single" w:sz="4" w:space="0" w:color="auto"/>
              <w:right w:val="single" w:sz="4" w:space="0" w:color="auto"/>
            </w:tcBorders>
          </w:tcPr>
          <w:p w14:paraId="12F4263E" w14:textId="77777777" w:rsidR="001A1E6E" w:rsidRPr="005640A5" w:rsidRDefault="001A1E6E" w:rsidP="00875700">
            <w:pPr>
              <w:spacing w:before="60" w:after="60"/>
            </w:pPr>
          </w:p>
        </w:tc>
      </w:tr>
    </w:tbl>
    <w:p w14:paraId="33EAD1BD" w14:textId="77777777" w:rsidR="001A1E6E" w:rsidRDefault="001A1E6E" w:rsidP="001A1E6E">
      <w:pPr>
        <w:spacing w:after="0"/>
      </w:pPr>
    </w:p>
    <w:tbl>
      <w:tblPr>
        <w:tblStyle w:val="TableGrid"/>
        <w:tblW w:w="10173" w:type="dxa"/>
        <w:tblLook w:val="04A0" w:firstRow="1" w:lastRow="0" w:firstColumn="1" w:lastColumn="0" w:noHBand="0" w:noVBand="1"/>
      </w:tblPr>
      <w:tblGrid>
        <w:gridCol w:w="2364"/>
        <w:gridCol w:w="7809"/>
      </w:tblGrid>
      <w:tr w:rsidR="001A1E6E" w:rsidRPr="005640A5" w14:paraId="230BE366" w14:textId="77777777" w:rsidTr="00875700">
        <w:tc>
          <w:tcPr>
            <w:tcW w:w="10173" w:type="dxa"/>
            <w:gridSpan w:val="2"/>
            <w:shd w:val="clear" w:color="auto" w:fill="D9D9D9" w:themeFill="background1" w:themeFillShade="D9"/>
          </w:tcPr>
          <w:p w14:paraId="527D1142" w14:textId="77777777" w:rsidR="001A1E6E" w:rsidRPr="005640A5" w:rsidRDefault="001A1E6E" w:rsidP="00875700">
            <w:pPr>
              <w:rPr>
                <w:b/>
              </w:rPr>
            </w:pPr>
            <w:r w:rsidRPr="005640A5">
              <w:rPr>
                <w:b/>
              </w:rPr>
              <w:t>Executive Summary (Question, Options, Recommendations):</w:t>
            </w:r>
          </w:p>
        </w:tc>
      </w:tr>
      <w:tr w:rsidR="001A1E6E" w:rsidRPr="005640A5" w14:paraId="0C65EBE2" w14:textId="77777777" w:rsidTr="00875700">
        <w:tc>
          <w:tcPr>
            <w:tcW w:w="10173" w:type="dxa"/>
            <w:gridSpan w:val="2"/>
          </w:tcPr>
          <w:p w14:paraId="7F8246C4" w14:textId="115A5F73" w:rsidR="001A1E6E" w:rsidRDefault="001A1E6E" w:rsidP="001A1E6E">
            <w:pPr>
              <w:spacing w:after="0"/>
              <w:rPr>
                <w:bCs/>
                <w:color w:val="auto"/>
              </w:rPr>
            </w:pPr>
            <w:r w:rsidRPr="00B927F8">
              <w:rPr>
                <w:bCs/>
                <w:color w:val="auto"/>
              </w:rPr>
              <w:t xml:space="preserve">The </w:t>
            </w:r>
            <w:r>
              <w:rPr>
                <w:bCs/>
                <w:color w:val="auto"/>
              </w:rPr>
              <w:t>Workforce</w:t>
            </w:r>
            <w:r w:rsidR="00D177C9">
              <w:rPr>
                <w:bCs/>
                <w:color w:val="auto"/>
              </w:rPr>
              <w:t xml:space="preserve"> </w:t>
            </w:r>
            <w:r w:rsidRPr="00B927F8">
              <w:rPr>
                <w:bCs/>
                <w:color w:val="auto"/>
              </w:rPr>
              <w:t xml:space="preserve">Equality Report provides an update on </w:t>
            </w:r>
            <w:r>
              <w:rPr>
                <w:bCs/>
                <w:color w:val="auto"/>
              </w:rPr>
              <w:t>the following NHS England</w:t>
            </w:r>
            <w:r w:rsidRPr="00B927F8">
              <w:rPr>
                <w:bCs/>
                <w:color w:val="auto"/>
              </w:rPr>
              <w:t xml:space="preserve"> equality </w:t>
            </w:r>
            <w:r>
              <w:rPr>
                <w:bCs/>
                <w:color w:val="auto"/>
              </w:rPr>
              <w:t>standards</w:t>
            </w:r>
            <w:r w:rsidRPr="00B927F8">
              <w:rPr>
                <w:bCs/>
                <w:color w:val="auto"/>
              </w:rPr>
              <w:t>:</w:t>
            </w:r>
          </w:p>
          <w:p w14:paraId="43E1C1A4" w14:textId="500E4753" w:rsidR="001A1E6E" w:rsidRPr="00B927F8" w:rsidRDefault="001A1E6E" w:rsidP="001A1E6E">
            <w:pPr>
              <w:spacing w:after="0"/>
              <w:rPr>
                <w:bCs/>
                <w:color w:val="auto"/>
              </w:rPr>
            </w:pPr>
          </w:p>
          <w:p w14:paraId="721A2497" w14:textId="71E3CE5B" w:rsidR="00282D88" w:rsidRPr="00282D88" w:rsidRDefault="001A1E6E" w:rsidP="00282D88">
            <w:pPr>
              <w:pStyle w:val="ListParagraph"/>
              <w:numPr>
                <w:ilvl w:val="0"/>
                <w:numId w:val="35"/>
              </w:numPr>
              <w:spacing w:after="0"/>
              <w:rPr>
                <w:bCs/>
                <w:color w:val="auto"/>
              </w:rPr>
            </w:pPr>
            <w:r w:rsidRPr="00282D88">
              <w:rPr>
                <w:bCs/>
                <w:color w:val="auto"/>
              </w:rPr>
              <w:t xml:space="preserve">Workforce Race Equality Standard (WRES) which is mandated by NHS England (NHSE). </w:t>
            </w:r>
            <w:r w:rsidR="00282D88" w:rsidRPr="00B85F3C">
              <w:t>CCGs are required to submit their annual WRES data to NHS England via the SCDS system for incorporation into an anonymised report.   It is expected that CCG Governing Bod</w:t>
            </w:r>
            <w:r w:rsidR="00282D88">
              <w:t xml:space="preserve">y members </w:t>
            </w:r>
            <w:r w:rsidR="00282D88" w:rsidRPr="00B85F3C">
              <w:t>have oversight of the WRES submission and the associated action plan.</w:t>
            </w:r>
          </w:p>
          <w:p w14:paraId="7E336A6F" w14:textId="6FFA9BE1" w:rsidR="001A1E6E" w:rsidRDefault="001A1E6E" w:rsidP="001A1E6E">
            <w:pPr>
              <w:spacing w:after="0"/>
              <w:ind w:left="360"/>
              <w:rPr>
                <w:bCs/>
                <w:color w:val="auto"/>
              </w:rPr>
            </w:pPr>
          </w:p>
          <w:p w14:paraId="15872295" w14:textId="77777777" w:rsidR="001A1E6E" w:rsidRDefault="001A1E6E" w:rsidP="001A1E6E">
            <w:pPr>
              <w:pStyle w:val="ListParagraph"/>
              <w:numPr>
                <w:ilvl w:val="0"/>
                <w:numId w:val="1"/>
              </w:numPr>
              <w:rPr>
                <w:bCs/>
                <w:color w:val="auto"/>
              </w:rPr>
            </w:pPr>
            <w:r w:rsidRPr="00344E60">
              <w:rPr>
                <w:bCs/>
                <w:color w:val="auto"/>
              </w:rPr>
              <w:t xml:space="preserve">Workforce Disability Equality Standard (WDES) </w:t>
            </w:r>
            <w:r>
              <w:rPr>
                <w:bCs/>
                <w:color w:val="auto"/>
              </w:rPr>
              <w:t>which is</w:t>
            </w:r>
            <w:r w:rsidRPr="00344E60">
              <w:rPr>
                <w:bCs/>
                <w:color w:val="auto"/>
              </w:rPr>
              <w:t xml:space="preserve"> made up of 10 indicators</w:t>
            </w:r>
            <w:r>
              <w:rPr>
                <w:bCs/>
                <w:color w:val="auto"/>
              </w:rPr>
              <w:t xml:space="preserve"> and </w:t>
            </w:r>
            <w:r w:rsidRPr="00344E60">
              <w:rPr>
                <w:bCs/>
                <w:color w:val="auto"/>
              </w:rPr>
              <w:t>came into force on 1 April 2019. Mandatory reporting on WDES is restricted to NHS Trusts and Foundation Trusts</w:t>
            </w:r>
            <w:r>
              <w:rPr>
                <w:bCs/>
                <w:color w:val="auto"/>
              </w:rPr>
              <w:t>. WDES is not mandated for CCGs, with NHS England “</w:t>
            </w:r>
            <w:hyperlink r:id="rId12" w:history="1">
              <w:r w:rsidRPr="00AA3AEA">
                <w:rPr>
                  <w:rStyle w:val="Hyperlink"/>
                  <w:bCs/>
                  <w:i/>
                  <w:iCs/>
                </w:rPr>
                <w:t>engaging with regions and integrated care systems (ICSs) to explore how the WDES can be applied in 2022</w:t>
              </w:r>
              <w:r w:rsidRPr="00AA3AEA">
                <w:rPr>
                  <w:rStyle w:val="Hyperlink"/>
                  <w:bCs/>
                </w:rPr>
                <w:t>”</w:t>
              </w:r>
            </w:hyperlink>
            <w:r>
              <w:rPr>
                <w:bCs/>
                <w:color w:val="auto"/>
              </w:rPr>
              <w:t xml:space="preserve">. The CCG does collect and analyse data across the WDES </w:t>
            </w:r>
            <w:proofErr w:type="gramStart"/>
            <w:r>
              <w:rPr>
                <w:bCs/>
                <w:color w:val="auto"/>
              </w:rPr>
              <w:t>metrics</w:t>
            </w:r>
            <w:proofErr w:type="gramEnd"/>
            <w:r>
              <w:rPr>
                <w:bCs/>
                <w:color w:val="auto"/>
              </w:rPr>
              <w:t xml:space="preserve"> and this informs the CCG’s Equality Outcomes and Workforce Plans.</w:t>
            </w:r>
          </w:p>
          <w:p w14:paraId="7C466426" w14:textId="77777777" w:rsidR="001A1E6E" w:rsidRPr="00D4629C" w:rsidRDefault="001A1E6E" w:rsidP="001A1E6E">
            <w:pPr>
              <w:pStyle w:val="ListParagraph"/>
              <w:rPr>
                <w:bCs/>
                <w:color w:val="auto"/>
              </w:rPr>
            </w:pPr>
          </w:p>
          <w:p w14:paraId="41D1102A" w14:textId="578FFB62" w:rsidR="001A1E6E" w:rsidRPr="00282D88" w:rsidRDefault="001A1E6E" w:rsidP="00875700">
            <w:pPr>
              <w:pStyle w:val="ListParagraph"/>
              <w:numPr>
                <w:ilvl w:val="0"/>
                <w:numId w:val="1"/>
              </w:numPr>
              <w:spacing w:line="276" w:lineRule="auto"/>
              <w:rPr>
                <w:bCs/>
                <w:color w:val="auto"/>
              </w:rPr>
            </w:pPr>
            <w:r w:rsidRPr="00D4629C">
              <w:rPr>
                <w:bCs/>
                <w:color w:val="auto"/>
              </w:rPr>
              <w:t xml:space="preserve">Equality Delivery System (EDS) </w:t>
            </w:r>
            <w:r>
              <w:rPr>
                <w:bCs/>
                <w:color w:val="auto"/>
              </w:rPr>
              <w:t xml:space="preserve">which is a toolkit and framework for assessing how NHS organisations are performing with regard to equality, diversity and human rights.  </w:t>
            </w:r>
          </w:p>
        </w:tc>
      </w:tr>
      <w:tr w:rsidR="001A1E6E" w:rsidRPr="005640A5" w14:paraId="3F03B917" w14:textId="77777777" w:rsidTr="00875700">
        <w:tc>
          <w:tcPr>
            <w:tcW w:w="2185" w:type="dxa"/>
            <w:shd w:val="clear" w:color="auto" w:fill="D9D9D9" w:themeFill="background1" w:themeFillShade="D9"/>
            <w:vAlign w:val="center"/>
          </w:tcPr>
          <w:p w14:paraId="3D1701A9" w14:textId="77777777" w:rsidR="001A1E6E" w:rsidRPr="005640A5" w:rsidRDefault="001A1E6E" w:rsidP="00875700">
            <w:pPr>
              <w:spacing w:before="60" w:after="60"/>
              <w:rPr>
                <w:b/>
              </w:rPr>
            </w:pPr>
            <w:r w:rsidRPr="005640A5">
              <w:rPr>
                <w:b/>
              </w:rPr>
              <w:t>Recommendations</w:t>
            </w:r>
          </w:p>
        </w:tc>
        <w:tc>
          <w:tcPr>
            <w:tcW w:w="798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tblGrid>
            <w:tr w:rsidR="001A1E6E" w14:paraId="51E7E9EA" w14:textId="77777777" w:rsidTr="00875700">
              <w:tc>
                <w:tcPr>
                  <w:tcW w:w="8789" w:type="dxa"/>
                </w:tcPr>
                <w:p w14:paraId="34C65B18" w14:textId="5C964667" w:rsidR="00D177C9" w:rsidRDefault="00D177C9" w:rsidP="00282D88">
                  <w:pPr>
                    <w:pStyle w:val="ListParagraph"/>
                    <w:numPr>
                      <w:ilvl w:val="0"/>
                      <w:numId w:val="33"/>
                    </w:numPr>
                    <w:spacing w:before="120" w:after="120"/>
                  </w:pPr>
                  <w:bookmarkStart w:id="0" w:name="_Hlk83648514"/>
                  <w:r>
                    <w:t>Note</w:t>
                  </w:r>
                  <w:r w:rsidR="00282D88">
                    <w:t xml:space="preserve"> the CCG Workforce</w:t>
                  </w:r>
                  <w:r w:rsidR="00F77873">
                    <w:t xml:space="preserve"> </w:t>
                  </w:r>
                  <w:r w:rsidR="00282D88">
                    <w:t xml:space="preserve">Equality </w:t>
                  </w:r>
                  <w:r w:rsidR="00F77873">
                    <w:t>Report</w:t>
                  </w:r>
                  <w:r w:rsidR="00282D88">
                    <w:t>.</w:t>
                  </w:r>
                </w:p>
                <w:p w14:paraId="444B0FDF" w14:textId="59595E7C" w:rsidR="00282D88" w:rsidRDefault="00D177C9" w:rsidP="00282D88">
                  <w:pPr>
                    <w:pStyle w:val="ListParagraph"/>
                    <w:numPr>
                      <w:ilvl w:val="0"/>
                      <w:numId w:val="33"/>
                    </w:numPr>
                    <w:spacing w:before="120" w:after="120"/>
                  </w:pPr>
                  <w:r>
                    <w:t>Note the CCG’s WRES findings</w:t>
                  </w:r>
                  <w:r w:rsidR="00282D88">
                    <w:tab/>
                  </w:r>
                </w:p>
                <w:p w14:paraId="0EACCA36" w14:textId="77777777" w:rsidR="00282D88" w:rsidRDefault="00282D88" w:rsidP="00282D88">
                  <w:pPr>
                    <w:pStyle w:val="ListParagraph"/>
                    <w:numPr>
                      <w:ilvl w:val="0"/>
                      <w:numId w:val="33"/>
                    </w:numPr>
                    <w:spacing w:before="120" w:after="120"/>
                  </w:pPr>
                  <w:r>
                    <w:t xml:space="preserve">Endorse the CCG’s approach to the Workforce Disability </w:t>
                  </w:r>
                  <w:r>
                    <w:lastRenderedPageBreak/>
                    <w:t>Equality Standard (WDES).</w:t>
                  </w:r>
                </w:p>
                <w:p w14:paraId="57F0F4B0" w14:textId="77E5E488" w:rsidR="001A1E6E" w:rsidRPr="007A2A76" w:rsidRDefault="00282D88" w:rsidP="00282D88">
                  <w:pPr>
                    <w:pStyle w:val="ListParagraph"/>
                    <w:numPr>
                      <w:ilvl w:val="0"/>
                      <w:numId w:val="33"/>
                    </w:numPr>
                    <w:spacing w:before="120" w:after="120"/>
                  </w:pPr>
                  <w:r>
                    <w:t>Note the proposed CCG approach to the Equality Delivery System (EDS).</w:t>
                  </w:r>
                  <w:bookmarkEnd w:id="0"/>
                  <w:r w:rsidR="001A1E6E" w:rsidRPr="007A2A76">
                    <w:tab/>
                  </w:r>
                </w:p>
              </w:tc>
            </w:tr>
            <w:tr w:rsidR="001A1E6E" w14:paraId="76A59B68" w14:textId="77777777" w:rsidTr="00875700">
              <w:tc>
                <w:tcPr>
                  <w:tcW w:w="8789" w:type="dxa"/>
                </w:tcPr>
                <w:p w14:paraId="49059804" w14:textId="77777777" w:rsidR="001A1E6E" w:rsidRPr="00082113" w:rsidRDefault="001A1E6E" w:rsidP="00875700"/>
              </w:tc>
            </w:tr>
          </w:tbl>
          <w:p w14:paraId="4A47C956" w14:textId="77777777" w:rsidR="001A1E6E" w:rsidRPr="005640A5" w:rsidRDefault="001A1E6E" w:rsidP="00875700">
            <w:pPr>
              <w:spacing w:after="0"/>
            </w:pPr>
          </w:p>
        </w:tc>
      </w:tr>
    </w:tbl>
    <w:p w14:paraId="0CE080D3" w14:textId="77777777" w:rsidR="001A1E6E" w:rsidRPr="005640A5" w:rsidRDefault="001A1E6E" w:rsidP="001A1E6E">
      <w:pPr>
        <w:spacing w:after="0"/>
      </w:pPr>
    </w:p>
    <w:tbl>
      <w:tblPr>
        <w:tblStyle w:val="TableGrid"/>
        <w:tblW w:w="10173" w:type="dxa"/>
        <w:tblLayout w:type="fixed"/>
        <w:tblLook w:val="04A0" w:firstRow="1" w:lastRow="0" w:firstColumn="1" w:lastColumn="0" w:noHBand="0" w:noVBand="1"/>
      </w:tblPr>
      <w:tblGrid>
        <w:gridCol w:w="3262"/>
        <w:gridCol w:w="527"/>
        <w:gridCol w:w="6384"/>
      </w:tblGrid>
      <w:tr w:rsidR="001A1E6E" w:rsidRPr="005640A5" w14:paraId="5F526057" w14:textId="77777777" w:rsidTr="00875700">
        <w:trPr>
          <w:trHeight w:val="278"/>
        </w:trPr>
        <w:tc>
          <w:tcPr>
            <w:tcW w:w="3262" w:type="dxa"/>
            <w:shd w:val="clear" w:color="auto" w:fill="D9D9D9" w:themeFill="background1" w:themeFillShade="D9"/>
            <w:vAlign w:val="center"/>
          </w:tcPr>
          <w:p w14:paraId="1BBACD7C" w14:textId="77777777" w:rsidR="001A1E6E" w:rsidRPr="005640A5" w:rsidRDefault="001A1E6E" w:rsidP="00875700">
            <w:pPr>
              <w:spacing w:after="0"/>
              <w:rPr>
                <w:b/>
              </w:rPr>
            </w:pPr>
            <w:r w:rsidRPr="005640A5">
              <w:rPr>
                <w:b/>
              </w:rPr>
              <w:t>Link to a Strategic Objective?</w:t>
            </w:r>
          </w:p>
        </w:tc>
        <w:tc>
          <w:tcPr>
            <w:tcW w:w="527" w:type="dxa"/>
          </w:tcPr>
          <w:p w14:paraId="6869D5AD" w14:textId="77777777" w:rsidR="001A1E6E" w:rsidRPr="005640A5" w:rsidRDefault="00F77873" w:rsidP="00875700">
            <w:pPr>
              <w:spacing w:after="240"/>
            </w:pPr>
            <w:sdt>
              <w:sdtPr>
                <w:id w:val="-2044358785"/>
                <w14:checkbox>
                  <w14:checked w14:val="1"/>
                  <w14:checkedState w14:val="2612" w14:font="MS Gothic"/>
                  <w14:uncheckedState w14:val="2610" w14:font="MS Gothic"/>
                </w14:checkbox>
              </w:sdtPr>
              <w:sdtEndPr/>
              <w:sdtContent>
                <w:r w:rsidR="001A1E6E">
                  <w:rPr>
                    <w:rFonts w:ascii="MS Gothic" w:eastAsia="MS Gothic" w:hAnsi="MS Gothic" w:hint="eastAsia"/>
                  </w:rPr>
                  <w:t>☒</w:t>
                </w:r>
              </w:sdtContent>
            </w:sdt>
          </w:p>
          <w:p w14:paraId="3F374090" w14:textId="77777777" w:rsidR="001A1E6E" w:rsidRPr="005640A5" w:rsidRDefault="00F77873" w:rsidP="00875700">
            <w:pPr>
              <w:spacing w:after="240"/>
            </w:pPr>
            <w:sdt>
              <w:sdtPr>
                <w:id w:val="1616630925"/>
                <w14:checkbox>
                  <w14:checked w14:val="0"/>
                  <w14:checkedState w14:val="2612" w14:font="MS Gothic"/>
                  <w14:uncheckedState w14:val="2610" w14:font="MS Gothic"/>
                </w14:checkbox>
              </w:sdtPr>
              <w:sdtEndPr/>
              <w:sdtContent>
                <w:r w:rsidR="001A1E6E" w:rsidRPr="005640A5">
                  <w:rPr>
                    <w:rFonts w:ascii="MS Gothic" w:eastAsia="MS Gothic" w:hAnsi="MS Gothic" w:cs="MS Gothic" w:hint="eastAsia"/>
                  </w:rPr>
                  <w:t>☐</w:t>
                </w:r>
              </w:sdtContent>
            </w:sdt>
          </w:p>
          <w:p w14:paraId="45B4B1AC" w14:textId="77777777" w:rsidR="001A1E6E" w:rsidRPr="005640A5" w:rsidRDefault="00F77873" w:rsidP="00875700">
            <w:pPr>
              <w:spacing w:after="240"/>
            </w:pPr>
            <w:sdt>
              <w:sdtPr>
                <w:id w:val="-1773090352"/>
                <w14:checkbox>
                  <w14:checked w14:val="0"/>
                  <w14:checkedState w14:val="2612" w14:font="MS Gothic"/>
                  <w14:uncheckedState w14:val="2610" w14:font="MS Gothic"/>
                </w14:checkbox>
              </w:sdtPr>
              <w:sdtEndPr/>
              <w:sdtContent>
                <w:r w:rsidR="001A1E6E" w:rsidRPr="005640A5">
                  <w:rPr>
                    <w:rFonts w:ascii="MS Gothic" w:eastAsia="MS Gothic" w:hAnsi="MS Gothic" w:cs="MS Gothic" w:hint="eastAsia"/>
                  </w:rPr>
                  <w:t>☐</w:t>
                </w:r>
              </w:sdtContent>
            </w:sdt>
          </w:p>
          <w:p w14:paraId="4010F9C3" w14:textId="77777777" w:rsidR="001A1E6E" w:rsidRPr="005640A5" w:rsidRDefault="00F77873" w:rsidP="00875700">
            <w:pPr>
              <w:spacing w:after="240"/>
            </w:pPr>
            <w:sdt>
              <w:sdtPr>
                <w:id w:val="-2018146912"/>
                <w14:checkbox>
                  <w14:checked w14:val="0"/>
                  <w14:checkedState w14:val="2612" w14:font="MS Gothic"/>
                  <w14:uncheckedState w14:val="2610" w14:font="MS Gothic"/>
                </w14:checkbox>
              </w:sdtPr>
              <w:sdtEndPr/>
              <w:sdtContent>
                <w:r w:rsidR="001A1E6E" w:rsidRPr="005640A5">
                  <w:rPr>
                    <w:rFonts w:ascii="MS Gothic" w:eastAsia="MS Gothic" w:hAnsi="MS Gothic" w:cs="MS Gothic" w:hint="eastAsia"/>
                  </w:rPr>
                  <w:t>☐</w:t>
                </w:r>
              </w:sdtContent>
            </w:sdt>
          </w:p>
        </w:tc>
        <w:tc>
          <w:tcPr>
            <w:tcW w:w="6384" w:type="dxa"/>
          </w:tcPr>
          <w:p w14:paraId="664A855B" w14:textId="77777777" w:rsidR="001A1E6E" w:rsidRPr="005640A5" w:rsidRDefault="001A1E6E" w:rsidP="001A1E6E">
            <w:pPr>
              <w:pStyle w:val="ListParagraph"/>
              <w:numPr>
                <w:ilvl w:val="0"/>
                <w:numId w:val="32"/>
              </w:numPr>
              <w:spacing w:after="0"/>
              <w:ind w:left="322" w:hanging="322"/>
            </w:pPr>
            <w:r w:rsidRPr="005640A5">
              <w:t>Commission high quality and safe services</w:t>
            </w:r>
          </w:p>
          <w:p w14:paraId="53EAD3E4" w14:textId="77777777" w:rsidR="001A1E6E" w:rsidRPr="005640A5" w:rsidRDefault="001A1E6E" w:rsidP="00875700">
            <w:pPr>
              <w:pStyle w:val="ListParagraph"/>
              <w:spacing w:after="0"/>
              <w:ind w:left="322"/>
            </w:pPr>
          </w:p>
          <w:p w14:paraId="72CFB7E1" w14:textId="77777777" w:rsidR="001A1E6E" w:rsidRPr="005640A5" w:rsidRDefault="001A1E6E" w:rsidP="001A1E6E">
            <w:pPr>
              <w:pStyle w:val="ListParagraph"/>
              <w:numPr>
                <w:ilvl w:val="0"/>
                <w:numId w:val="32"/>
              </w:numPr>
              <w:spacing w:after="0"/>
              <w:ind w:left="322" w:hanging="322"/>
            </w:pPr>
            <w:r w:rsidRPr="005640A5">
              <w:t>Responsive to the health and are needs of the population</w:t>
            </w:r>
          </w:p>
          <w:p w14:paraId="25CE1BB7" w14:textId="77777777" w:rsidR="001A1E6E" w:rsidRPr="005640A5" w:rsidRDefault="001A1E6E" w:rsidP="00875700">
            <w:pPr>
              <w:pStyle w:val="ListParagraph"/>
              <w:spacing w:after="0"/>
            </w:pPr>
          </w:p>
          <w:p w14:paraId="6F0A0163" w14:textId="77777777" w:rsidR="001A1E6E" w:rsidRPr="005640A5" w:rsidRDefault="001A1E6E" w:rsidP="001A1E6E">
            <w:pPr>
              <w:pStyle w:val="ListParagraph"/>
              <w:numPr>
                <w:ilvl w:val="0"/>
                <w:numId w:val="32"/>
              </w:numPr>
              <w:spacing w:after="0"/>
              <w:ind w:left="322" w:hanging="322"/>
            </w:pPr>
            <w:r w:rsidRPr="005640A5">
              <w:t>Working together with patients, partners and the public to stay healthier and independent for longer</w:t>
            </w:r>
          </w:p>
          <w:p w14:paraId="6DE41EDC" w14:textId="77777777" w:rsidR="001A1E6E" w:rsidRPr="005640A5" w:rsidRDefault="001A1E6E" w:rsidP="00875700">
            <w:pPr>
              <w:spacing w:after="0"/>
            </w:pPr>
          </w:p>
          <w:p w14:paraId="6380CD57" w14:textId="77777777" w:rsidR="001A1E6E" w:rsidRPr="005640A5" w:rsidRDefault="001A1E6E" w:rsidP="001A1E6E">
            <w:pPr>
              <w:pStyle w:val="ListParagraph"/>
              <w:numPr>
                <w:ilvl w:val="0"/>
                <w:numId w:val="32"/>
              </w:numPr>
              <w:spacing w:after="0"/>
              <w:ind w:left="322" w:hanging="322"/>
            </w:pPr>
            <w:r w:rsidRPr="005640A5">
              <w:t xml:space="preserve">Where people need health and care </w:t>
            </w:r>
            <w:proofErr w:type="gramStart"/>
            <w:r w:rsidRPr="005640A5">
              <w:t>services</w:t>
            </w:r>
            <w:proofErr w:type="gramEnd"/>
            <w:r w:rsidRPr="005640A5">
              <w:t xml:space="preserve"> they will be available when and where you need them  </w:t>
            </w:r>
          </w:p>
        </w:tc>
      </w:tr>
      <w:tr w:rsidR="001A1E6E" w:rsidRPr="005640A5" w14:paraId="65B244D3" w14:textId="77777777" w:rsidTr="00875700">
        <w:trPr>
          <w:trHeight w:val="292"/>
        </w:trPr>
        <w:tc>
          <w:tcPr>
            <w:tcW w:w="3262" w:type="dxa"/>
            <w:shd w:val="clear" w:color="auto" w:fill="D9D9D9" w:themeFill="background1" w:themeFillShade="D9"/>
            <w:vAlign w:val="center"/>
          </w:tcPr>
          <w:p w14:paraId="7646CC5C" w14:textId="77777777" w:rsidR="001A1E6E" w:rsidRPr="005640A5" w:rsidRDefault="001A1E6E" w:rsidP="00875700">
            <w:pPr>
              <w:spacing w:after="0"/>
              <w:rPr>
                <w:b/>
              </w:rPr>
            </w:pPr>
            <w:r w:rsidRPr="005640A5">
              <w:rPr>
                <w:b/>
              </w:rPr>
              <w:t>Link to a Strategic Risk</w:t>
            </w:r>
          </w:p>
        </w:tc>
        <w:sdt>
          <w:sdtPr>
            <w:id w:val="-1404596672"/>
          </w:sdtPr>
          <w:sdtEndPr/>
          <w:sdtContent>
            <w:sdt>
              <w:sdtPr>
                <w:id w:val="344289351"/>
                <w14:checkbox>
                  <w14:checked w14:val="0"/>
                  <w14:checkedState w14:val="2612" w14:font="MS Gothic"/>
                  <w14:uncheckedState w14:val="2610" w14:font="MS Gothic"/>
                </w14:checkbox>
              </w:sdtPr>
              <w:sdtEndPr/>
              <w:sdtContent>
                <w:tc>
                  <w:tcPr>
                    <w:tcW w:w="527" w:type="dxa"/>
                  </w:tcPr>
                  <w:p w14:paraId="151ACEB3"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c>
          <w:tcPr>
            <w:tcW w:w="6384" w:type="dxa"/>
          </w:tcPr>
          <w:p w14:paraId="40786472" w14:textId="77777777" w:rsidR="001A1E6E" w:rsidRPr="005640A5" w:rsidRDefault="001A1E6E" w:rsidP="00875700">
            <w:pPr>
              <w:pStyle w:val="ListParagraph"/>
              <w:spacing w:after="0"/>
              <w:ind w:left="322"/>
            </w:pPr>
            <w:r w:rsidRPr="005640A5">
              <w:t xml:space="preserve"> </w:t>
            </w:r>
          </w:p>
        </w:tc>
      </w:tr>
    </w:tbl>
    <w:p w14:paraId="03074393" w14:textId="77777777" w:rsidR="001A1E6E" w:rsidRDefault="001A1E6E" w:rsidP="001A1E6E">
      <w:pPr>
        <w:spacing w:after="0"/>
        <w:rPr>
          <w:b/>
          <w:u w:val="single"/>
        </w:rPr>
      </w:pPr>
    </w:p>
    <w:tbl>
      <w:tblPr>
        <w:tblStyle w:val="TableGrid"/>
        <w:tblW w:w="10173" w:type="dxa"/>
        <w:tblLook w:val="04A0" w:firstRow="1" w:lastRow="0" w:firstColumn="1" w:lastColumn="0" w:noHBand="0" w:noVBand="1"/>
      </w:tblPr>
      <w:tblGrid>
        <w:gridCol w:w="4077"/>
        <w:gridCol w:w="544"/>
        <w:gridCol w:w="4559"/>
        <w:gridCol w:w="993"/>
      </w:tblGrid>
      <w:tr w:rsidR="001A1E6E" w:rsidRPr="005640A5" w14:paraId="5708E821" w14:textId="77777777" w:rsidTr="00875700">
        <w:tc>
          <w:tcPr>
            <w:tcW w:w="10173" w:type="dxa"/>
            <w:gridSpan w:val="4"/>
            <w:shd w:val="clear" w:color="auto" w:fill="D9D9D9" w:themeFill="background1" w:themeFillShade="D9"/>
          </w:tcPr>
          <w:p w14:paraId="48B8079D" w14:textId="77777777" w:rsidR="001A1E6E" w:rsidRPr="00CB4970" w:rsidRDefault="001A1E6E" w:rsidP="00875700">
            <w:pPr>
              <w:rPr>
                <w:b/>
              </w:rPr>
            </w:pPr>
            <w:r w:rsidRPr="00CB4970">
              <w:rPr>
                <w:b/>
              </w:rPr>
              <w:t>Link to Key Delivery Programmes</w:t>
            </w:r>
          </w:p>
        </w:tc>
      </w:tr>
      <w:tr w:rsidR="001A1E6E" w:rsidRPr="005640A5" w14:paraId="7F000856" w14:textId="77777777" w:rsidTr="00875700">
        <w:tc>
          <w:tcPr>
            <w:tcW w:w="4077" w:type="dxa"/>
            <w:shd w:val="clear" w:color="auto" w:fill="D9D9D9" w:themeFill="background1" w:themeFillShade="D9"/>
            <w:vAlign w:val="center"/>
          </w:tcPr>
          <w:p w14:paraId="0BBE1F85" w14:textId="77777777" w:rsidR="001A1E6E" w:rsidRPr="005640A5" w:rsidRDefault="001A1E6E" w:rsidP="00875700">
            <w:pPr>
              <w:spacing w:after="0"/>
              <w:rPr>
                <w:b/>
              </w:rPr>
            </w:pPr>
            <w:r w:rsidRPr="005640A5">
              <w:rPr>
                <w:b/>
              </w:rPr>
              <w:t>Prevention</w:t>
            </w:r>
          </w:p>
        </w:tc>
        <w:sdt>
          <w:sdtPr>
            <w:id w:val="2128189546"/>
          </w:sdtPr>
          <w:sdtEndPr/>
          <w:sdtContent>
            <w:sdt>
              <w:sdtPr>
                <w:id w:val="170693363"/>
                <w14:checkbox>
                  <w14:checked w14:val="0"/>
                  <w14:checkedState w14:val="2612" w14:font="MS Gothic"/>
                  <w14:uncheckedState w14:val="2610" w14:font="MS Gothic"/>
                </w14:checkbox>
              </w:sdtPr>
              <w:sdtEndPr/>
              <w:sdtContent>
                <w:tc>
                  <w:tcPr>
                    <w:tcW w:w="544" w:type="dxa"/>
                    <w:vAlign w:val="center"/>
                  </w:tcPr>
                  <w:p w14:paraId="17CBE984"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c>
          <w:tcPr>
            <w:tcW w:w="4559" w:type="dxa"/>
            <w:shd w:val="clear" w:color="auto" w:fill="D9D9D9" w:themeFill="background1" w:themeFillShade="D9"/>
            <w:vAlign w:val="center"/>
          </w:tcPr>
          <w:p w14:paraId="04CA2946" w14:textId="77777777" w:rsidR="001A1E6E" w:rsidRPr="005640A5" w:rsidRDefault="001A1E6E" w:rsidP="00875700">
            <w:pPr>
              <w:spacing w:after="0"/>
              <w:rPr>
                <w:b/>
              </w:rPr>
            </w:pPr>
            <w:r w:rsidRPr="005640A5">
              <w:rPr>
                <w:b/>
              </w:rPr>
              <w:t>Children &amp; Maternity</w:t>
            </w:r>
          </w:p>
        </w:tc>
        <w:sdt>
          <w:sdtPr>
            <w:id w:val="1890294123"/>
          </w:sdtPr>
          <w:sdtEndPr/>
          <w:sdtContent>
            <w:sdt>
              <w:sdtPr>
                <w:id w:val="1900321365"/>
                <w14:checkbox>
                  <w14:checked w14:val="0"/>
                  <w14:checkedState w14:val="2612" w14:font="MS Gothic"/>
                  <w14:uncheckedState w14:val="2610" w14:font="MS Gothic"/>
                </w14:checkbox>
              </w:sdtPr>
              <w:sdtEndPr/>
              <w:sdtContent>
                <w:tc>
                  <w:tcPr>
                    <w:tcW w:w="993" w:type="dxa"/>
                    <w:vAlign w:val="center"/>
                  </w:tcPr>
                  <w:p w14:paraId="5A9E1E5F"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r>
      <w:tr w:rsidR="001A1E6E" w:rsidRPr="005640A5" w14:paraId="135EDD81" w14:textId="77777777" w:rsidTr="00875700">
        <w:tc>
          <w:tcPr>
            <w:tcW w:w="4077" w:type="dxa"/>
            <w:shd w:val="clear" w:color="auto" w:fill="D9D9D9" w:themeFill="background1" w:themeFillShade="D9"/>
            <w:vAlign w:val="center"/>
          </w:tcPr>
          <w:p w14:paraId="3F4CC5AD" w14:textId="77777777" w:rsidR="001A1E6E" w:rsidRPr="005640A5" w:rsidRDefault="001A1E6E" w:rsidP="00875700">
            <w:pPr>
              <w:spacing w:after="0"/>
              <w:rPr>
                <w:b/>
              </w:rPr>
            </w:pPr>
            <w:r w:rsidRPr="005640A5">
              <w:rPr>
                <w:b/>
              </w:rPr>
              <w:t>Primary Care</w:t>
            </w:r>
          </w:p>
        </w:tc>
        <w:sdt>
          <w:sdtPr>
            <w:id w:val="1518507616"/>
          </w:sdtPr>
          <w:sdtEndPr/>
          <w:sdtContent>
            <w:sdt>
              <w:sdtPr>
                <w:id w:val="-36668458"/>
                <w14:checkbox>
                  <w14:checked w14:val="0"/>
                  <w14:checkedState w14:val="2612" w14:font="MS Gothic"/>
                  <w14:uncheckedState w14:val="2610" w14:font="MS Gothic"/>
                </w14:checkbox>
              </w:sdtPr>
              <w:sdtEndPr/>
              <w:sdtContent>
                <w:tc>
                  <w:tcPr>
                    <w:tcW w:w="544" w:type="dxa"/>
                    <w:vAlign w:val="center"/>
                  </w:tcPr>
                  <w:p w14:paraId="7F485031"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c>
          <w:tcPr>
            <w:tcW w:w="4559" w:type="dxa"/>
            <w:shd w:val="clear" w:color="auto" w:fill="D9D9D9" w:themeFill="background1" w:themeFillShade="D9"/>
            <w:vAlign w:val="center"/>
          </w:tcPr>
          <w:p w14:paraId="1439598C" w14:textId="77777777" w:rsidR="001A1E6E" w:rsidRPr="005640A5" w:rsidRDefault="001A1E6E" w:rsidP="00875700">
            <w:pPr>
              <w:spacing w:after="0"/>
              <w:rPr>
                <w:b/>
              </w:rPr>
            </w:pPr>
            <w:r w:rsidRPr="005640A5">
              <w:rPr>
                <w:b/>
              </w:rPr>
              <w:t>Mental Health &amp; Learning Disabilities</w:t>
            </w:r>
          </w:p>
        </w:tc>
        <w:sdt>
          <w:sdtPr>
            <w:id w:val="1707679329"/>
          </w:sdtPr>
          <w:sdtEndPr/>
          <w:sdtContent>
            <w:sdt>
              <w:sdtPr>
                <w:id w:val="-1996715152"/>
                <w14:checkbox>
                  <w14:checked w14:val="0"/>
                  <w14:checkedState w14:val="2612" w14:font="MS Gothic"/>
                  <w14:uncheckedState w14:val="2610" w14:font="MS Gothic"/>
                </w14:checkbox>
              </w:sdtPr>
              <w:sdtEndPr/>
              <w:sdtContent>
                <w:tc>
                  <w:tcPr>
                    <w:tcW w:w="993" w:type="dxa"/>
                    <w:vAlign w:val="center"/>
                  </w:tcPr>
                  <w:p w14:paraId="772CF924"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r>
      <w:tr w:rsidR="001A1E6E" w:rsidRPr="005640A5" w14:paraId="4FD7D560" w14:textId="77777777" w:rsidTr="00875700">
        <w:tc>
          <w:tcPr>
            <w:tcW w:w="4077" w:type="dxa"/>
            <w:shd w:val="clear" w:color="auto" w:fill="D9D9D9" w:themeFill="background1" w:themeFillShade="D9"/>
            <w:vAlign w:val="center"/>
          </w:tcPr>
          <w:p w14:paraId="3964686B" w14:textId="77777777" w:rsidR="001A1E6E" w:rsidRPr="005640A5" w:rsidRDefault="001A1E6E" w:rsidP="00875700">
            <w:pPr>
              <w:spacing w:after="0"/>
              <w:rPr>
                <w:b/>
              </w:rPr>
            </w:pPr>
            <w:r w:rsidRPr="005640A5">
              <w:rPr>
                <w:b/>
              </w:rPr>
              <w:t>Out of Hospital Care</w:t>
            </w:r>
          </w:p>
        </w:tc>
        <w:sdt>
          <w:sdtPr>
            <w:id w:val="-764143519"/>
          </w:sdtPr>
          <w:sdtEndPr/>
          <w:sdtContent>
            <w:sdt>
              <w:sdtPr>
                <w:id w:val="-1472817858"/>
                <w14:checkbox>
                  <w14:checked w14:val="0"/>
                  <w14:checkedState w14:val="2612" w14:font="MS Gothic"/>
                  <w14:uncheckedState w14:val="2610" w14:font="MS Gothic"/>
                </w14:checkbox>
              </w:sdtPr>
              <w:sdtEndPr/>
              <w:sdtContent>
                <w:tc>
                  <w:tcPr>
                    <w:tcW w:w="544" w:type="dxa"/>
                    <w:vAlign w:val="center"/>
                  </w:tcPr>
                  <w:p w14:paraId="5C06A072" w14:textId="77777777" w:rsidR="001A1E6E" w:rsidRPr="005640A5" w:rsidRDefault="001A1E6E" w:rsidP="00875700">
                    <w:pPr>
                      <w:spacing w:after="0"/>
                      <w:jc w:val="center"/>
                    </w:pPr>
                    <w:r w:rsidRPr="005640A5">
                      <w:rPr>
                        <w:rFonts w:ascii="MS Gothic" w:eastAsia="MS Gothic" w:hAnsi="MS Gothic" w:cs="MS Gothic" w:hint="eastAsia"/>
                      </w:rPr>
                      <w:t>☐</w:t>
                    </w:r>
                  </w:p>
                </w:tc>
              </w:sdtContent>
            </w:sdt>
          </w:sdtContent>
        </w:sdt>
        <w:tc>
          <w:tcPr>
            <w:tcW w:w="4559" w:type="dxa"/>
            <w:shd w:val="clear" w:color="auto" w:fill="D9D9D9" w:themeFill="background1" w:themeFillShade="D9"/>
            <w:vAlign w:val="center"/>
          </w:tcPr>
          <w:p w14:paraId="05460B83" w14:textId="77777777" w:rsidR="001A1E6E" w:rsidRPr="005640A5" w:rsidRDefault="001A1E6E" w:rsidP="00875700">
            <w:pPr>
              <w:spacing w:after="0"/>
              <w:rPr>
                <w:b/>
              </w:rPr>
            </w:pPr>
            <w:r w:rsidRPr="005640A5">
              <w:rPr>
                <w:b/>
              </w:rPr>
              <w:t xml:space="preserve">Hospital Care </w:t>
            </w:r>
          </w:p>
        </w:tc>
        <w:sdt>
          <w:sdtPr>
            <w:id w:val="-963493245"/>
            <w14:checkbox>
              <w14:checked w14:val="0"/>
              <w14:checkedState w14:val="2612" w14:font="MS Gothic"/>
              <w14:uncheckedState w14:val="2610" w14:font="MS Gothic"/>
            </w14:checkbox>
          </w:sdtPr>
          <w:sdtEndPr/>
          <w:sdtContent>
            <w:tc>
              <w:tcPr>
                <w:tcW w:w="993" w:type="dxa"/>
                <w:vAlign w:val="center"/>
              </w:tcPr>
              <w:p w14:paraId="6B3448C0" w14:textId="77777777" w:rsidR="001A1E6E" w:rsidRPr="005640A5" w:rsidRDefault="001A1E6E" w:rsidP="00875700">
                <w:pPr>
                  <w:spacing w:after="0"/>
                  <w:jc w:val="center"/>
                </w:pPr>
                <w:r w:rsidRPr="005640A5">
                  <w:rPr>
                    <w:rFonts w:ascii="MS Gothic" w:eastAsia="MS Gothic" w:hAnsi="MS Gothic" w:cs="MS Gothic" w:hint="eastAsia"/>
                  </w:rPr>
                  <w:t>☐</w:t>
                </w:r>
              </w:p>
            </w:tc>
          </w:sdtContent>
        </w:sdt>
      </w:tr>
      <w:tr w:rsidR="001A1E6E" w:rsidRPr="005640A5" w14:paraId="4E786DD2" w14:textId="77777777" w:rsidTr="00875700">
        <w:tc>
          <w:tcPr>
            <w:tcW w:w="4077" w:type="dxa"/>
            <w:shd w:val="clear" w:color="auto" w:fill="D9D9D9" w:themeFill="background1" w:themeFillShade="D9"/>
            <w:vAlign w:val="center"/>
          </w:tcPr>
          <w:p w14:paraId="2621A5CF" w14:textId="77777777" w:rsidR="001A1E6E" w:rsidRPr="005640A5" w:rsidRDefault="001A1E6E" w:rsidP="00875700">
            <w:pPr>
              <w:spacing w:after="0"/>
              <w:rPr>
                <w:b/>
              </w:rPr>
            </w:pPr>
            <w:r>
              <w:rPr>
                <w:b/>
              </w:rPr>
              <w:t>Other (specify)</w:t>
            </w:r>
          </w:p>
        </w:tc>
        <w:sdt>
          <w:sdtPr>
            <w:id w:val="-223984067"/>
            <w14:checkbox>
              <w14:checked w14:val="0"/>
              <w14:checkedState w14:val="2612" w14:font="MS Gothic"/>
              <w14:uncheckedState w14:val="2610" w14:font="MS Gothic"/>
            </w14:checkbox>
          </w:sdtPr>
          <w:sdtEndPr/>
          <w:sdtContent>
            <w:tc>
              <w:tcPr>
                <w:tcW w:w="544" w:type="dxa"/>
                <w:vAlign w:val="center"/>
              </w:tcPr>
              <w:p w14:paraId="73E2B92F" w14:textId="77777777" w:rsidR="001A1E6E" w:rsidRPr="005640A5" w:rsidRDefault="001A1E6E" w:rsidP="00875700">
                <w:pPr>
                  <w:spacing w:after="0"/>
                  <w:jc w:val="center"/>
                </w:pPr>
                <w:r w:rsidRPr="005640A5">
                  <w:rPr>
                    <w:rFonts w:ascii="MS Gothic" w:eastAsia="MS Gothic" w:hAnsi="MS Gothic" w:cs="MS Gothic" w:hint="eastAsia"/>
                  </w:rPr>
                  <w:t>☐</w:t>
                </w:r>
              </w:p>
            </w:tc>
          </w:sdtContent>
        </w:sdt>
        <w:tc>
          <w:tcPr>
            <w:tcW w:w="4559" w:type="dxa"/>
            <w:shd w:val="clear" w:color="auto" w:fill="D9D9D9" w:themeFill="background1" w:themeFillShade="D9"/>
            <w:vAlign w:val="center"/>
          </w:tcPr>
          <w:p w14:paraId="5BE728BF" w14:textId="77777777" w:rsidR="001A1E6E" w:rsidRPr="005640A5" w:rsidRDefault="001A1E6E" w:rsidP="00875700">
            <w:pPr>
              <w:spacing w:after="0"/>
              <w:rPr>
                <w:b/>
              </w:rPr>
            </w:pPr>
            <w:r w:rsidRPr="005640A5">
              <w:rPr>
                <w:b/>
              </w:rPr>
              <w:t>Statutory/Regulatory</w:t>
            </w:r>
          </w:p>
        </w:tc>
        <w:sdt>
          <w:sdtPr>
            <w:id w:val="-1334457037"/>
          </w:sdtPr>
          <w:sdtEndPr/>
          <w:sdtContent>
            <w:sdt>
              <w:sdtPr>
                <w:id w:val="-328368344"/>
                <w14:checkbox>
                  <w14:checked w14:val="1"/>
                  <w14:checkedState w14:val="2612" w14:font="MS Gothic"/>
                  <w14:uncheckedState w14:val="2610" w14:font="MS Gothic"/>
                </w14:checkbox>
              </w:sdtPr>
              <w:sdtEndPr/>
              <w:sdtContent>
                <w:tc>
                  <w:tcPr>
                    <w:tcW w:w="993" w:type="dxa"/>
                    <w:vAlign w:val="center"/>
                  </w:tcPr>
                  <w:p w14:paraId="4E131E26" w14:textId="77777777" w:rsidR="001A1E6E" w:rsidRPr="005640A5" w:rsidRDefault="001A1E6E" w:rsidP="00875700">
                    <w:pPr>
                      <w:spacing w:after="0"/>
                      <w:jc w:val="center"/>
                    </w:pPr>
                    <w:r>
                      <w:rPr>
                        <w:rFonts w:ascii="MS Gothic" w:eastAsia="MS Gothic" w:hAnsi="MS Gothic" w:hint="eastAsia"/>
                      </w:rPr>
                      <w:t>☒</w:t>
                    </w:r>
                  </w:p>
                </w:tc>
              </w:sdtContent>
            </w:sdt>
          </w:sdtContent>
        </w:sdt>
      </w:tr>
    </w:tbl>
    <w:p w14:paraId="7D19FF35" w14:textId="77777777" w:rsidR="001A1E6E" w:rsidRDefault="001A1E6E" w:rsidP="001A1E6E">
      <w:pPr>
        <w:spacing w:after="0"/>
      </w:pPr>
    </w:p>
    <w:tbl>
      <w:tblPr>
        <w:tblStyle w:val="TableGrid"/>
        <w:tblW w:w="10173" w:type="dxa"/>
        <w:tblLayout w:type="fixed"/>
        <w:tblLook w:val="04A0" w:firstRow="1" w:lastRow="0" w:firstColumn="1" w:lastColumn="0" w:noHBand="0" w:noVBand="1"/>
      </w:tblPr>
      <w:tblGrid>
        <w:gridCol w:w="4077"/>
        <w:gridCol w:w="1701"/>
        <w:gridCol w:w="1985"/>
        <w:gridCol w:w="2410"/>
      </w:tblGrid>
      <w:tr w:rsidR="001A1E6E" w:rsidRPr="005640A5" w14:paraId="3A1B89E3" w14:textId="77777777" w:rsidTr="00875700">
        <w:tc>
          <w:tcPr>
            <w:tcW w:w="4077" w:type="dxa"/>
            <w:shd w:val="clear" w:color="auto" w:fill="D9D9D9" w:themeFill="background1" w:themeFillShade="D9"/>
            <w:vAlign w:val="center"/>
          </w:tcPr>
          <w:p w14:paraId="69608000" w14:textId="77777777" w:rsidR="001A1E6E" w:rsidRPr="005640A5" w:rsidRDefault="001A1E6E" w:rsidP="00875700">
            <w:pPr>
              <w:spacing w:before="60" w:after="60"/>
              <w:rPr>
                <w:b/>
              </w:rPr>
            </w:pPr>
            <w:r w:rsidRPr="005640A5">
              <w:rPr>
                <w:b/>
              </w:rPr>
              <w:t>Purpose (tick one only)</w:t>
            </w:r>
          </w:p>
        </w:tc>
        <w:tc>
          <w:tcPr>
            <w:tcW w:w="1701" w:type="dxa"/>
            <w:vAlign w:val="center"/>
          </w:tcPr>
          <w:p w14:paraId="361B61A2" w14:textId="77777777" w:rsidR="001A1E6E" w:rsidRPr="005640A5" w:rsidRDefault="001A1E6E" w:rsidP="00875700">
            <w:pPr>
              <w:spacing w:after="0"/>
              <w:jc w:val="center"/>
            </w:pPr>
            <w:r>
              <w:rPr>
                <w:lang w:eastAsia="en-GB"/>
              </w:rPr>
              <w:t>Decision</w:t>
            </w:r>
            <w:r w:rsidRPr="005640A5">
              <w:rPr>
                <w:lang w:eastAsia="en-GB"/>
              </w:rPr>
              <w:t> </w:t>
            </w:r>
            <w:r w:rsidRPr="005640A5">
              <w:t xml:space="preserve"> </w:t>
            </w:r>
            <w:sdt>
              <w:sdtPr>
                <w:id w:val="-110595624"/>
              </w:sdtPr>
              <w:sdtEndPr/>
              <w:sdtContent>
                <w:sdt>
                  <w:sdtPr>
                    <w:id w:val="-849107255"/>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c>
          <w:tcPr>
            <w:tcW w:w="1985" w:type="dxa"/>
            <w:vAlign w:val="center"/>
          </w:tcPr>
          <w:p w14:paraId="537D5154" w14:textId="77777777" w:rsidR="001A1E6E" w:rsidRPr="005640A5" w:rsidRDefault="001A1E6E" w:rsidP="00875700">
            <w:pPr>
              <w:spacing w:after="0"/>
              <w:jc w:val="center"/>
            </w:pPr>
            <w:r w:rsidRPr="005640A5">
              <w:t>Assurance</w:t>
            </w:r>
            <w:r w:rsidRPr="005640A5">
              <w:rPr>
                <w:lang w:eastAsia="en-GB"/>
              </w:rPr>
              <w:t> </w:t>
            </w:r>
            <w:r w:rsidRPr="005640A5">
              <w:t xml:space="preserve"> </w:t>
            </w:r>
            <w:sdt>
              <w:sdtPr>
                <w:id w:val="-1095401465"/>
              </w:sdtPr>
              <w:sdtEndPr/>
              <w:sdtContent>
                <w:sdt>
                  <w:sdtPr>
                    <w:id w:val="-630787586"/>
                    <w14:checkbox>
                      <w14:checked w14:val="1"/>
                      <w14:checkedState w14:val="2612" w14:font="MS Gothic"/>
                      <w14:uncheckedState w14:val="2610" w14:font="MS Gothic"/>
                    </w14:checkbox>
                  </w:sdtPr>
                  <w:sdtEndPr/>
                  <w:sdtContent>
                    <w:r>
                      <w:rPr>
                        <w:rFonts w:ascii="MS Gothic" w:eastAsia="MS Gothic" w:hAnsi="MS Gothic" w:cs="MS Gothic" w:hint="eastAsia"/>
                      </w:rPr>
                      <w:t>☒</w:t>
                    </w:r>
                  </w:sdtContent>
                </w:sdt>
              </w:sdtContent>
            </w:sdt>
          </w:p>
        </w:tc>
        <w:tc>
          <w:tcPr>
            <w:tcW w:w="2410" w:type="dxa"/>
            <w:vAlign w:val="center"/>
          </w:tcPr>
          <w:p w14:paraId="09A5D651" w14:textId="77777777" w:rsidR="001A1E6E" w:rsidRPr="005640A5" w:rsidRDefault="001A1E6E" w:rsidP="00875700">
            <w:pPr>
              <w:spacing w:after="0"/>
              <w:jc w:val="center"/>
            </w:pPr>
            <w:r>
              <w:t>Information</w:t>
            </w:r>
            <w:r w:rsidRPr="005640A5">
              <w:rPr>
                <w:lang w:eastAsia="en-GB"/>
              </w:rPr>
              <w:t> </w:t>
            </w:r>
            <w:r w:rsidRPr="005640A5">
              <w:t xml:space="preserve"> </w:t>
            </w:r>
            <w:sdt>
              <w:sdtPr>
                <w:id w:val="1556729650"/>
              </w:sdtPr>
              <w:sdtEndPr/>
              <w:sdtContent>
                <w:sdt>
                  <w:sdtPr>
                    <w:id w:val="372891516"/>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r>
    </w:tbl>
    <w:p w14:paraId="4D85A69A" w14:textId="77777777" w:rsidR="001A1E6E" w:rsidRDefault="001A1E6E" w:rsidP="001A1E6E">
      <w:pPr>
        <w:spacing w:after="0"/>
      </w:pPr>
    </w:p>
    <w:tbl>
      <w:tblPr>
        <w:tblStyle w:val="TableGrid"/>
        <w:tblW w:w="10173" w:type="dxa"/>
        <w:tblLayout w:type="fixed"/>
        <w:tblLook w:val="04A0" w:firstRow="1" w:lastRow="0" w:firstColumn="1" w:lastColumn="0" w:noHBand="0" w:noVBand="1"/>
      </w:tblPr>
      <w:tblGrid>
        <w:gridCol w:w="4077"/>
        <w:gridCol w:w="6096"/>
      </w:tblGrid>
      <w:tr w:rsidR="001A1E6E" w:rsidRPr="005640A5" w14:paraId="79A661A8" w14:textId="77777777" w:rsidTr="00875700">
        <w:tc>
          <w:tcPr>
            <w:tcW w:w="4077" w:type="dxa"/>
            <w:shd w:val="clear" w:color="auto" w:fill="D9D9D9" w:themeFill="background1" w:themeFillShade="D9"/>
            <w:vAlign w:val="center"/>
          </w:tcPr>
          <w:p w14:paraId="1B553352" w14:textId="77777777" w:rsidR="001A1E6E" w:rsidRPr="005640A5" w:rsidRDefault="001A1E6E" w:rsidP="00875700">
            <w:pPr>
              <w:spacing w:before="60" w:after="60"/>
              <w:rPr>
                <w:b/>
              </w:rPr>
            </w:pPr>
            <w:r>
              <w:rPr>
                <w:b/>
              </w:rPr>
              <w:t xml:space="preserve">Where has the paper already been for assurance/consultation </w:t>
            </w:r>
          </w:p>
        </w:tc>
        <w:tc>
          <w:tcPr>
            <w:tcW w:w="6096" w:type="dxa"/>
            <w:vAlign w:val="center"/>
          </w:tcPr>
          <w:p w14:paraId="2E9E8E4E" w14:textId="77777777" w:rsidR="001A1E6E" w:rsidRDefault="001A1E6E" w:rsidP="00875700">
            <w:pPr>
              <w:spacing w:after="0"/>
              <w:jc w:val="center"/>
            </w:pPr>
          </w:p>
          <w:p w14:paraId="13C6250C" w14:textId="77777777" w:rsidR="001A1E6E" w:rsidRDefault="001A1E6E" w:rsidP="00875700">
            <w:pPr>
              <w:spacing w:after="0"/>
            </w:pPr>
            <w:r>
              <w:t>NA</w:t>
            </w:r>
          </w:p>
          <w:p w14:paraId="3388079D" w14:textId="77777777" w:rsidR="001A1E6E" w:rsidRDefault="001A1E6E" w:rsidP="00875700">
            <w:pPr>
              <w:spacing w:after="0"/>
              <w:jc w:val="center"/>
            </w:pPr>
          </w:p>
          <w:p w14:paraId="0498EC1A" w14:textId="77777777" w:rsidR="001A1E6E" w:rsidRPr="005640A5" w:rsidRDefault="001A1E6E" w:rsidP="00875700">
            <w:pPr>
              <w:spacing w:after="0"/>
              <w:jc w:val="center"/>
            </w:pPr>
          </w:p>
        </w:tc>
      </w:tr>
    </w:tbl>
    <w:p w14:paraId="7EFD5D6B" w14:textId="77777777" w:rsidR="001A1E6E" w:rsidRDefault="001A1E6E" w:rsidP="001A1E6E">
      <w:pPr>
        <w:spacing w:after="0"/>
      </w:pPr>
    </w:p>
    <w:tbl>
      <w:tblPr>
        <w:tblStyle w:val="TableGrid"/>
        <w:tblW w:w="10173" w:type="dxa"/>
        <w:tblLayout w:type="fixed"/>
        <w:tblLook w:val="04A0" w:firstRow="1" w:lastRow="0" w:firstColumn="1" w:lastColumn="0" w:noHBand="0" w:noVBand="1"/>
      </w:tblPr>
      <w:tblGrid>
        <w:gridCol w:w="2660"/>
        <w:gridCol w:w="709"/>
        <w:gridCol w:w="567"/>
        <w:gridCol w:w="708"/>
        <w:gridCol w:w="4395"/>
        <w:gridCol w:w="1134"/>
      </w:tblGrid>
      <w:tr w:rsidR="001A1E6E" w:rsidRPr="005640A5" w14:paraId="67F686C1" w14:textId="77777777" w:rsidTr="00875700">
        <w:tc>
          <w:tcPr>
            <w:tcW w:w="10173" w:type="dxa"/>
            <w:gridSpan w:val="6"/>
            <w:shd w:val="clear" w:color="auto" w:fill="D9D9D9" w:themeFill="background1" w:themeFillShade="D9"/>
            <w:vAlign w:val="center"/>
          </w:tcPr>
          <w:p w14:paraId="58F5C795" w14:textId="77777777" w:rsidR="001A1E6E" w:rsidRPr="008C7DD8" w:rsidRDefault="001A1E6E" w:rsidP="00875700">
            <w:pPr>
              <w:spacing w:after="0"/>
              <w:rPr>
                <w:b/>
                <w:i/>
              </w:rPr>
            </w:pPr>
            <w:r w:rsidRPr="008C7DD8">
              <w:rPr>
                <w:b/>
              </w:rPr>
              <w:t xml:space="preserve">Patient, Public, Clinical and Stakeholder engagement – </w:t>
            </w:r>
            <w:r>
              <w:rPr>
                <w:b/>
              </w:rPr>
              <w:t>h</w:t>
            </w:r>
            <w:r w:rsidRPr="008C7DD8">
              <w:rPr>
                <w:b/>
              </w:rPr>
              <w:t xml:space="preserve">as there been </w:t>
            </w:r>
            <w:proofErr w:type="gramStart"/>
            <w:r w:rsidRPr="008C7DD8">
              <w:rPr>
                <w:b/>
              </w:rPr>
              <w:t>appropriate:-</w:t>
            </w:r>
            <w:proofErr w:type="gramEnd"/>
          </w:p>
        </w:tc>
      </w:tr>
      <w:tr w:rsidR="001A1E6E" w:rsidRPr="005640A5" w14:paraId="1E61C2F9" w14:textId="77777777" w:rsidTr="00875700">
        <w:tc>
          <w:tcPr>
            <w:tcW w:w="2660" w:type="dxa"/>
            <w:shd w:val="clear" w:color="auto" w:fill="D9D9D9" w:themeFill="background1" w:themeFillShade="D9"/>
            <w:vAlign w:val="center"/>
          </w:tcPr>
          <w:p w14:paraId="779C7BF7" w14:textId="77777777" w:rsidR="001A1E6E" w:rsidRPr="005640A5" w:rsidRDefault="001A1E6E" w:rsidP="00875700">
            <w:pPr>
              <w:spacing w:before="60" w:after="60"/>
              <w:jc w:val="center"/>
              <w:rPr>
                <w:b/>
              </w:rPr>
            </w:pPr>
          </w:p>
        </w:tc>
        <w:tc>
          <w:tcPr>
            <w:tcW w:w="709" w:type="dxa"/>
            <w:shd w:val="clear" w:color="auto" w:fill="D9D9D9" w:themeFill="background1" w:themeFillShade="D9"/>
            <w:vAlign w:val="center"/>
          </w:tcPr>
          <w:p w14:paraId="494CBB79" w14:textId="77777777" w:rsidR="001A1E6E" w:rsidRPr="005640A5" w:rsidRDefault="001A1E6E" w:rsidP="00875700">
            <w:pPr>
              <w:spacing w:after="0"/>
              <w:jc w:val="center"/>
              <w:rPr>
                <w:b/>
                <w:i/>
              </w:rPr>
            </w:pPr>
            <w:r>
              <w:rPr>
                <w:b/>
                <w:i/>
              </w:rPr>
              <w:t>Yes</w:t>
            </w:r>
          </w:p>
        </w:tc>
        <w:tc>
          <w:tcPr>
            <w:tcW w:w="567" w:type="dxa"/>
            <w:shd w:val="clear" w:color="auto" w:fill="D9D9D9" w:themeFill="background1" w:themeFillShade="D9"/>
            <w:vAlign w:val="center"/>
          </w:tcPr>
          <w:p w14:paraId="1FC0FDD5" w14:textId="77777777" w:rsidR="001A1E6E" w:rsidRPr="005640A5" w:rsidRDefault="001A1E6E" w:rsidP="00875700">
            <w:pPr>
              <w:spacing w:after="0"/>
              <w:jc w:val="center"/>
              <w:rPr>
                <w:b/>
                <w:i/>
              </w:rPr>
            </w:pPr>
            <w:r>
              <w:rPr>
                <w:b/>
                <w:i/>
              </w:rPr>
              <w:t>No</w:t>
            </w:r>
          </w:p>
        </w:tc>
        <w:tc>
          <w:tcPr>
            <w:tcW w:w="708" w:type="dxa"/>
            <w:shd w:val="clear" w:color="auto" w:fill="D9D9D9" w:themeFill="background1" w:themeFillShade="D9"/>
            <w:vAlign w:val="center"/>
          </w:tcPr>
          <w:p w14:paraId="49D684EF" w14:textId="77777777" w:rsidR="001A1E6E" w:rsidRPr="005640A5" w:rsidRDefault="001A1E6E" w:rsidP="00875700">
            <w:pPr>
              <w:spacing w:after="0"/>
              <w:jc w:val="center"/>
              <w:rPr>
                <w:b/>
                <w:i/>
              </w:rPr>
            </w:pPr>
            <w:r w:rsidRPr="005640A5">
              <w:rPr>
                <w:b/>
                <w:i/>
              </w:rPr>
              <w:t>N</w:t>
            </w:r>
            <w:r>
              <w:rPr>
                <w:b/>
                <w:i/>
              </w:rPr>
              <w:t>/A</w:t>
            </w:r>
          </w:p>
        </w:tc>
        <w:tc>
          <w:tcPr>
            <w:tcW w:w="4395" w:type="dxa"/>
            <w:shd w:val="clear" w:color="auto" w:fill="D9D9D9" w:themeFill="background1" w:themeFillShade="D9"/>
            <w:vAlign w:val="center"/>
          </w:tcPr>
          <w:p w14:paraId="45B69346" w14:textId="77777777" w:rsidR="001A1E6E" w:rsidRPr="005640A5" w:rsidRDefault="001A1E6E" w:rsidP="00875700">
            <w:pPr>
              <w:spacing w:after="0"/>
              <w:jc w:val="center"/>
              <w:rPr>
                <w:b/>
                <w:i/>
              </w:rPr>
            </w:pPr>
            <w:r>
              <w:rPr>
                <w:b/>
                <w:i/>
              </w:rPr>
              <w:t xml:space="preserve">Summary </w:t>
            </w:r>
          </w:p>
        </w:tc>
        <w:tc>
          <w:tcPr>
            <w:tcW w:w="1134" w:type="dxa"/>
            <w:shd w:val="clear" w:color="auto" w:fill="D9D9D9" w:themeFill="background1" w:themeFillShade="D9"/>
            <w:vAlign w:val="center"/>
          </w:tcPr>
          <w:p w14:paraId="083CC517" w14:textId="77777777" w:rsidR="001A1E6E" w:rsidRPr="005640A5" w:rsidRDefault="001A1E6E" w:rsidP="00875700">
            <w:pPr>
              <w:spacing w:after="0"/>
              <w:jc w:val="center"/>
              <w:rPr>
                <w:b/>
                <w:i/>
              </w:rPr>
            </w:pPr>
            <w:r w:rsidRPr="005640A5">
              <w:rPr>
                <w:b/>
                <w:i/>
              </w:rPr>
              <w:t>Date</w:t>
            </w:r>
          </w:p>
        </w:tc>
      </w:tr>
      <w:tr w:rsidR="001A1E6E" w:rsidRPr="005640A5" w14:paraId="06CB556D" w14:textId="77777777" w:rsidTr="00875700">
        <w:tc>
          <w:tcPr>
            <w:tcW w:w="2660" w:type="dxa"/>
            <w:shd w:val="clear" w:color="auto" w:fill="D9D9D9" w:themeFill="background1" w:themeFillShade="D9"/>
            <w:vAlign w:val="center"/>
          </w:tcPr>
          <w:p w14:paraId="2781861A" w14:textId="77777777" w:rsidR="001A1E6E" w:rsidRPr="005640A5" w:rsidRDefault="001A1E6E" w:rsidP="00875700">
            <w:pPr>
              <w:spacing w:before="60" w:after="60"/>
              <w:rPr>
                <w:b/>
              </w:rPr>
            </w:pPr>
            <w:r>
              <w:rPr>
                <w:b/>
              </w:rPr>
              <w:t>Patient Engagement</w:t>
            </w:r>
          </w:p>
        </w:tc>
        <w:sdt>
          <w:sdtPr>
            <w:id w:val="482121496"/>
          </w:sdtPr>
          <w:sdtEndPr/>
          <w:sdtContent>
            <w:sdt>
              <w:sdtPr>
                <w:id w:val="677619072"/>
                <w14:checkbox>
                  <w14:checked w14:val="0"/>
                  <w14:checkedState w14:val="2612" w14:font="MS Gothic"/>
                  <w14:uncheckedState w14:val="2610" w14:font="MS Gothic"/>
                </w14:checkbox>
              </w:sdtPr>
              <w:sdtEndPr/>
              <w:sdtContent>
                <w:tc>
                  <w:tcPr>
                    <w:tcW w:w="709" w:type="dxa"/>
                    <w:vAlign w:val="center"/>
                  </w:tcPr>
                  <w:p w14:paraId="2F025D67"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235052808"/>
          </w:sdtPr>
          <w:sdtEndPr/>
          <w:sdtContent>
            <w:sdt>
              <w:sdtPr>
                <w:id w:val="682940283"/>
                <w14:checkbox>
                  <w14:checked w14:val="1"/>
                  <w14:checkedState w14:val="2612" w14:font="MS Gothic"/>
                  <w14:uncheckedState w14:val="2610" w14:font="MS Gothic"/>
                </w14:checkbox>
              </w:sdtPr>
              <w:sdtEndPr/>
              <w:sdtContent>
                <w:tc>
                  <w:tcPr>
                    <w:tcW w:w="567" w:type="dxa"/>
                    <w:vAlign w:val="center"/>
                  </w:tcPr>
                  <w:p w14:paraId="08C5F69D" w14:textId="77777777" w:rsidR="001A1E6E" w:rsidRPr="005640A5" w:rsidRDefault="001A1E6E" w:rsidP="00875700">
                    <w:pPr>
                      <w:spacing w:after="0"/>
                    </w:pPr>
                    <w:r>
                      <w:rPr>
                        <w:rFonts w:ascii="MS Gothic" w:eastAsia="MS Gothic" w:hAnsi="MS Gothic" w:hint="eastAsia"/>
                      </w:rPr>
                      <w:t>☒</w:t>
                    </w:r>
                  </w:p>
                </w:tc>
              </w:sdtContent>
            </w:sdt>
          </w:sdtContent>
        </w:sdt>
        <w:sdt>
          <w:sdtPr>
            <w:id w:val="807367296"/>
          </w:sdtPr>
          <w:sdtEndPr/>
          <w:sdtContent>
            <w:sdt>
              <w:sdtPr>
                <w:id w:val="-2119749479"/>
                <w14:checkbox>
                  <w14:checked w14:val="1"/>
                  <w14:checkedState w14:val="2612" w14:font="MS Gothic"/>
                  <w14:uncheckedState w14:val="2610" w14:font="MS Gothic"/>
                </w14:checkbox>
              </w:sdtPr>
              <w:sdtEndPr/>
              <w:sdtContent>
                <w:tc>
                  <w:tcPr>
                    <w:tcW w:w="708" w:type="dxa"/>
                    <w:vAlign w:val="center"/>
                  </w:tcPr>
                  <w:p w14:paraId="2D928F5F"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6A92FB0A" w14:textId="77777777" w:rsidR="001A1E6E" w:rsidRPr="005640A5" w:rsidRDefault="001A1E6E" w:rsidP="00875700">
            <w:pPr>
              <w:spacing w:after="0"/>
            </w:pPr>
          </w:p>
        </w:tc>
        <w:tc>
          <w:tcPr>
            <w:tcW w:w="1134" w:type="dxa"/>
            <w:vAlign w:val="center"/>
          </w:tcPr>
          <w:p w14:paraId="23B58C12" w14:textId="77777777" w:rsidR="001A1E6E" w:rsidRPr="005640A5" w:rsidRDefault="001A1E6E" w:rsidP="00875700">
            <w:pPr>
              <w:spacing w:after="0"/>
            </w:pPr>
          </w:p>
        </w:tc>
      </w:tr>
      <w:tr w:rsidR="001A1E6E" w:rsidRPr="005640A5" w14:paraId="38D7C6D2" w14:textId="77777777" w:rsidTr="00875700">
        <w:tc>
          <w:tcPr>
            <w:tcW w:w="2660" w:type="dxa"/>
            <w:shd w:val="clear" w:color="auto" w:fill="D9D9D9" w:themeFill="background1" w:themeFillShade="D9"/>
            <w:vAlign w:val="center"/>
          </w:tcPr>
          <w:p w14:paraId="4198E3A1" w14:textId="77777777" w:rsidR="001A1E6E" w:rsidRPr="005640A5" w:rsidRDefault="001A1E6E" w:rsidP="00875700">
            <w:pPr>
              <w:spacing w:before="60" w:after="60"/>
              <w:rPr>
                <w:b/>
              </w:rPr>
            </w:pPr>
            <w:r>
              <w:rPr>
                <w:b/>
              </w:rPr>
              <w:t>Public Engagement</w:t>
            </w:r>
          </w:p>
        </w:tc>
        <w:sdt>
          <w:sdtPr>
            <w:id w:val="1632443396"/>
          </w:sdtPr>
          <w:sdtEndPr/>
          <w:sdtContent>
            <w:sdt>
              <w:sdtPr>
                <w:id w:val="-803933758"/>
                <w14:checkbox>
                  <w14:checked w14:val="0"/>
                  <w14:checkedState w14:val="2612" w14:font="MS Gothic"/>
                  <w14:uncheckedState w14:val="2610" w14:font="MS Gothic"/>
                </w14:checkbox>
              </w:sdtPr>
              <w:sdtEndPr/>
              <w:sdtContent>
                <w:tc>
                  <w:tcPr>
                    <w:tcW w:w="709" w:type="dxa"/>
                    <w:vAlign w:val="center"/>
                  </w:tcPr>
                  <w:p w14:paraId="216177B3"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860121022"/>
          </w:sdtPr>
          <w:sdtEndPr/>
          <w:sdtContent>
            <w:sdt>
              <w:sdtPr>
                <w:id w:val="1326553853"/>
                <w14:checkbox>
                  <w14:checked w14:val="1"/>
                  <w14:checkedState w14:val="2612" w14:font="MS Gothic"/>
                  <w14:uncheckedState w14:val="2610" w14:font="MS Gothic"/>
                </w14:checkbox>
              </w:sdtPr>
              <w:sdtEndPr/>
              <w:sdtContent>
                <w:tc>
                  <w:tcPr>
                    <w:tcW w:w="567" w:type="dxa"/>
                    <w:vAlign w:val="center"/>
                  </w:tcPr>
                  <w:p w14:paraId="3339CA32" w14:textId="77777777" w:rsidR="001A1E6E" w:rsidRPr="005640A5" w:rsidRDefault="001A1E6E" w:rsidP="00875700">
                    <w:pPr>
                      <w:spacing w:after="0"/>
                    </w:pPr>
                    <w:r>
                      <w:rPr>
                        <w:rFonts w:ascii="MS Gothic" w:eastAsia="MS Gothic" w:hAnsi="MS Gothic" w:hint="eastAsia"/>
                      </w:rPr>
                      <w:t>☒</w:t>
                    </w:r>
                  </w:p>
                </w:tc>
              </w:sdtContent>
            </w:sdt>
          </w:sdtContent>
        </w:sdt>
        <w:sdt>
          <w:sdtPr>
            <w:id w:val="-1266764786"/>
          </w:sdtPr>
          <w:sdtEndPr/>
          <w:sdtContent>
            <w:sdt>
              <w:sdtPr>
                <w:id w:val="-1713567287"/>
                <w14:checkbox>
                  <w14:checked w14:val="1"/>
                  <w14:checkedState w14:val="2612" w14:font="MS Gothic"/>
                  <w14:uncheckedState w14:val="2610" w14:font="MS Gothic"/>
                </w14:checkbox>
              </w:sdtPr>
              <w:sdtEndPr/>
              <w:sdtContent>
                <w:tc>
                  <w:tcPr>
                    <w:tcW w:w="708" w:type="dxa"/>
                    <w:vAlign w:val="center"/>
                  </w:tcPr>
                  <w:p w14:paraId="4B0EB488"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0E30B37B" w14:textId="77777777" w:rsidR="001A1E6E" w:rsidRPr="005640A5" w:rsidRDefault="001A1E6E" w:rsidP="00875700">
            <w:pPr>
              <w:spacing w:after="0"/>
            </w:pPr>
          </w:p>
        </w:tc>
        <w:tc>
          <w:tcPr>
            <w:tcW w:w="1134" w:type="dxa"/>
            <w:vAlign w:val="center"/>
          </w:tcPr>
          <w:p w14:paraId="7D6222A3" w14:textId="77777777" w:rsidR="001A1E6E" w:rsidRPr="005640A5" w:rsidRDefault="001A1E6E" w:rsidP="00875700">
            <w:pPr>
              <w:spacing w:after="0"/>
            </w:pPr>
          </w:p>
        </w:tc>
      </w:tr>
      <w:tr w:rsidR="001A1E6E" w:rsidRPr="005640A5" w14:paraId="1544E71B" w14:textId="77777777" w:rsidTr="00875700">
        <w:tc>
          <w:tcPr>
            <w:tcW w:w="2660" w:type="dxa"/>
            <w:shd w:val="clear" w:color="auto" w:fill="D9D9D9" w:themeFill="background1" w:themeFillShade="D9"/>
            <w:vAlign w:val="center"/>
          </w:tcPr>
          <w:p w14:paraId="48F326A7" w14:textId="77777777" w:rsidR="001A1E6E" w:rsidRDefault="001A1E6E" w:rsidP="00875700">
            <w:pPr>
              <w:spacing w:before="60" w:after="60"/>
              <w:rPr>
                <w:b/>
              </w:rPr>
            </w:pPr>
            <w:r>
              <w:rPr>
                <w:b/>
              </w:rPr>
              <w:t>Clinical Engagement</w:t>
            </w:r>
          </w:p>
        </w:tc>
        <w:sdt>
          <w:sdtPr>
            <w:id w:val="426699612"/>
          </w:sdtPr>
          <w:sdtEndPr/>
          <w:sdtContent>
            <w:sdt>
              <w:sdtPr>
                <w:id w:val="-1667624394"/>
                <w14:checkbox>
                  <w14:checked w14:val="0"/>
                  <w14:checkedState w14:val="2612" w14:font="MS Gothic"/>
                  <w14:uncheckedState w14:val="2610" w14:font="MS Gothic"/>
                </w14:checkbox>
              </w:sdtPr>
              <w:sdtEndPr/>
              <w:sdtContent>
                <w:tc>
                  <w:tcPr>
                    <w:tcW w:w="709" w:type="dxa"/>
                    <w:vAlign w:val="center"/>
                  </w:tcPr>
                  <w:p w14:paraId="331EAFA2"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69889865"/>
          </w:sdtPr>
          <w:sdtEndPr/>
          <w:sdtContent>
            <w:sdt>
              <w:sdtPr>
                <w:id w:val="585121702"/>
                <w14:checkbox>
                  <w14:checked w14:val="1"/>
                  <w14:checkedState w14:val="2612" w14:font="MS Gothic"/>
                  <w14:uncheckedState w14:val="2610" w14:font="MS Gothic"/>
                </w14:checkbox>
              </w:sdtPr>
              <w:sdtEndPr/>
              <w:sdtContent>
                <w:tc>
                  <w:tcPr>
                    <w:tcW w:w="567" w:type="dxa"/>
                    <w:vAlign w:val="center"/>
                  </w:tcPr>
                  <w:p w14:paraId="3B44A0F6" w14:textId="77777777" w:rsidR="001A1E6E" w:rsidRPr="005640A5" w:rsidRDefault="001A1E6E" w:rsidP="00875700">
                    <w:pPr>
                      <w:spacing w:after="0"/>
                    </w:pPr>
                    <w:r>
                      <w:rPr>
                        <w:rFonts w:ascii="MS Gothic" w:eastAsia="MS Gothic" w:hAnsi="MS Gothic" w:hint="eastAsia"/>
                      </w:rPr>
                      <w:t>☒</w:t>
                    </w:r>
                  </w:p>
                </w:tc>
              </w:sdtContent>
            </w:sdt>
          </w:sdtContent>
        </w:sdt>
        <w:sdt>
          <w:sdtPr>
            <w:id w:val="139233810"/>
          </w:sdtPr>
          <w:sdtEndPr/>
          <w:sdtContent>
            <w:sdt>
              <w:sdtPr>
                <w:id w:val="729045144"/>
                <w14:checkbox>
                  <w14:checked w14:val="1"/>
                  <w14:checkedState w14:val="2612" w14:font="MS Gothic"/>
                  <w14:uncheckedState w14:val="2610" w14:font="MS Gothic"/>
                </w14:checkbox>
              </w:sdtPr>
              <w:sdtEndPr/>
              <w:sdtContent>
                <w:tc>
                  <w:tcPr>
                    <w:tcW w:w="708" w:type="dxa"/>
                    <w:vAlign w:val="center"/>
                  </w:tcPr>
                  <w:p w14:paraId="52DFBF4E"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6CBAE72E" w14:textId="77777777" w:rsidR="001A1E6E" w:rsidRPr="005640A5" w:rsidRDefault="001A1E6E" w:rsidP="00875700">
            <w:pPr>
              <w:spacing w:after="0"/>
            </w:pPr>
          </w:p>
        </w:tc>
        <w:tc>
          <w:tcPr>
            <w:tcW w:w="1134" w:type="dxa"/>
            <w:vAlign w:val="center"/>
          </w:tcPr>
          <w:p w14:paraId="5943B35D" w14:textId="77777777" w:rsidR="001A1E6E" w:rsidRPr="005640A5" w:rsidRDefault="001A1E6E" w:rsidP="00875700">
            <w:pPr>
              <w:spacing w:after="0"/>
            </w:pPr>
          </w:p>
        </w:tc>
      </w:tr>
      <w:tr w:rsidR="001A1E6E" w:rsidRPr="005640A5" w14:paraId="3B554F76" w14:textId="77777777" w:rsidTr="00875700">
        <w:tc>
          <w:tcPr>
            <w:tcW w:w="2660" w:type="dxa"/>
            <w:shd w:val="clear" w:color="auto" w:fill="D9D9D9" w:themeFill="background1" w:themeFillShade="D9"/>
            <w:vAlign w:val="center"/>
          </w:tcPr>
          <w:p w14:paraId="0F62B501" w14:textId="77777777" w:rsidR="001A1E6E" w:rsidRPr="005640A5" w:rsidRDefault="001A1E6E" w:rsidP="00875700">
            <w:pPr>
              <w:spacing w:before="60" w:after="60"/>
              <w:rPr>
                <w:b/>
              </w:rPr>
            </w:pPr>
            <w:r>
              <w:rPr>
                <w:b/>
              </w:rPr>
              <w:t xml:space="preserve">Engagement with relevant CCG teams and directors </w:t>
            </w:r>
          </w:p>
        </w:tc>
        <w:sdt>
          <w:sdtPr>
            <w:id w:val="-1347637601"/>
          </w:sdtPr>
          <w:sdtEndPr/>
          <w:sdtContent>
            <w:sdt>
              <w:sdtPr>
                <w:id w:val="2109694296"/>
                <w14:checkbox>
                  <w14:checked w14:val="0"/>
                  <w14:checkedState w14:val="2612" w14:font="MS Gothic"/>
                  <w14:uncheckedState w14:val="2610" w14:font="MS Gothic"/>
                </w14:checkbox>
              </w:sdtPr>
              <w:sdtEndPr/>
              <w:sdtContent>
                <w:tc>
                  <w:tcPr>
                    <w:tcW w:w="709" w:type="dxa"/>
                    <w:vAlign w:val="center"/>
                  </w:tcPr>
                  <w:p w14:paraId="58C691B2" w14:textId="77777777" w:rsidR="001A1E6E" w:rsidRPr="005640A5" w:rsidRDefault="001A1E6E" w:rsidP="00875700">
                    <w:pPr>
                      <w:spacing w:after="0"/>
                    </w:pPr>
                    <w:r>
                      <w:rPr>
                        <w:rFonts w:ascii="MS Gothic" w:eastAsia="MS Gothic" w:hAnsi="MS Gothic" w:hint="eastAsia"/>
                      </w:rPr>
                      <w:t>☐</w:t>
                    </w:r>
                  </w:p>
                </w:tc>
              </w:sdtContent>
            </w:sdt>
          </w:sdtContent>
        </w:sdt>
        <w:sdt>
          <w:sdtPr>
            <w:id w:val="-793449904"/>
          </w:sdtPr>
          <w:sdtEndPr/>
          <w:sdtContent>
            <w:sdt>
              <w:sdtPr>
                <w:id w:val="1839186561"/>
                <w14:checkbox>
                  <w14:checked w14:val="1"/>
                  <w14:checkedState w14:val="2612" w14:font="MS Gothic"/>
                  <w14:uncheckedState w14:val="2610" w14:font="MS Gothic"/>
                </w14:checkbox>
              </w:sdtPr>
              <w:sdtEndPr/>
              <w:sdtContent>
                <w:tc>
                  <w:tcPr>
                    <w:tcW w:w="567" w:type="dxa"/>
                    <w:vAlign w:val="center"/>
                  </w:tcPr>
                  <w:p w14:paraId="54D04B8E" w14:textId="77777777" w:rsidR="001A1E6E" w:rsidRPr="005640A5" w:rsidRDefault="001A1E6E" w:rsidP="00875700">
                    <w:pPr>
                      <w:spacing w:after="0"/>
                    </w:pPr>
                    <w:r>
                      <w:rPr>
                        <w:rFonts w:ascii="MS Gothic" w:eastAsia="MS Gothic" w:hAnsi="MS Gothic" w:hint="eastAsia"/>
                      </w:rPr>
                      <w:t>☒</w:t>
                    </w:r>
                  </w:p>
                </w:tc>
              </w:sdtContent>
            </w:sdt>
          </w:sdtContent>
        </w:sdt>
        <w:sdt>
          <w:sdtPr>
            <w:id w:val="1204284574"/>
          </w:sdtPr>
          <w:sdtEndPr/>
          <w:sdtContent>
            <w:sdt>
              <w:sdtPr>
                <w:id w:val="-385407093"/>
                <w14:checkbox>
                  <w14:checked w14:val="0"/>
                  <w14:checkedState w14:val="2612" w14:font="MS Gothic"/>
                  <w14:uncheckedState w14:val="2610" w14:font="MS Gothic"/>
                </w14:checkbox>
              </w:sdtPr>
              <w:sdtEndPr/>
              <w:sdtContent>
                <w:tc>
                  <w:tcPr>
                    <w:tcW w:w="708" w:type="dxa"/>
                    <w:vAlign w:val="center"/>
                  </w:tcPr>
                  <w:p w14:paraId="55EF6405"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tc>
          <w:tcPr>
            <w:tcW w:w="4395" w:type="dxa"/>
            <w:vAlign w:val="center"/>
          </w:tcPr>
          <w:p w14:paraId="5BDD010F" w14:textId="77777777" w:rsidR="001A1E6E" w:rsidRPr="005640A5" w:rsidRDefault="001A1E6E" w:rsidP="00875700">
            <w:pPr>
              <w:spacing w:after="0"/>
            </w:pPr>
          </w:p>
        </w:tc>
        <w:tc>
          <w:tcPr>
            <w:tcW w:w="1134" w:type="dxa"/>
            <w:vAlign w:val="center"/>
          </w:tcPr>
          <w:p w14:paraId="487E9635" w14:textId="77777777" w:rsidR="001A1E6E" w:rsidRPr="005640A5" w:rsidRDefault="001A1E6E" w:rsidP="00875700">
            <w:pPr>
              <w:spacing w:after="0"/>
            </w:pPr>
          </w:p>
        </w:tc>
      </w:tr>
      <w:tr w:rsidR="001A1E6E" w:rsidRPr="005640A5" w14:paraId="78EA7D04" w14:textId="77777777" w:rsidTr="00875700">
        <w:tc>
          <w:tcPr>
            <w:tcW w:w="2660" w:type="dxa"/>
            <w:shd w:val="clear" w:color="auto" w:fill="D9D9D9" w:themeFill="background1" w:themeFillShade="D9"/>
            <w:vAlign w:val="center"/>
          </w:tcPr>
          <w:p w14:paraId="52D64466" w14:textId="77777777" w:rsidR="001A1E6E" w:rsidRDefault="001A1E6E" w:rsidP="00875700">
            <w:pPr>
              <w:spacing w:before="60" w:after="60"/>
              <w:rPr>
                <w:b/>
              </w:rPr>
            </w:pPr>
            <w:r>
              <w:rPr>
                <w:b/>
              </w:rPr>
              <w:t xml:space="preserve">Other (specify) </w:t>
            </w:r>
          </w:p>
        </w:tc>
        <w:sdt>
          <w:sdtPr>
            <w:id w:val="-1424406781"/>
          </w:sdtPr>
          <w:sdtEndPr/>
          <w:sdtContent>
            <w:sdt>
              <w:sdtPr>
                <w:id w:val="-1660762903"/>
                <w14:checkbox>
                  <w14:checked w14:val="0"/>
                  <w14:checkedState w14:val="2612" w14:font="MS Gothic"/>
                  <w14:uncheckedState w14:val="2610" w14:font="MS Gothic"/>
                </w14:checkbox>
              </w:sdtPr>
              <w:sdtEndPr/>
              <w:sdtContent>
                <w:tc>
                  <w:tcPr>
                    <w:tcW w:w="709" w:type="dxa"/>
                    <w:vAlign w:val="center"/>
                  </w:tcPr>
                  <w:p w14:paraId="010AD16E"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758279313"/>
          </w:sdtPr>
          <w:sdtEndPr/>
          <w:sdtContent>
            <w:sdt>
              <w:sdtPr>
                <w:id w:val="193737720"/>
                <w14:checkbox>
                  <w14:checked w14:val="1"/>
                  <w14:checkedState w14:val="2612" w14:font="MS Gothic"/>
                  <w14:uncheckedState w14:val="2610" w14:font="MS Gothic"/>
                </w14:checkbox>
              </w:sdtPr>
              <w:sdtEndPr/>
              <w:sdtContent>
                <w:tc>
                  <w:tcPr>
                    <w:tcW w:w="567" w:type="dxa"/>
                    <w:vAlign w:val="center"/>
                  </w:tcPr>
                  <w:p w14:paraId="17110A4F" w14:textId="77777777" w:rsidR="001A1E6E" w:rsidRPr="005640A5" w:rsidRDefault="001A1E6E" w:rsidP="00875700">
                    <w:pPr>
                      <w:spacing w:after="0"/>
                    </w:pPr>
                    <w:r>
                      <w:rPr>
                        <w:rFonts w:ascii="MS Gothic" w:eastAsia="MS Gothic" w:hAnsi="MS Gothic" w:hint="eastAsia"/>
                      </w:rPr>
                      <w:t>☒</w:t>
                    </w:r>
                  </w:p>
                </w:tc>
              </w:sdtContent>
            </w:sdt>
          </w:sdtContent>
        </w:sdt>
        <w:sdt>
          <w:sdtPr>
            <w:id w:val="-275411891"/>
          </w:sdtPr>
          <w:sdtEndPr/>
          <w:sdtContent>
            <w:sdt>
              <w:sdtPr>
                <w:id w:val="-1099867996"/>
                <w14:checkbox>
                  <w14:checked w14:val="0"/>
                  <w14:checkedState w14:val="2612" w14:font="MS Gothic"/>
                  <w14:uncheckedState w14:val="2610" w14:font="MS Gothic"/>
                </w14:checkbox>
              </w:sdtPr>
              <w:sdtEndPr/>
              <w:sdtContent>
                <w:tc>
                  <w:tcPr>
                    <w:tcW w:w="708" w:type="dxa"/>
                    <w:vAlign w:val="center"/>
                  </w:tcPr>
                  <w:p w14:paraId="03C525A9"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tc>
          <w:tcPr>
            <w:tcW w:w="4395" w:type="dxa"/>
            <w:vAlign w:val="center"/>
          </w:tcPr>
          <w:p w14:paraId="3D4282C6" w14:textId="77777777" w:rsidR="001A1E6E" w:rsidRPr="005640A5" w:rsidRDefault="001A1E6E" w:rsidP="00875700">
            <w:pPr>
              <w:spacing w:after="0"/>
            </w:pPr>
          </w:p>
        </w:tc>
        <w:tc>
          <w:tcPr>
            <w:tcW w:w="1134" w:type="dxa"/>
            <w:vAlign w:val="center"/>
          </w:tcPr>
          <w:p w14:paraId="3B9FB4DE" w14:textId="77777777" w:rsidR="001A1E6E" w:rsidRPr="005640A5" w:rsidRDefault="001A1E6E" w:rsidP="00875700">
            <w:pPr>
              <w:spacing w:after="0"/>
            </w:pPr>
          </w:p>
        </w:tc>
      </w:tr>
    </w:tbl>
    <w:p w14:paraId="56CAF086" w14:textId="77777777" w:rsidR="001A1E6E" w:rsidRPr="005640A5" w:rsidRDefault="001A1E6E" w:rsidP="001A1E6E">
      <w:pPr>
        <w:spacing w:after="0"/>
      </w:pPr>
    </w:p>
    <w:tbl>
      <w:tblPr>
        <w:tblStyle w:val="TableGrid"/>
        <w:tblW w:w="10173" w:type="dxa"/>
        <w:tblLayout w:type="fixed"/>
        <w:tblLook w:val="04A0" w:firstRow="1" w:lastRow="0" w:firstColumn="1" w:lastColumn="0" w:noHBand="0" w:noVBand="1"/>
      </w:tblPr>
      <w:tblGrid>
        <w:gridCol w:w="2660"/>
        <w:gridCol w:w="709"/>
        <w:gridCol w:w="567"/>
        <w:gridCol w:w="708"/>
        <w:gridCol w:w="4395"/>
        <w:gridCol w:w="1134"/>
      </w:tblGrid>
      <w:tr w:rsidR="001A1E6E" w:rsidRPr="005640A5" w14:paraId="60FA711C" w14:textId="77777777" w:rsidTr="00875700">
        <w:tc>
          <w:tcPr>
            <w:tcW w:w="10173" w:type="dxa"/>
            <w:gridSpan w:val="6"/>
            <w:shd w:val="clear" w:color="auto" w:fill="D9D9D9" w:themeFill="background1" w:themeFillShade="D9"/>
            <w:vAlign w:val="center"/>
          </w:tcPr>
          <w:p w14:paraId="427A1813" w14:textId="77777777" w:rsidR="001A1E6E" w:rsidRPr="008C7DD8" w:rsidRDefault="001A1E6E" w:rsidP="00875700">
            <w:pPr>
              <w:spacing w:after="0"/>
              <w:rPr>
                <w:b/>
                <w:i/>
              </w:rPr>
            </w:pPr>
            <w:r>
              <w:rPr>
                <w:b/>
              </w:rPr>
              <w:t xml:space="preserve">Have impact and risk assessments been undertaken as required and in line with CCG Policy </w:t>
            </w:r>
          </w:p>
        </w:tc>
      </w:tr>
      <w:tr w:rsidR="001A1E6E" w:rsidRPr="005640A5" w14:paraId="432429B4" w14:textId="77777777" w:rsidTr="00875700">
        <w:tc>
          <w:tcPr>
            <w:tcW w:w="2660" w:type="dxa"/>
            <w:shd w:val="clear" w:color="auto" w:fill="D9D9D9" w:themeFill="background1" w:themeFillShade="D9"/>
            <w:vAlign w:val="center"/>
          </w:tcPr>
          <w:p w14:paraId="02D221B5" w14:textId="77777777" w:rsidR="001A1E6E" w:rsidRPr="005640A5" w:rsidRDefault="001A1E6E" w:rsidP="00875700">
            <w:pPr>
              <w:spacing w:before="60" w:after="60"/>
              <w:jc w:val="center"/>
              <w:rPr>
                <w:b/>
              </w:rPr>
            </w:pPr>
          </w:p>
        </w:tc>
        <w:tc>
          <w:tcPr>
            <w:tcW w:w="709" w:type="dxa"/>
            <w:shd w:val="clear" w:color="auto" w:fill="D9D9D9" w:themeFill="background1" w:themeFillShade="D9"/>
            <w:vAlign w:val="center"/>
          </w:tcPr>
          <w:p w14:paraId="5263CAC2" w14:textId="77777777" w:rsidR="001A1E6E" w:rsidRPr="005640A5" w:rsidRDefault="001A1E6E" w:rsidP="00875700">
            <w:pPr>
              <w:spacing w:after="0"/>
              <w:jc w:val="center"/>
              <w:rPr>
                <w:b/>
                <w:i/>
              </w:rPr>
            </w:pPr>
            <w:r>
              <w:rPr>
                <w:b/>
                <w:i/>
              </w:rPr>
              <w:t>Yes</w:t>
            </w:r>
          </w:p>
        </w:tc>
        <w:tc>
          <w:tcPr>
            <w:tcW w:w="567" w:type="dxa"/>
            <w:shd w:val="clear" w:color="auto" w:fill="D9D9D9" w:themeFill="background1" w:themeFillShade="D9"/>
            <w:vAlign w:val="center"/>
          </w:tcPr>
          <w:p w14:paraId="5966628C" w14:textId="77777777" w:rsidR="001A1E6E" w:rsidRPr="005640A5" w:rsidRDefault="001A1E6E" w:rsidP="00875700">
            <w:pPr>
              <w:spacing w:after="0"/>
              <w:jc w:val="center"/>
              <w:rPr>
                <w:b/>
                <w:i/>
              </w:rPr>
            </w:pPr>
            <w:r>
              <w:rPr>
                <w:b/>
                <w:i/>
              </w:rPr>
              <w:t>No</w:t>
            </w:r>
          </w:p>
        </w:tc>
        <w:tc>
          <w:tcPr>
            <w:tcW w:w="708" w:type="dxa"/>
            <w:shd w:val="clear" w:color="auto" w:fill="D9D9D9" w:themeFill="background1" w:themeFillShade="D9"/>
            <w:vAlign w:val="center"/>
          </w:tcPr>
          <w:p w14:paraId="47DF7F2F" w14:textId="77777777" w:rsidR="001A1E6E" w:rsidRPr="005640A5" w:rsidRDefault="001A1E6E" w:rsidP="00875700">
            <w:pPr>
              <w:spacing w:after="0"/>
              <w:jc w:val="center"/>
              <w:rPr>
                <w:b/>
                <w:i/>
              </w:rPr>
            </w:pPr>
            <w:r w:rsidRPr="005640A5">
              <w:rPr>
                <w:b/>
                <w:i/>
              </w:rPr>
              <w:t>N</w:t>
            </w:r>
            <w:r>
              <w:rPr>
                <w:b/>
                <w:i/>
              </w:rPr>
              <w:t>/A</w:t>
            </w:r>
          </w:p>
        </w:tc>
        <w:tc>
          <w:tcPr>
            <w:tcW w:w="4395" w:type="dxa"/>
            <w:shd w:val="clear" w:color="auto" w:fill="D9D9D9" w:themeFill="background1" w:themeFillShade="D9"/>
            <w:vAlign w:val="center"/>
          </w:tcPr>
          <w:p w14:paraId="641EFE3F" w14:textId="77777777" w:rsidR="001A1E6E" w:rsidRPr="005640A5" w:rsidRDefault="001A1E6E" w:rsidP="00875700">
            <w:pPr>
              <w:spacing w:after="0"/>
              <w:jc w:val="center"/>
              <w:rPr>
                <w:b/>
                <w:i/>
              </w:rPr>
            </w:pPr>
            <w:r>
              <w:rPr>
                <w:b/>
                <w:i/>
              </w:rPr>
              <w:t xml:space="preserve">Summary </w:t>
            </w:r>
          </w:p>
        </w:tc>
        <w:tc>
          <w:tcPr>
            <w:tcW w:w="1134" w:type="dxa"/>
            <w:shd w:val="clear" w:color="auto" w:fill="D9D9D9" w:themeFill="background1" w:themeFillShade="D9"/>
            <w:vAlign w:val="center"/>
          </w:tcPr>
          <w:p w14:paraId="140C9E5E" w14:textId="77777777" w:rsidR="001A1E6E" w:rsidRPr="005640A5" w:rsidRDefault="001A1E6E" w:rsidP="00875700">
            <w:pPr>
              <w:spacing w:after="0"/>
              <w:jc w:val="center"/>
              <w:rPr>
                <w:b/>
                <w:i/>
              </w:rPr>
            </w:pPr>
            <w:r w:rsidRPr="005640A5">
              <w:rPr>
                <w:b/>
                <w:i/>
              </w:rPr>
              <w:t>Date</w:t>
            </w:r>
          </w:p>
        </w:tc>
      </w:tr>
      <w:tr w:rsidR="001A1E6E" w:rsidRPr="005640A5" w14:paraId="4CC4189B" w14:textId="77777777" w:rsidTr="00875700">
        <w:tc>
          <w:tcPr>
            <w:tcW w:w="2660" w:type="dxa"/>
            <w:shd w:val="clear" w:color="auto" w:fill="D9D9D9" w:themeFill="background1" w:themeFillShade="D9"/>
            <w:vAlign w:val="center"/>
          </w:tcPr>
          <w:p w14:paraId="5D60C903" w14:textId="77777777" w:rsidR="001A1E6E" w:rsidRPr="005640A5" w:rsidRDefault="001A1E6E" w:rsidP="00875700">
            <w:pPr>
              <w:spacing w:before="60" w:after="60"/>
              <w:rPr>
                <w:b/>
              </w:rPr>
            </w:pPr>
            <w:r>
              <w:rPr>
                <w:b/>
              </w:rPr>
              <w:t>Quality</w:t>
            </w:r>
          </w:p>
        </w:tc>
        <w:sdt>
          <w:sdtPr>
            <w:id w:val="-40521502"/>
          </w:sdtPr>
          <w:sdtEndPr/>
          <w:sdtContent>
            <w:sdt>
              <w:sdtPr>
                <w:id w:val="1123577364"/>
                <w14:checkbox>
                  <w14:checked w14:val="0"/>
                  <w14:checkedState w14:val="2612" w14:font="MS Gothic"/>
                  <w14:uncheckedState w14:val="2610" w14:font="MS Gothic"/>
                </w14:checkbox>
              </w:sdtPr>
              <w:sdtEndPr/>
              <w:sdtContent>
                <w:tc>
                  <w:tcPr>
                    <w:tcW w:w="709" w:type="dxa"/>
                    <w:vAlign w:val="center"/>
                  </w:tcPr>
                  <w:p w14:paraId="650C6422"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074090479"/>
          </w:sdtPr>
          <w:sdtEndPr/>
          <w:sdtContent>
            <w:sdt>
              <w:sdtPr>
                <w:id w:val="-1945845560"/>
                <w14:checkbox>
                  <w14:checked w14:val="0"/>
                  <w14:checkedState w14:val="2612" w14:font="MS Gothic"/>
                  <w14:uncheckedState w14:val="2610" w14:font="MS Gothic"/>
                </w14:checkbox>
              </w:sdtPr>
              <w:sdtEndPr/>
              <w:sdtContent>
                <w:tc>
                  <w:tcPr>
                    <w:tcW w:w="567" w:type="dxa"/>
                    <w:vAlign w:val="center"/>
                  </w:tcPr>
                  <w:p w14:paraId="276A69B5" w14:textId="77777777" w:rsidR="001A1E6E" w:rsidRPr="005640A5" w:rsidRDefault="001A1E6E" w:rsidP="00875700">
                    <w:pPr>
                      <w:spacing w:after="0"/>
                    </w:pPr>
                    <w:r>
                      <w:rPr>
                        <w:rFonts w:ascii="MS Gothic" w:eastAsia="MS Gothic" w:hAnsi="MS Gothic" w:hint="eastAsia"/>
                      </w:rPr>
                      <w:t>☐</w:t>
                    </w:r>
                  </w:p>
                </w:tc>
              </w:sdtContent>
            </w:sdt>
          </w:sdtContent>
        </w:sdt>
        <w:sdt>
          <w:sdtPr>
            <w:id w:val="713151936"/>
          </w:sdtPr>
          <w:sdtEndPr/>
          <w:sdtContent>
            <w:sdt>
              <w:sdtPr>
                <w:id w:val="-1622529095"/>
                <w14:checkbox>
                  <w14:checked w14:val="1"/>
                  <w14:checkedState w14:val="2612" w14:font="MS Gothic"/>
                  <w14:uncheckedState w14:val="2610" w14:font="MS Gothic"/>
                </w14:checkbox>
              </w:sdtPr>
              <w:sdtEndPr/>
              <w:sdtContent>
                <w:tc>
                  <w:tcPr>
                    <w:tcW w:w="708" w:type="dxa"/>
                    <w:vAlign w:val="center"/>
                  </w:tcPr>
                  <w:p w14:paraId="38661A2C"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4006E685" w14:textId="77777777" w:rsidR="001A1E6E" w:rsidRPr="005640A5" w:rsidRDefault="001A1E6E" w:rsidP="00875700">
            <w:pPr>
              <w:spacing w:after="0"/>
            </w:pPr>
          </w:p>
        </w:tc>
        <w:tc>
          <w:tcPr>
            <w:tcW w:w="1134" w:type="dxa"/>
            <w:vAlign w:val="center"/>
          </w:tcPr>
          <w:p w14:paraId="63C662AB" w14:textId="77777777" w:rsidR="001A1E6E" w:rsidRPr="005640A5" w:rsidRDefault="001A1E6E" w:rsidP="00875700">
            <w:pPr>
              <w:spacing w:after="0"/>
            </w:pPr>
          </w:p>
        </w:tc>
      </w:tr>
      <w:tr w:rsidR="001A1E6E" w:rsidRPr="005640A5" w14:paraId="36FA9BE5" w14:textId="77777777" w:rsidTr="00875700">
        <w:tc>
          <w:tcPr>
            <w:tcW w:w="2660" w:type="dxa"/>
            <w:shd w:val="clear" w:color="auto" w:fill="D9D9D9" w:themeFill="background1" w:themeFillShade="D9"/>
            <w:vAlign w:val="center"/>
          </w:tcPr>
          <w:p w14:paraId="19F0CE06" w14:textId="77777777" w:rsidR="001A1E6E" w:rsidRPr="005640A5" w:rsidRDefault="001A1E6E" w:rsidP="00875700">
            <w:pPr>
              <w:spacing w:before="60" w:after="60"/>
              <w:rPr>
                <w:b/>
              </w:rPr>
            </w:pPr>
            <w:r>
              <w:rPr>
                <w:b/>
              </w:rPr>
              <w:lastRenderedPageBreak/>
              <w:t>Equality</w:t>
            </w:r>
          </w:p>
        </w:tc>
        <w:sdt>
          <w:sdtPr>
            <w:id w:val="-1424795217"/>
          </w:sdtPr>
          <w:sdtEndPr/>
          <w:sdtContent>
            <w:sdt>
              <w:sdtPr>
                <w:id w:val="-492718702"/>
                <w14:checkbox>
                  <w14:checked w14:val="0"/>
                  <w14:checkedState w14:val="2612" w14:font="MS Gothic"/>
                  <w14:uncheckedState w14:val="2610" w14:font="MS Gothic"/>
                </w14:checkbox>
              </w:sdtPr>
              <w:sdtEndPr/>
              <w:sdtContent>
                <w:tc>
                  <w:tcPr>
                    <w:tcW w:w="709" w:type="dxa"/>
                    <w:vAlign w:val="center"/>
                  </w:tcPr>
                  <w:p w14:paraId="461C7C3E"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258036856"/>
          </w:sdtPr>
          <w:sdtEndPr/>
          <w:sdtContent>
            <w:sdt>
              <w:sdtPr>
                <w:id w:val="-673641388"/>
                <w14:checkbox>
                  <w14:checked w14:val="0"/>
                  <w14:checkedState w14:val="2612" w14:font="MS Gothic"/>
                  <w14:uncheckedState w14:val="2610" w14:font="MS Gothic"/>
                </w14:checkbox>
              </w:sdtPr>
              <w:sdtEndPr/>
              <w:sdtContent>
                <w:tc>
                  <w:tcPr>
                    <w:tcW w:w="567" w:type="dxa"/>
                    <w:vAlign w:val="center"/>
                  </w:tcPr>
                  <w:p w14:paraId="4DD73BFA" w14:textId="77777777" w:rsidR="001A1E6E" w:rsidRPr="005640A5" w:rsidRDefault="001A1E6E" w:rsidP="00875700">
                    <w:pPr>
                      <w:spacing w:after="0"/>
                    </w:pPr>
                    <w:r>
                      <w:rPr>
                        <w:rFonts w:ascii="MS Gothic" w:eastAsia="MS Gothic" w:hAnsi="MS Gothic" w:hint="eastAsia"/>
                      </w:rPr>
                      <w:t>☐</w:t>
                    </w:r>
                  </w:p>
                </w:tc>
              </w:sdtContent>
            </w:sdt>
          </w:sdtContent>
        </w:sdt>
        <w:sdt>
          <w:sdtPr>
            <w:id w:val="939799294"/>
          </w:sdtPr>
          <w:sdtEndPr/>
          <w:sdtContent>
            <w:sdt>
              <w:sdtPr>
                <w:id w:val="2102602059"/>
                <w14:checkbox>
                  <w14:checked w14:val="1"/>
                  <w14:checkedState w14:val="2612" w14:font="MS Gothic"/>
                  <w14:uncheckedState w14:val="2610" w14:font="MS Gothic"/>
                </w14:checkbox>
              </w:sdtPr>
              <w:sdtEndPr/>
              <w:sdtContent>
                <w:tc>
                  <w:tcPr>
                    <w:tcW w:w="708" w:type="dxa"/>
                    <w:vAlign w:val="center"/>
                  </w:tcPr>
                  <w:p w14:paraId="5524BD69"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7D834BF1" w14:textId="77777777" w:rsidR="001A1E6E" w:rsidRPr="005640A5" w:rsidRDefault="001A1E6E" w:rsidP="00875700">
            <w:pPr>
              <w:spacing w:after="0"/>
            </w:pPr>
          </w:p>
        </w:tc>
        <w:tc>
          <w:tcPr>
            <w:tcW w:w="1134" w:type="dxa"/>
            <w:vAlign w:val="center"/>
          </w:tcPr>
          <w:p w14:paraId="310564D9" w14:textId="77777777" w:rsidR="001A1E6E" w:rsidRPr="005640A5" w:rsidRDefault="001A1E6E" w:rsidP="00875700">
            <w:pPr>
              <w:spacing w:after="0"/>
            </w:pPr>
          </w:p>
        </w:tc>
      </w:tr>
      <w:tr w:rsidR="001A1E6E" w:rsidRPr="005640A5" w14:paraId="790690E4" w14:textId="77777777" w:rsidTr="00875700">
        <w:tc>
          <w:tcPr>
            <w:tcW w:w="2660" w:type="dxa"/>
            <w:shd w:val="clear" w:color="auto" w:fill="D9D9D9" w:themeFill="background1" w:themeFillShade="D9"/>
            <w:vAlign w:val="center"/>
          </w:tcPr>
          <w:p w14:paraId="473B6979" w14:textId="77777777" w:rsidR="001A1E6E" w:rsidRDefault="001A1E6E" w:rsidP="00875700">
            <w:pPr>
              <w:spacing w:before="60" w:after="60"/>
              <w:rPr>
                <w:b/>
              </w:rPr>
            </w:pPr>
            <w:r>
              <w:rPr>
                <w:b/>
              </w:rPr>
              <w:t>Sustainability</w:t>
            </w:r>
          </w:p>
        </w:tc>
        <w:sdt>
          <w:sdtPr>
            <w:id w:val="-1848936050"/>
          </w:sdtPr>
          <w:sdtEndPr/>
          <w:sdtContent>
            <w:sdt>
              <w:sdtPr>
                <w:id w:val="-2032948837"/>
                <w14:checkbox>
                  <w14:checked w14:val="0"/>
                  <w14:checkedState w14:val="2612" w14:font="MS Gothic"/>
                  <w14:uncheckedState w14:val="2610" w14:font="MS Gothic"/>
                </w14:checkbox>
              </w:sdtPr>
              <w:sdtEndPr/>
              <w:sdtContent>
                <w:tc>
                  <w:tcPr>
                    <w:tcW w:w="709" w:type="dxa"/>
                    <w:vAlign w:val="center"/>
                  </w:tcPr>
                  <w:p w14:paraId="4D4A1329"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71790381"/>
          </w:sdtPr>
          <w:sdtEndPr/>
          <w:sdtContent>
            <w:sdt>
              <w:sdtPr>
                <w:id w:val="1833569792"/>
                <w14:checkbox>
                  <w14:checked w14:val="0"/>
                  <w14:checkedState w14:val="2612" w14:font="MS Gothic"/>
                  <w14:uncheckedState w14:val="2610" w14:font="MS Gothic"/>
                </w14:checkbox>
              </w:sdtPr>
              <w:sdtEndPr/>
              <w:sdtContent>
                <w:tc>
                  <w:tcPr>
                    <w:tcW w:w="567" w:type="dxa"/>
                    <w:vAlign w:val="center"/>
                  </w:tcPr>
                  <w:p w14:paraId="2DCDDB52" w14:textId="77777777" w:rsidR="001A1E6E" w:rsidRPr="005640A5" w:rsidRDefault="001A1E6E" w:rsidP="00875700">
                    <w:pPr>
                      <w:spacing w:after="0"/>
                    </w:pPr>
                    <w:r>
                      <w:rPr>
                        <w:rFonts w:ascii="MS Gothic" w:eastAsia="MS Gothic" w:hAnsi="MS Gothic" w:hint="eastAsia"/>
                      </w:rPr>
                      <w:t>☐</w:t>
                    </w:r>
                  </w:p>
                </w:tc>
              </w:sdtContent>
            </w:sdt>
          </w:sdtContent>
        </w:sdt>
        <w:sdt>
          <w:sdtPr>
            <w:id w:val="1365941807"/>
          </w:sdtPr>
          <w:sdtEndPr/>
          <w:sdtContent>
            <w:sdt>
              <w:sdtPr>
                <w:id w:val="-996961112"/>
                <w14:checkbox>
                  <w14:checked w14:val="1"/>
                  <w14:checkedState w14:val="2612" w14:font="MS Gothic"/>
                  <w14:uncheckedState w14:val="2610" w14:font="MS Gothic"/>
                </w14:checkbox>
              </w:sdtPr>
              <w:sdtEndPr/>
              <w:sdtContent>
                <w:tc>
                  <w:tcPr>
                    <w:tcW w:w="708" w:type="dxa"/>
                    <w:vAlign w:val="center"/>
                  </w:tcPr>
                  <w:p w14:paraId="4D63A0F2"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02223AAF" w14:textId="77777777" w:rsidR="001A1E6E" w:rsidRPr="005640A5" w:rsidRDefault="001A1E6E" w:rsidP="00875700">
            <w:pPr>
              <w:spacing w:after="0"/>
            </w:pPr>
          </w:p>
        </w:tc>
        <w:tc>
          <w:tcPr>
            <w:tcW w:w="1134" w:type="dxa"/>
            <w:vAlign w:val="center"/>
          </w:tcPr>
          <w:p w14:paraId="76320C16" w14:textId="77777777" w:rsidR="001A1E6E" w:rsidRPr="005640A5" w:rsidRDefault="001A1E6E" w:rsidP="00875700">
            <w:pPr>
              <w:spacing w:after="0"/>
            </w:pPr>
          </w:p>
        </w:tc>
      </w:tr>
      <w:tr w:rsidR="001A1E6E" w:rsidRPr="005640A5" w14:paraId="1DB5C6E7" w14:textId="77777777" w:rsidTr="00875700">
        <w:tc>
          <w:tcPr>
            <w:tcW w:w="2660" w:type="dxa"/>
            <w:shd w:val="clear" w:color="auto" w:fill="D9D9D9" w:themeFill="background1" w:themeFillShade="D9"/>
            <w:vAlign w:val="center"/>
          </w:tcPr>
          <w:p w14:paraId="0BF17723" w14:textId="77777777" w:rsidR="001A1E6E" w:rsidRPr="005640A5" w:rsidRDefault="001A1E6E" w:rsidP="00875700">
            <w:pPr>
              <w:spacing w:before="60" w:after="60"/>
              <w:rPr>
                <w:b/>
              </w:rPr>
            </w:pPr>
            <w:r>
              <w:rPr>
                <w:b/>
              </w:rPr>
              <w:t xml:space="preserve">Privacy </w:t>
            </w:r>
          </w:p>
        </w:tc>
        <w:sdt>
          <w:sdtPr>
            <w:id w:val="1726571003"/>
          </w:sdtPr>
          <w:sdtEndPr/>
          <w:sdtContent>
            <w:sdt>
              <w:sdtPr>
                <w:id w:val="858932448"/>
                <w14:checkbox>
                  <w14:checked w14:val="0"/>
                  <w14:checkedState w14:val="2612" w14:font="MS Gothic"/>
                  <w14:uncheckedState w14:val="2610" w14:font="MS Gothic"/>
                </w14:checkbox>
              </w:sdtPr>
              <w:sdtEndPr/>
              <w:sdtContent>
                <w:tc>
                  <w:tcPr>
                    <w:tcW w:w="709" w:type="dxa"/>
                    <w:vAlign w:val="center"/>
                  </w:tcPr>
                  <w:p w14:paraId="49743A61"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854485257"/>
          </w:sdtPr>
          <w:sdtEndPr/>
          <w:sdtContent>
            <w:sdt>
              <w:sdtPr>
                <w:id w:val="-2102168815"/>
                <w14:checkbox>
                  <w14:checked w14:val="0"/>
                  <w14:checkedState w14:val="2612" w14:font="MS Gothic"/>
                  <w14:uncheckedState w14:val="2610" w14:font="MS Gothic"/>
                </w14:checkbox>
              </w:sdtPr>
              <w:sdtEndPr/>
              <w:sdtContent>
                <w:tc>
                  <w:tcPr>
                    <w:tcW w:w="567" w:type="dxa"/>
                    <w:vAlign w:val="center"/>
                  </w:tcPr>
                  <w:p w14:paraId="0AF06BB7" w14:textId="77777777" w:rsidR="001A1E6E" w:rsidRPr="005640A5" w:rsidRDefault="001A1E6E" w:rsidP="00875700">
                    <w:pPr>
                      <w:spacing w:after="0"/>
                    </w:pPr>
                    <w:r>
                      <w:rPr>
                        <w:rFonts w:ascii="MS Gothic" w:eastAsia="MS Gothic" w:hAnsi="MS Gothic" w:hint="eastAsia"/>
                      </w:rPr>
                      <w:t>☐</w:t>
                    </w:r>
                  </w:p>
                </w:tc>
              </w:sdtContent>
            </w:sdt>
          </w:sdtContent>
        </w:sdt>
        <w:sdt>
          <w:sdtPr>
            <w:id w:val="-1163776205"/>
          </w:sdtPr>
          <w:sdtEndPr/>
          <w:sdtContent>
            <w:sdt>
              <w:sdtPr>
                <w:id w:val="-99648927"/>
                <w14:checkbox>
                  <w14:checked w14:val="1"/>
                  <w14:checkedState w14:val="2612" w14:font="MS Gothic"/>
                  <w14:uncheckedState w14:val="2610" w14:font="MS Gothic"/>
                </w14:checkbox>
              </w:sdtPr>
              <w:sdtEndPr/>
              <w:sdtContent>
                <w:tc>
                  <w:tcPr>
                    <w:tcW w:w="708" w:type="dxa"/>
                    <w:vAlign w:val="center"/>
                  </w:tcPr>
                  <w:p w14:paraId="4461021A"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589A893E" w14:textId="77777777" w:rsidR="001A1E6E" w:rsidRPr="005640A5" w:rsidRDefault="001A1E6E" w:rsidP="00875700">
            <w:pPr>
              <w:spacing w:after="0"/>
            </w:pPr>
          </w:p>
        </w:tc>
        <w:tc>
          <w:tcPr>
            <w:tcW w:w="1134" w:type="dxa"/>
            <w:vAlign w:val="center"/>
          </w:tcPr>
          <w:p w14:paraId="3B8FFBA5" w14:textId="77777777" w:rsidR="001A1E6E" w:rsidRPr="005640A5" w:rsidRDefault="001A1E6E" w:rsidP="00875700">
            <w:pPr>
              <w:spacing w:after="0"/>
            </w:pPr>
          </w:p>
        </w:tc>
      </w:tr>
      <w:tr w:rsidR="001A1E6E" w:rsidRPr="005640A5" w14:paraId="6D55E673" w14:textId="77777777" w:rsidTr="00875700">
        <w:tc>
          <w:tcPr>
            <w:tcW w:w="2660" w:type="dxa"/>
            <w:shd w:val="clear" w:color="auto" w:fill="D9D9D9" w:themeFill="background1" w:themeFillShade="D9"/>
            <w:vAlign w:val="center"/>
          </w:tcPr>
          <w:p w14:paraId="619C5D37" w14:textId="77777777" w:rsidR="001A1E6E" w:rsidRDefault="001A1E6E" w:rsidP="00875700">
            <w:pPr>
              <w:spacing w:before="60" w:after="60"/>
              <w:rPr>
                <w:b/>
              </w:rPr>
            </w:pPr>
            <w:r>
              <w:rPr>
                <w:b/>
              </w:rPr>
              <w:t xml:space="preserve">Risk </w:t>
            </w:r>
          </w:p>
        </w:tc>
        <w:sdt>
          <w:sdtPr>
            <w:id w:val="819844089"/>
          </w:sdtPr>
          <w:sdtEndPr/>
          <w:sdtContent>
            <w:sdt>
              <w:sdtPr>
                <w:id w:val="1563761397"/>
                <w14:checkbox>
                  <w14:checked w14:val="0"/>
                  <w14:checkedState w14:val="2612" w14:font="MS Gothic"/>
                  <w14:uncheckedState w14:val="2610" w14:font="MS Gothic"/>
                </w14:checkbox>
              </w:sdtPr>
              <w:sdtEndPr/>
              <w:sdtContent>
                <w:tc>
                  <w:tcPr>
                    <w:tcW w:w="709" w:type="dxa"/>
                    <w:vAlign w:val="center"/>
                  </w:tcPr>
                  <w:p w14:paraId="46B0E3E4"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993441544"/>
          </w:sdtPr>
          <w:sdtEndPr/>
          <w:sdtContent>
            <w:sdt>
              <w:sdtPr>
                <w:id w:val="1637375476"/>
                <w14:checkbox>
                  <w14:checked w14:val="0"/>
                  <w14:checkedState w14:val="2612" w14:font="MS Gothic"/>
                  <w14:uncheckedState w14:val="2610" w14:font="MS Gothic"/>
                </w14:checkbox>
              </w:sdtPr>
              <w:sdtEndPr/>
              <w:sdtContent>
                <w:tc>
                  <w:tcPr>
                    <w:tcW w:w="567" w:type="dxa"/>
                    <w:vAlign w:val="center"/>
                  </w:tcPr>
                  <w:p w14:paraId="0B2384A9" w14:textId="77777777" w:rsidR="001A1E6E" w:rsidRPr="005640A5" w:rsidRDefault="001A1E6E" w:rsidP="00875700">
                    <w:pPr>
                      <w:spacing w:after="0"/>
                    </w:pPr>
                    <w:r>
                      <w:rPr>
                        <w:rFonts w:ascii="MS Gothic" w:eastAsia="MS Gothic" w:hAnsi="MS Gothic" w:hint="eastAsia"/>
                      </w:rPr>
                      <w:t>☐</w:t>
                    </w:r>
                  </w:p>
                </w:tc>
              </w:sdtContent>
            </w:sdt>
          </w:sdtContent>
        </w:sdt>
        <w:sdt>
          <w:sdtPr>
            <w:id w:val="-1469130210"/>
          </w:sdtPr>
          <w:sdtEndPr/>
          <w:sdtContent>
            <w:sdt>
              <w:sdtPr>
                <w:id w:val="219718750"/>
                <w14:checkbox>
                  <w14:checked w14:val="1"/>
                  <w14:checkedState w14:val="2612" w14:font="MS Gothic"/>
                  <w14:uncheckedState w14:val="2610" w14:font="MS Gothic"/>
                </w14:checkbox>
              </w:sdtPr>
              <w:sdtEndPr/>
              <w:sdtContent>
                <w:tc>
                  <w:tcPr>
                    <w:tcW w:w="708" w:type="dxa"/>
                    <w:vAlign w:val="center"/>
                  </w:tcPr>
                  <w:p w14:paraId="6CA51145"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13948805" w14:textId="77777777" w:rsidR="001A1E6E" w:rsidRPr="005640A5" w:rsidRDefault="001A1E6E" w:rsidP="00875700">
            <w:pPr>
              <w:spacing w:after="0"/>
            </w:pPr>
          </w:p>
        </w:tc>
        <w:tc>
          <w:tcPr>
            <w:tcW w:w="1134" w:type="dxa"/>
            <w:vAlign w:val="center"/>
          </w:tcPr>
          <w:p w14:paraId="4432D659" w14:textId="77777777" w:rsidR="001A1E6E" w:rsidRPr="005640A5" w:rsidRDefault="001A1E6E" w:rsidP="00875700">
            <w:pPr>
              <w:spacing w:after="0"/>
            </w:pPr>
          </w:p>
        </w:tc>
      </w:tr>
      <w:tr w:rsidR="001A1E6E" w:rsidRPr="005640A5" w14:paraId="0D93FAD8" w14:textId="77777777" w:rsidTr="00875700">
        <w:tc>
          <w:tcPr>
            <w:tcW w:w="2660" w:type="dxa"/>
            <w:shd w:val="clear" w:color="auto" w:fill="D9D9D9" w:themeFill="background1" w:themeFillShade="D9"/>
            <w:vAlign w:val="center"/>
          </w:tcPr>
          <w:p w14:paraId="1376CCFB" w14:textId="77777777" w:rsidR="001A1E6E" w:rsidRDefault="001A1E6E" w:rsidP="00875700">
            <w:pPr>
              <w:spacing w:before="60" w:after="60"/>
              <w:rPr>
                <w:b/>
              </w:rPr>
            </w:pPr>
            <w:r>
              <w:rPr>
                <w:b/>
              </w:rPr>
              <w:t>Legal</w:t>
            </w:r>
          </w:p>
        </w:tc>
        <w:sdt>
          <w:sdtPr>
            <w:id w:val="-1099095513"/>
          </w:sdtPr>
          <w:sdtEndPr/>
          <w:sdtContent>
            <w:sdt>
              <w:sdtPr>
                <w:id w:val="-1833593934"/>
                <w14:checkbox>
                  <w14:checked w14:val="0"/>
                  <w14:checkedState w14:val="2612" w14:font="MS Gothic"/>
                  <w14:uncheckedState w14:val="2610" w14:font="MS Gothic"/>
                </w14:checkbox>
              </w:sdtPr>
              <w:sdtEndPr/>
              <w:sdtContent>
                <w:tc>
                  <w:tcPr>
                    <w:tcW w:w="709" w:type="dxa"/>
                    <w:vAlign w:val="center"/>
                  </w:tcPr>
                  <w:p w14:paraId="4FA26EC2"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1836260255"/>
          </w:sdtPr>
          <w:sdtEndPr/>
          <w:sdtContent>
            <w:sdt>
              <w:sdtPr>
                <w:id w:val="-492338273"/>
                <w14:checkbox>
                  <w14:checked w14:val="0"/>
                  <w14:checkedState w14:val="2612" w14:font="MS Gothic"/>
                  <w14:uncheckedState w14:val="2610" w14:font="MS Gothic"/>
                </w14:checkbox>
              </w:sdtPr>
              <w:sdtEndPr/>
              <w:sdtContent>
                <w:tc>
                  <w:tcPr>
                    <w:tcW w:w="567" w:type="dxa"/>
                    <w:vAlign w:val="center"/>
                  </w:tcPr>
                  <w:p w14:paraId="257FDD72" w14:textId="77777777" w:rsidR="001A1E6E" w:rsidRPr="005640A5" w:rsidRDefault="001A1E6E" w:rsidP="00875700">
                    <w:pPr>
                      <w:spacing w:after="0"/>
                    </w:pPr>
                    <w:r>
                      <w:rPr>
                        <w:rFonts w:ascii="MS Gothic" w:eastAsia="MS Gothic" w:hAnsi="MS Gothic" w:hint="eastAsia"/>
                      </w:rPr>
                      <w:t>☐</w:t>
                    </w:r>
                  </w:p>
                </w:tc>
              </w:sdtContent>
            </w:sdt>
          </w:sdtContent>
        </w:sdt>
        <w:sdt>
          <w:sdtPr>
            <w:id w:val="-879550454"/>
          </w:sdtPr>
          <w:sdtEndPr/>
          <w:sdtContent>
            <w:sdt>
              <w:sdtPr>
                <w:id w:val="2142530983"/>
                <w14:checkbox>
                  <w14:checked w14:val="1"/>
                  <w14:checkedState w14:val="2612" w14:font="MS Gothic"/>
                  <w14:uncheckedState w14:val="2610" w14:font="MS Gothic"/>
                </w14:checkbox>
              </w:sdtPr>
              <w:sdtEndPr/>
              <w:sdtContent>
                <w:tc>
                  <w:tcPr>
                    <w:tcW w:w="708" w:type="dxa"/>
                    <w:vAlign w:val="center"/>
                  </w:tcPr>
                  <w:p w14:paraId="355F3781"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20E12895" w14:textId="77777777" w:rsidR="001A1E6E" w:rsidRPr="005640A5" w:rsidRDefault="001A1E6E" w:rsidP="00875700">
            <w:pPr>
              <w:spacing w:after="0"/>
            </w:pPr>
          </w:p>
        </w:tc>
        <w:tc>
          <w:tcPr>
            <w:tcW w:w="1134" w:type="dxa"/>
            <w:vAlign w:val="center"/>
          </w:tcPr>
          <w:p w14:paraId="78DE9200" w14:textId="77777777" w:rsidR="001A1E6E" w:rsidRPr="005640A5" w:rsidRDefault="001A1E6E" w:rsidP="00875700">
            <w:pPr>
              <w:spacing w:after="0"/>
            </w:pPr>
          </w:p>
        </w:tc>
      </w:tr>
      <w:tr w:rsidR="001A1E6E" w:rsidRPr="005640A5" w14:paraId="71F5F8EC" w14:textId="77777777" w:rsidTr="00875700">
        <w:tc>
          <w:tcPr>
            <w:tcW w:w="2660" w:type="dxa"/>
            <w:shd w:val="clear" w:color="auto" w:fill="D9D9D9" w:themeFill="background1" w:themeFillShade="D9"/>
            <w:vAlign w:val="center"/>
          </w:tcPr>
          <w:p w14:paraId="010AF93A" w14:textId="77777777" w:rsidR="001A1E6E" w:rsidRDefault="001A1E6E" w:rsidP="00875700">
            <w:pPr>
              <w:spacing w:before="60" w:after="60"/>
              <w:rPr>
                <w:b/>
              </w:rPr>
            </w:pPr>
            <w:r>
              <w:rPr>
                <w:b/>
              </w:rPr>
              <w:t xml:space="preserve">Financial </w:t>
            </w:r>
          </w:p>
        </w:tc>
        <w:sdt>
          <w:sdtPr>
            <w:id w:val="-919791622"/>
          </w:sdtPr>
          <w:sdtEndPr/>
          <w:sdtContent>
            <w:sdt>
              <w:sdtPr>
                <w:id w:val="640314024"/>
                <w14:checkbox>
                  <w14:checked w14:val="0"/>
                  <w14:checkedState w14:val="2612" w14:font="MS Gothic"/>
                  <w14:uncheckedState w14:val="2610" w14:font="MS Gothic"/>
                </w14:checkbox>
              </w:sdtPr>
              <w:sdtEndPr/>
              <w:sdtContent>
                <w:tc>
                  <w:tcPr>
                    <w:tcW w:w="709" w:type="dxa"/>
                    <w:vAlign w:val="center"/>
                  </w:tcPr>
                  <w:p w14:paraId="1D07E7DC" w14:textId="77777777" w:rsidR="001A1E6E" w:rsidRPr="005640A5" w:rsidRDefault="001A1E6E" w:rsidP="00875700">
                    <w:pPr>
                      <w:spacing w:after="0"/>
                    </w:pPr>
                    <w:r w:rsidRPr="005640A5">
                      <w:rPr>
                        <w:rFonts w:ascii="MS Gothic" w:eastAsia="MS Gothic" w:hAnsi="MS Gothic" w:cs="MS Gothic" w:hint="eastAsia"/>
                      </w:rPr>
                      <w:t>☐</w:t>
                    </w:r>
                  </w:p>
                </w:tc>
              </w:sdtContent>
            </w:sdt>
          </w:sdtContent>
        </w:sdt>
        <w:sdt>
          <w:sdtPr>
            <w:id w:val="251938267"/>
          </w:sdtPr>
          <w:sdtEndPr/>
          <w:sdtContent>
            <w:sdt>
              <w:sdtPr>
                <w:id w:val="1189421705"/>
                <w14:checkbox>
                  <w14:checked w14:val="0"/>
                  <w14:checkedState w14:val="2612" w14:font="MS Gothic"/>
                  <w14:uncheckedState w14:val="2610" w14:font="MS Gothic"/>
                </w14:checkbox>
              </w:sdtPr>
              <w:sdtEndPr/>
              <w:sdtContent>
                <w:tc>
                  <w:tcPr>
                    <w:tcW w:w="567" w:type="dxa"/>
                    <w:vAlign w:val="center"/>
                  </w:tcPr>
                  <w:p w14:paraId="5356A8D5" w14:textId="77777777" w:rsidR="001A1E6E" w:rsidRPr="005640A5" w:rsidRDefault="001A1E6E" w:rsidP="00875700">
                    <w:pPr>
                      <w:spacing w:after="0"/>
                    </w:pPr>
                    <w:r>
                      <w:rPr>
                        <w:rFonts w:ascii="MS Gothic" w:eastAsia="MS Gothic" w:hAnsi="MS Gothic" w:hint="eastAsia"/>
                      </w:rPr>
                      <w:t>☐</w:t>
                    </w:r>
                  </w:p>
                </w:tc>
              </w:sdtContent>
            </w:sdt>
          </w:sdtContent>
        </w:sdt>
        <w:sdt>
          <w:sdtPr>
            <w:id w:val="1082417489"/>
          </w:sdtPr>
          <w:sdtEndPr/>
          <w:sdtContent>
            <w:sdt>
              <w:sdtPr>
                <w:id w:val="-1185274589"/>
                <w14:checkbox>
                  <w14:checked w14:val="1"/>
                  <w14:checkedState w14:val="2612" w14:font="MS Gothic"/>
                  <w14:uncheckedState w14:val="2610" w14:font="MS Gothic"/>
                </w14:checkbox>
              </w:sdtPr>
              <w:sdtEndPr/>
              <w:sdtContent>
                <w:tc>
                  <w:tcPr>
                    <w:tcW w:w="708" w:type="dxa"/>
                    <w:vAlign w:val="center"/>
                  </w:tcPr>
                  <w:p w14:paraId="3E97C46A" w14:textId="77777777" w:rsidR="001A1E6E" w:rsidRPr="005640A5" w:rsidRDefault="001A1E6E" w:rsidP="00875700">
                    <w:pPr>
                      <w:spacing w:after="0"/>
                    </w:pPr>
                    <w:r>
                      <w:rPr>
                        <w:rFonts w:ascii="MS Gothic" w:eastAsia="MS Gothic" w:hAnsi="MS Gothic" w:cs="MS Gothic" w:hint="eastAsia"/>
                      </w:rPr>
                      <w:t>☒</w:t>
                    </w:r>
                  </w:p>
                </w:tc>
              </w:sdtContent>
            </w:sdt>
          </w:sdtContent>
        </w:sdt>
        <w:tc>
          <w:tcPr>
            <w:tcW w:w="4395" w:type="dxa"/>
            <w:vAlign w:val="center"/>
          </w:tcPr>
          <w:p w14:paraId="5F56EE2C" w14:textId="77777777" w:rsidR="001A1E6E" w:rsidRPr="005640A5" w:rsidRDefault="001A1E6E" w:rsidP="00875700">
            <w:pPr>
              <w:spacing w:after="0"/>
            </w:pPr>
          </w:p>
        </w:tc>
        <w:tc>
          <w:tcPr>
            <w:tcW w:w="1134" w:type="dxa"/>
            <w:vAlign w:val="center"/>
          </w:tcPr>
          <w:p w14:paraId="24FBFBC2" w14:textId="77777777" w:rsidR="001A1E6E" w:rsidRPr="005640A5" w:rsidRDefault="001A1E6E" w:rsidP="00875700">
            <w:pPr>
              <w:spacing w:after="0"/>
            </w:pPr>
          </w:p>
        </w:tc>
      </w:tr>
    </w:tbl>
    <w:p w14:paraId="045B5F76" w14:textId="77777777" w:rsidR="001A1E6E" w:rsidRDefault="001A1E6E" w:rsidP="001A1E6E">
      <w:pPr>
        <w:pStyle w:val="ListParagraph"/>
        <w:spacing w:after="0"/>
      </w:pPr>
    </w:p>
    <w:p w14:paraId="4069F0BB" w14:textId="77777777" w:rsidR="001A1E6E" w:rsidRDefault="001A1E6E" w:rsidP="001A1E6E">
      <w:pPr>
        <w:spacing w:line="276" w:lineRule="auto"/>
      </w:pPr>
      <w:r>
        <w:br w:type="page"/>
      </w:r>
    </w:p>
    <w:p w14:paraId="32B20A5C" w14:textId="77777777" w:rsidR="00880E9F" w:rsidRPr="0037732B" w:rsidRDefault="00C20147" w:rsidP="00953DC4">
      <w:pPr>
        <w:spacing w:after="0"/>
        <w:jc w:val="right"/>
        <w:rPr>
          <w:b/>
          <w:color w:val="auto"/>
          <w:sz w:val="32"/>
          <w:szCs w:val="32"/>
        </w:rPr>
      </w:pPr>
      <w:r>
        <w:rPr>
          <w:b/>
          <w:color w:val="auto"/>
          <w:szCs w:val="24"/>
        </w:rPr>
        <w:lastRenderedPageBreak/>
        <w:tab/>
      </w:r>
      <w:r>
        <w:rPr>
          <w:b/>
          <w:color w:val="auto"/>
          <w:szCs w:val="24"/>
        </w:rPr>
        <w:tab/>
      </w:r>
      <w:r w:rsidR="0037732B">
        <w:rPr>
          <w:b/>
          <w:color w:val="auto"/>
          <w:sz w:val="32"/>
          <w:szCs w:val="32"/>
        </w:rPr>
        <w:t xml:space="preserve">  </w:t>
      </w:r>
    </w:p>
    <w:p w14:paraId="55BE65FB" w14:textId="1D1031FC" w:rsidR="00282D88" w:rsidRDefault="0025572F" w:rsidP="00282D88">
      <w:pPr>
        <w:tabs>
          <w:tab w:val="left" w:pos="2127"/>
        </w:tabs>
        <w:spacing w:after="0"/>
        <w:ind w:right="-514"/>
        <w:rPr>
          <w:iCs/>
          <w:color w:val="auto"/>
          <w:sz w:val="28"/>
          <w:szCs w:val="28"/>
        </w:rPr>
      </w:pPr>
      <w:r>
        <w:rPr>
          <w:i/>
          <w:color w:val="auto"/>
        </w:rPr>
        <w:tab/>
      </w:r>
      <w:r w:rsidR="00282D88">
        <w:rPr>
          <w:iCs/>
          <w:color w:val="auto"/>
          <w:sz w:val="28"/>
          <w:szCs w:val="28"/>
        </w:rPr>
        <w:t>Workforce Equality Standard Reporting 2021</w:t>
      </w:r>
    </w:p>
    <w:p w14:paraId="60DA7D0A" w14:textId="099EBA64" w:rsidR="00282D88" w:rsidRPr="00282D88" w:rsidRDefault="00D177C9" w:rsidP="00282D88">
      <w:pPr>
        <w:tabs>
          <w:tab w:val="left" w:pos="2127"/>
        </w:tabs>
        <w:spacing w:after="0"/>
        <w:ind w:right="-514"/>
        <w:jc w:val="center"/>
        <w:rPr>
          <w:iCs/>
          <w:color w:val="auto"/>
          <w:sz w:val="28"/>
          <w:szCs w:val="28"/>
        </w:rPr>
      </w:pPr>
      <w:r>
        <w:rPr>
          <w:iCs/>
          <w:color w:val="auto"/>
          <w:sz w:val="28"/>
          <w:szCs w:val="28"/>
        </w:rPr>
        <w:t>September 2021</w:t>
      </w:r>
    </w:p>
    <w:p w14:paraId="10D3F94A" w14:textId="77777777" w:rsidR="00B81B0E" w:rsidRPr="00AB021E" w:rsidRDefault="00B81B0E" w:rsidP="008C016A">
      <w:pPr>
        <w:jc w:val="center"/>
        <w:rPr>
          <w:szCs w:val="24"/>
        </w:rPr>
      </w:pPr>
    </w:p>
    <w:p w14:paraId="0A5412E4" w14:textId="74B89295" w:rsidR="00953DC4" w:rsidRPr="00AB021E" w:rsidRDefault="00F76790" w:rsidP="00B81B0E">
      <w:pPr>
        <w:pStyle w:val="Heading1"/>
        <w:ind w:left="0" w:firstLine="0"/>
        <w:rPr>
          <w:sz w:val="24"/>
          <w:szCs w:val="24"/>
        </w:rPr>
      </w:pPr>
      <w:r w:rsidRPr="00AB021E">
        <w:rPr>
          <w:sz w:val="24"/>
          <w:szCs w:val="24"/>
        </w:rPr>
        <w:t>I</w:t>
      </w:r>
      <w:r w:rsidR="00CC44B6" w:rsidRPr="00AB021E">
        <w:rPr>
          <w:sz w:val="24"/>
          <w:szCs w:val="24"/>
        </w:rPr>
        <w:t xml:space="preserve">ntroduction </w:t>
      </w:r>
    </w:p>
    <w:p w14:paraId="566566BB" w14:textId="77777777" w:rsidR="00953DC4" w:rsidRPr="00AB021E" w:rsidRDefault="00953DC4" w:rsidP="00B81B0E">
      <w:pPr>
        <w:pStyle w:val="Heading4"/>
        <w:numPr>
          <w:ilvl w:val="0"/>
          <w:numId w:val="0"/>
        </w:numPr>
        <w:rPr>
          <w:rFonts w:ascii="Arial" w:hAnsi="Arial" w:cs="Arial"/>
        </w:rPr>
      </w:pPr>
    </w:p>
    <w:p w14:paraId="0B22ECBA" w14:textId="1916C897" w:rsidR="00F1650F" w:rsidRPr="00AB021E" w:rsidRDefault="00C75C77" w:rsidP="00B81B0E">
      <w:pPr>
        <w:spacing w:after="0"/>
        <w:rPr>
          <w:rFonts w:eastAsia="Times New Roman"/>
          <w:bCs/>
          <w:color w:val="auto"/>
          <w:szCs w:val="24"/>
        </w:rPr>
      </w:pPr>
      <w:r w:rsidRPr="00AB021E">
        <w:rPr>
          <w:rFonts w:eastAsia="Times New Roman"/>
          <w:bCs/>
          <w:color w:val="auto"/>
          <w:szCs w:val="24"/>
        </w:rPr>
        <w:t>T</w:t>
      </w:r>
      <w:r w:rsidR="00F1650F" w:rsidRPr="00AB021E">
        <w:rPr>
          <w:rFonts w:eastAsia="Times New Roman"/>
          <w:bCs/>
          <w:color w:val="auto"/>
          <w:szCs w:val="24"/>
        </w:rPr>
        <w:t xml:space="preserve">he </w:t>
      </w:r>
      <w:r w:rsidR="00675999" w:rsidRPr="00AB021E">
        <w:rPr>
          <w:rFonts w:eastAsia="Times New Roman"/>
          <w:bCs/>
          <w:color w:val="auto"/>
          <w:szCs w:val="24"/>
        </w:rPr>
        <w:t xml:space="preserve">Workforce </w:t>
      </w:r>
      <w:r w:rsidR="00F1650F" w:rsidRPr="00AB021E">
        <w:rPr>
          <w:rFonts w:eastAsia="Times New Roman"/>
          <w:bCs/>
          <w:color w:val="auto"/>
          <w:szCs w:val="24"/>
        </w:rPr>
        <w:t xml:space="preserve">Equality Report provides an update </w:t>
      </w:r>
      <w:r w:rsidR="00C9073B" w:rsidRPr="00AB021E">
        <w:rPr>
          <w:rFonts w:eastAsia="Times New Roman"/>
          <w:bCs/>
          <w:color w:val="auto"/>
          <w:szCs w:val="24"/>
        </w:rPr>
        <w:t>on the CCG’s progress with regards to</w:t>
      </w:r>
      <w:r w:rsidR="00F1650F" w:rsidRPr="00AB021E">
        <w:rPr>
          <w:rFonts w:eastAsia="Times New Roman"/>
          <w:bCs/>
          <w:color w:val="auto"/>
          <w:szCs w:val="24"/>
        </w:rPr>
        <w:t xml:space="preserve"> the following NHS England equality standards:</w:t>
      </w:r>
    </w:p>
    <w:p w14:paraId="55E05869" w14:textId="77777777" w:rsidR="00C75C77" w:rsidRPr="00AB021E" w:rsidRDefault="00C75C77" w:rsidP="00604AF1">
      <w:pPr>
        <w:pStyle w:val="ListParagraph"/>
        <w:spacing w:after="0"/>
        <w:ind w:left="709"/>
        <w:rPr>
          <w:rFonts w:eastAsia="Times New Roman"/>
          <w:bCs/>
          <w:color w:val="auto"/>
          <w:szCs w:val="24"/>
        </w:rPr>
      </w:pPr>
    </w:p>
    <w:p w14:paraId="1AACA0DE" w14:textId="77777777" w:rsidR="00C75C77" w:rsidRPr="00AB021E" w:rsidRDefault="00F1650F" w:rsidP="00604AF1">
      <w:pPr>
        <w:pStyle w:val="ListParagraph"/>
        <w:numPr>
          <w:ilvl w:val="0"/>
          <w:numId w:val="5"/>
        </w:numPr>
        <w:spacing w:after="0"/>
        <w:ind w:left="1134"/>
        <w:rPr>
          <w:rFonts w:eastAsia="Times New Roman"/>
          <w:bCs/>
          <w:color w:val="auto"/>
          <w:szCs w:val="24"/>
        </w:rPr>
      </w:pPr>
      <w:r w:rsidRPr="00AB021E">
        <w:rPr>
          <w:rFonts w:eastAsia="Times New Roman"/>
          <w:bCs/>
          <w:color w:val="auto"/>
          <w:szCs w:val="24"/>
        </w:rPr>
        <w:t>Workforce Race Equality Standard (WRES</w:t>
      </w:r>
      <w:r w:rsidR="00481EC7" w:rsidRPr="00AB021E">
        <w:rPr>
          <w:rFonts w:eastAsia="Times New Roman"/>
          <w:bCs/>
          <w:color w:val="auto"/>
          <w:szCs w:val="24"/>
        </w:rPr>
        <w:t>)</w:t>
      </w:r>
    </w:p>
    <w:p w14:paraId="6BA42DA0" w14:textId="77777777" w:rsidR="00C75C77" w:rsidRPr="00AB021E" w:rsidRDefault="00F1650F" w:rsidP="00604AF1">
      <w:pPr>
        <w:pStyle w:val="ListParagraph"/>
        <w:numPr>
          <w:ilvl w:val="0"/>
          <w:numId w:val="5"/>
        </w:numPr>
        <w:spacing w:after="0"/>
        <w:ind w:left="1134"/>
        <w:rPr>
          <w:rFonts w:eastAsia="Times New Roman"/>
          <w:bCs/>
          <w:color w:val="auto"/>
          <w:szCs w:val="24"/>
        </w:rPr>
      </w:pPr>
      <w:r w:rsidRPr="00AB021E">
        <w:rPr>
          <w:rFonts w:eastAsia="Times New Roman"/>
          <w:bCs/>
          <w:color w:val="auto"/>
          <w:szCs w:val="24"/>
        </w:rPr>
        <w:t>Workforce Disability Equality Standard (WDES)</w:t>
      </w:r>
    </w:p>
    <w:p w14:paraId="1477502F" w14:textId="2B316157" w:rsidR="00C75C77" w:rsidRPr="00AB021E" w:rsidRDefault="00481EC7" w:rsidP="00604AF1">
      <w:pPr>
        <w:pStyle w:val="ListParagraph"/>
        <w:numPr>
          <w:ilvl w:val="0"/>
          <w:numId w:val="5"/>
        </w:numPr>
        <w:spacing w:after="0"/>
        <w:ind w:left="1134"/>
        <w:rPr>
          <w:rFonts w:eastAsia="Times New Roman"/>
          <w:bCs/>
          <w:color w:val="auto"/>
          <w:szCs w:val="24"/>
        </w:rPr>
      </w:pPr>
      <w:r w:rsidRPr="00AB021E">
        <w:rPr>
          <w:rFonts w:eastAsia="Times New Roman"/>
          <w:bCs/>
          <w:color w:val="auto"/>
          <w:szCs w:val="24"/>
        </w:rPr>
        <w:t>Equality Delivery Systems (EDS)</w:t>
      </w:r>
    </w:p>
    <w:p w14:paraId="2070174E" w14:textId="77777777" w:rsidR="00DE2102" w:rsidRPr="00AB021E" w:rsidRDefault="00DE2102" w:rsidP="002801AC">
      <w:pPr>
        <w:pStyle w:val="ListParagraph"/>
        <w:spacing w:after="0"/>
        <w:ind w:left="1134"/>
        <w:rPr>
          <w:rFonts w:eastAsia="Times New Roman"/>
          <w:bCs/>
          <w:color w:val="auto"/>
          <w:szCs w:val="24"/>
        </w:rPr>
      </w:pPr>
    </w:p>
    <w:p w14:paraId="382B7E4A" w14:textId="6BE98408" w:rsidR="00481EC7" w:rsidRPr="00AB021E" w:rsidRDefault="00481EC7" w:rsidP="00B81B0E">
      <w:pPr>
        <w:spacing w:after="0"/>
        <w:rPr>
          <w:rFonts w:eastAsia="Times New Roman"/>
          <w:bCs/>
          <w:color w:val="auto"/>
          <w:szCs w:val="24"/>
        </w:rPr>
      </w:pPr>
      <w:r w:rsidRPr="00AB021E">
        <w:rPr>
          <w:rFonts w:eastAsia="Times New Roman"/>
          <w:bCs/>
          <w:color w:val="auto"/>
          <w:szCs w:val="24"/>
        </w:rPr>
        <w:t xml:space="preserve">These standards form part of the CCG’s </w:t>
      </w:r>
      <w:r w:rsidR="00D4629C" w:rsidRPr="00AB021E">
        <w:rPr>
          <w:rFonts w:eastAsia="Times New Roman"/>
          <w:bCs/>
          <w:color w:val="auto"/>
          <w:szCs w:val="24"/>
        </w:rPr>
        <w:t>Equality, Diversity &amp; Inclusion (EDI) Outcomes</w:t>
      </w:r>
      <w:r w:rsidRPr="00AB021E">
        <w:rPr>
          <w:rFonts w:eastAsia="Times New Roman"/>
          <w:bCs/>
          <w:color w:val="auto"/>
          <w:szCs w:val="24"/>
        </w:rPr>
        <w:t xml:space="preserve"> Plan, which includes </w:t>
      </w:r>
      <w:r w:rsidR="00D4629C" w:rsidRPr="00AB021E">
        <w:rPr>
          <w:rFonts w:eastAsia="Times New Roman"/>
          <w:bCs/>
          <w:color w:val="auto"/>
          <w:szCs w:val="24"/>
        </w:rPr>
        <w:t xml:space="preserve">outcomes </w:t>
      </w:r>
      <w:r w:rsidRPr="00AB021E">
        <w:rPr>
          <w:rFonts w:eastAsia="Times New Roman"/>
          <w:bCs/>
          <w:color w:val="auto"/>
          <w:szCs w:val="24"/>
        </w:rPr>
        <w:t xml:space="preserve">that reflect the standards in both the CCG’s role as an employer and as a commissioner of healthcare services for the population of </w:t>
      </w:r>
      <w:r w:rsidR="00675999" w:rsidRPr="00AB021E">
        <w:rPr>
          <w:rFonts w:eastAsia="Times New Roman"/>
          <w:bCs/>
          <w:color w:val="auto"/>
          <w:szCs w:val="24"/>
        </w:rPr>
        <w:t>North Lincolnshire CCG</w:t>
      </w:r>
      <w:r w:rsidRPr="00AB021E">
        <w:rPr>
          <w:rFonts w:eastAsia="Times New Roman"/>
          <w:bCs/>
          <w:color w:val="auto"/>
          <w:szCs w:val="24"/>
        </w:rPr>
        <w:t xml:space="preserve">. </w:t>
      </w:r>
    </w:p>
    <w:p w14:paraId="0DF7A739" w14:textId="77777777" w:rsidR="00955A3C" w:rsidRPr="00AB021E" w:rsidRDefault="00955A3C" w:rsidP="00604AF1">
      <w:pPr>
        <w:spacing w:after="0"/>
        <w:jc w:val="both"/>
        <w:rPr>
          <w:b/>
          <w:bCs/>
          <w:color w:val="auto"/>
          <w:szCs w:val="24"/>
        </w:rPr>
      </w:pPr>
    </w:p>
    <w:p w14:paraId="70D6E79B" w14:textId="416595F0" w:rsidR="00955A3C" w:rsidRPr="00AB021E" w:rsidRDefault="00955A3C" w:rsidP="00B81B0E">
      <w:pPr>
        <w:pStyle w:val="Heading2"/>
        <w:rPr>
          <w:sz w:val="24"/>
          <w:szCs w:val="24"/>
        </w:rPr>
      </w:pPr>
      <w:r w:rsidRPr="00AB021E">
        <w:rPr>
          <w:sz w:val="24"/>
          <w:szCs w:val="24"/>
        </w:rPr>
        <w:t>W</w:t>
      </w:r>
      <w:r w:rsidR="00350962" w:rsidRPr="00AB021E">
        <w:rPr>
          <w:sz w:val="24"/>
          <w:szCs w:val="24"/>
        </w:rPr>
        <w:t>orkforce Race Equality Standard (W</w:t>
      </w:r>
      <w:r w:rsidRPr="00AB021E">
        <w:rPr>
          <w:sz w:val="24"/>
          <w:szCs w:val="24"/>
        </w:rPr>
        <w:t>RES</w:t>
      </w:r>
      <w:r w:rsidR="00350962" w:rsidRPr="00AB021E">
        <w:rPr>
          <w:sz w:val="24"/>
          <w:szCs w:val="24"/>
        </w:rPr>
        <w:t>)</w:t>
      </w:r>
      <w:r w:rsidRPr="00AB021E">
        <w:rPr>
          <w:sz w:val="24"/>
          <w:szCs w:val="24"/>
        </w:rPr>
        <w:t xml:space="preserve"> and </w:t>
      </w:r>
      <w:r w:rsidR="00350962" w:rsidRPr="00AB021E">
        <w:rPr>
          <w:sz w:val="24"/>
          <w:szCs w:val="24"/>
        </w:rPr>
        <w:t>Workforce Disability Equality Standard (</w:t>
      </w:r>
      <w:r w:rsidRPr="00AB021E">
        <w:rPr>
          <w:sz w:val="24"/>
          <w:szCs w:val="24"/>
        </w:rPr>
        <w:t>WDES</w:t>
      </w:r>
      <w:r w:rsidR="00350962" w:rsidRPr="00AB021E">
        <w:rPr>
          <w:sz w:val="24"/>
          <w:szCs w:val="24"/>
        </w:rPr>
        <w:t>)</w:t>
      </w:r>
    </w:p>
    <w:p w14:paraId="7F802475" w14:textId="77777777" w:rsidR="00955A3C" w:rsidRPr="00AB021E" w:rsidRDefault="00955A3C" w:rsidP="00604AF1">
      <w:pPr>
        <w:spacing w:after="0"/>
        <w:jc w:val="both"/>
        <w:rPr>
          <w:b/>
          <w:bCs/>
          <w:color w:val="auto"/>
          <w:szCs w:val="24"/>
        </w:rPr>
      </w:pPr>
    </w:p>
    <w:p w14:paraId="7203A625" w14:textId="3F94A04B" w:rsidR="00955A3C" w:rsidRPr="00AB021E" w:rsidRDefault="00955A3C" w:rsidP="00B81B0E">
      <w:pPr>
        <w:pStyle w:val="BodyTextIndent"/>
        <w:ind w:left="0"/>
        <w:rPr>
          <w:rFonts w:ascii="Arial" w:hAnsi="Arial" w:cs="Arial"/>
        </w:rPr>
      </w:pPr>
      <w:r w:rsidRPr="00AB021E">
        <w:rPr>
          <w:rFonts w:ascii="Arial" w:hAnsi="Arial" w:cs="Arial"/>
        </w:rPr>
        <w:t xml:space="preserve">The main </w:t>
      </w:r>
      <w:r w:rsidR="00D4629C" w:rsidRPr="00AB021E">
        <w:rPr>
          <w:rFonts w:ascii="Arial" w:hAnsi="Arial" w:cs="Arial"/>
        </w:rPr>
        <w:t xml:space="preserve">objectives </w:t>
      </w:r>
      <w:r w:rsidRPr="00AB021E">
        <w:rPr>
          <w:rFonts w:ascii="Arial" w:hAnsi="Arial" w:cs="Arial"/>
        </w:rPr>
        <w:t>of the NHS Workforce Race Equality Standard (WRES) and the Workforce Disability Equality Standard (WDES) are to:</w:t>
      </w:r>
    </w:p>
    <w:p w14:paraId="1109CD35" w14:textId="77777777" w:rsidR="00C75C77" w:rsidRPr="00AB021E" w:rsidRDefault="00C75C77" w:rsidP="00604AF1">
      <w:pPr>
        <w:pStyle w:val="BodyTextIndent"/>
        <w:ind w:left="720" w:hanging="720"/>
        <w:rPr>
          <w:rFonts w:ascii="Arial" w:hAnsi="Arial" w:cs="Arial"/>
        </w:rPr>
      </w:pPr>
    </w:p>
    <w:p w14:paraId="40123628" w14:textId="77777777" w:rsidR="00955A3C" w:rsidRPr="00AB021E" w:rsidRDefault="00C75C77" w:rsidP="00604AF1">
      <w:pPr>
        <w:pStyle w:val="BodyTextIndent"/>
        <w:numPr>
          <w:ilvl w:val="0"/>
          <w:numId w:val="3"/>
        </w:numPr>
        <w:ind w:left="1134"/>
        <w:rPr>
          <w:rFonts w:ascii="Arial" w:hAnsi="Arial" w:cs="Arial"/>
        </w:rPr>
      </w:pPr>
      <w:r w:rsidRPr="00AB021E">
        <w:rPr>
          <w:rFonts w:ascii="Arial" w:hAnsi="Arial" w:cs="Arial"/>
        </w:rPr>
        <w:t>Help local</w:t>
      </w:r>
      <w:r w:rsidR="00955A3C" w:rsidRPr="00AB021E">
        <w:rPr>
          <w:rFonts w:ascii="Arial" w:hAnsi="Arial" w:cs="Arial"/>
        </w:rPr>
        <w:t xml:space="preserve"> and national NHS organisations (and other organisations providing NHS services) to review their data against the relevant indicators</w:t>
      </w:r>
      <w:r w:rsidRPr="00AB021E">
        <w:rPr>
          <w:rFonts w:ascii="Arial" w:hAnsi="Arial" w:cs="Arial"/>
        </w:rPr>
        <w:t>.</w:t>
      </w:r>
    </w:p>
    <w:p w14:paraId="15B47673" w14:textId="77777777" w:rsidR="00955A3C" w:rsidRPr="00AB021E" w:rsidRDefault="00955A3C" w:rsidP="00604AF1">
      <w:pPr>
        <w:pStyle w:val="BodyTextIndent"/>
        <w:numPr>
          <w:ilvl w:val="0"/>
          <w:numId w:val="3"/>
        </w:numPr>
        <w:ind w:left="1134"/>
        <w:rPr>
          <w:rFonts w:ascii="Arial" w:hAnsi="Arial" w:cs="Arial"/>
        </w:rPr>
      </w:pPr>
      <w:r w:rsidRPr="00AB021E">
        <w:rPr>
          <w:rFonts w:ascii="Arial" w:hAnsi="Arial" w:cs="Arial"/>
        </w:rPr>
        <w:t>Produce action plans to close the gaps in workplace experience between relevant groups of staff</w:t>
      </w:r>
      <w:r w:rsidR="00C75C77" w:rsidRPr="00AB021E">
        <w:rPr>
          <w:rFonts w:ascii="Arial" w:hAnsi="Arial" w:cs="Arial"/>
        </w:rPr>
        <w:t>,</w:t>
      </w:r>
      <w:r w:rsidRPr="00AB021E">
        <w:rPr>
          <w:rFonts w:ascii="Arial" w:hAnsi="Arial" w:cs="Arial"/>
        </w:rPr>
        <w:t xml:space="preserve"> and</w:t>
      </w:r>
    </w:p>
    <w:p w14:paraId="4730CC0E" w14:textId="260769D8" w:rsidR="00955A3C" w:rsidRPr="00AB021E" w:rsidRDefault="00955A3C" w:rsidP="00604AF1">
      <w:pPr>
        <w:pStyle w:val="BodyTextIndent"/>
        <w:numPr>
          <w:ilvl w:val="0"/>
          <w:numId w:val="3"/>
        </w:numPr>
        <w:ind w:left="1134"/>
        <w:rPr>
          <w:rFonts w:ascii="Arial" w:hAnsi="Arial" w:cs="Arial"/>
        </w:rPr>
      </w:pPr>
      <w:r w:rsidRPr="00AB021E">
        <w:rPr>
          <w:rFonts w:ascii="Arial" w:hAnsi="Arial" w:cs="Arial"/>
        </w:rPr>
        <w:t xml:space="preserve">Improve </w:t>
      </w:r>
      <w:r w:rsidR="00C047A7" w:rsidRPr="00AB021E">
        <w:rPr>
          <w:rFonts w:ascii="Arial" w:hAnsi="Arial" w:cs="Arial"/>
        </w:rPr>
        <w:t xml:space="preserve">representation of </w:t>
      </w:r>
      <w:r w:rsidRPr="00AB021E">
        <w:rPr>
          <w:rFonts w:ascii="Arial" w:hAnsi="Arial" w:cs="Arial"/>
        </w:rPr>
        <w:t>BME</w:t>
      </w:r>
      <w:r w:rsidR="00C047A7" w:rsidRPr="00AB021E">
        <w:rPr>
          <w:rStyle w:val="FootnoteReference"/>
          <w:rFonts w:ascii="Arial" w:hAnsi="Arial" w:cs="Arial"/>
        </w:rPr>
        <w:footnoteReference w:id="1"/>
      </w:r>
      <w:r w:rsidR="00B57DC7" w:rsidRPr="00AB021E">
        <w:rPr>
          <w:rFonts w:ascii="Arial" w:hAnsi="Arial" w:cs="Arial"/>
        </w:rPr>
        <w:t xml:space="preserve"> </w:t>
      </w:r>
      <w:r w:rsidRPr="00AB021E">
        <w:rPr>
          <w:rFonts w:ascii="Arial" w:hAnsi="Arial" w:cs="Arial"/>
        </w:rPr>
        <w:t xml:space="preserve">/ Disabled </w:t>
      </w:r>
      <w:r w:rsidR="00C047A7" w:rsidRPr="00AB021E">
        <w:rPr>
          <w:rFonts w:ascii="Arial" w:hAnsi="Arial" w:cs="Arial"/>
        </w:rPr>
        <w:t xml:space="preserve">people </w:t>
      </w:r>
      <w:r w:rsidR="00D4629C" w:rsidRPr="00AB021E">
        <w:rPr>
          <w:rFonts w:ascii="Arial" w:hAnsi="Arial" w:cs="Arial"/>
        </w:rPr>
        <w:t xml:space="preserve">across all levels of the organisation, including </w:t>
      </w:r>
      <w:r w:rsidRPr="00AB021E">
        <w:rPr>
          <w:rFonts w:ascii="Arial" w:hAnsi="Arial" w:cs="Arial"/>
        </w:rPr>
        <w:t xml:space="preserve">Board level </w:t>
      </w:r>
      <w:r w:rsidR="00D4629C" w:rsidRPr="00AB021E">
        <w:rPr>
          <w:rFonts w:ascii="Arial" w:hAnsi="Arial" w:cs="Arial"/>
        </w:rPr>
        <w:t>representation</w:t>
      </w:r>
      <w:r w:rsidRPr="00AB021E">
        <w:rPr>
          <w:rFonts w:ascii="Arial" w:hAnsi="Arial" w:cs="Arial"/>
        </w:rPr>
        <w:t>.</w:t>
      </w:r>
    </w:p>
    <w:p w14:paraId="5E4A02A0" w14:textId="77777777" w:rsidR="00C75C77" w:rsidRPr="00AB021E" w:rsidRDefault="00C75C77" w:rsidP="00604AF1">
      <w:pPr>
        <w:pStyle w:val="BodyTextIndent"/>
        <w:ind w:left="0"/>
        <w:rPr>
          <w:rFonts w:ascii="Arial" w:hAnsi="Arial" w:cs="Arial"/>
        </w:rPr>
      </w:pPr>
    </w:p>
    <w:p w14:paraId="585391DC" w14:textId="59E20BC1" w:rsidR="00362E57" w:rsidRPr="00AB021E" w:rsidRDefault="00362E57" w:rsidP="00604AF1">
      <w:pPr>
        <w:pStyle w:val="BodyTextIndent"/>
        <w:ind w:left="0"/>
        <w:rPr>
          <w:rFonts w:ascii="Arial" w:hAnsi="Arial" w:cs="Arial"/>
        </w:rPr>
      </w:pPr>
      <w:r w:rsidRPr="00AB021E">
        <w:rPr>
          <w:rFonts w:ascii="Arial" w:hAnsi="Arial" w:cs="Arial"/>
        </w:rPr>
        <w:t>As an NHS organisation the CCG is required to:</w:t>
      </w:r>
    </w:p>
    <w:p w14:paraId="190F87AE" w14:textId="77777777" w:rsidR="00C75C77" w:rsidRPr="00AB021E" w:rsidRDefault="00C75C77" w:rsidP="00604AF1">
      <w:pPr>
        <w:pStyle w:val="BodyTextIndent"/>
        <w:ind w:left="0"/>
        <w:rPr>
          <w:rFonts w:ascii="Arial" w:hAnsi="Arial" w:cs="Arial"/>
        </w:rPr>
      </w:pPr>
    </w:p>
    <w:p w14:paraId="03D4E120" w14:textId="24FE4BA1" w:rsidR="00362E57" w:rsidRPr="00AB021E" w:rsidRDefault="00362E57" w:rsidP="00604AF1">
      <w:pPr>
        <w:pStyle w:val="BodyTextIndent"/>
        <w:numPr>
          <w:ilvl w:val="0"/>
          <w:numId w:val="3"/>
        </w:numPr>
        <w:ind w:left="1134"/>
        <w:rPr>
          <w:rFonts w:ascii="Arial" w:hAnsi="Arial" w:cs="Arial"/>
        </w:rPr>
      </w:pPr>
      <w:r w:rsidRPr="00AB021E">
        <w:rPr>
          <w:rFonts w:ascii="Arial" w:hAnsi="Arial" w:cs="Arial"/>
        </w:rPr>
        <w:t>Collect data on their workforce</w:t>
      </w:r>
      <w:r w:rsidR="00350962" w:rsidRPr="00AB021E">
        <w:rPr>
          <w:rFonts w:ascii="Arial" w:hAnsi="Arial" w:cs="Arial"/>
        </w:rPr>
        <w:t>.  T</w:t>
      </w:r>
      <w:r w:rsidRPr="00AB021E">
        <w:rPr>
          <w:rFonts w:ascii="Arial" w:hAnsi="Arial" w:cs="Arial"/>
        </w:rPr>
        <w:t>his includes both workforce data and staff survey data with analysis of data for each of the relevant metrics.</w:t>
      </w:r>
    </w:p>
    <w:p w14:paraId="18CD43F9" w14:textId="77777777" w:rsidR="00C466D5" w:rsidRPr="00AB021E" w:rsidRDefault="00C466D5" w:rsidP="00604AF1">
      <w:pPr>
        <w:pStyle w:val="BodyTextIndent"/>
        <w:ind w:left="1134"/>
        <w:rPr>
          <w:rFonts w:ascii="Arial" w:hAnsi="Arial" w:cs="Arial"/>
        </w:rPr>
      </w:pPr>
    </w:p>
    <w:p w14:paraId="15B5558A" w14:textId="65CE28EA" w:rsidR="00C466D5" w:rsidRPr="00AB021E" w:rsidRDefault="00362E57" w:rsidP="00604AF1">
      <w:pPr>
        <w:pStyle w:val="BodyTextIndent"/>
        <w:numPr>
          <w:ilvl w:val="0"/>
          <w:numId w:val="4"/>
        </w:numPr>
        <w:ind w:left="1134"/>
        <w:rPr>
          <w:b/>
          <w:bCs/>
        </w:rPr>
      </w:pPr>
      <w:r w:rsidRPr="00AB021E">
        <w:rPr>
          <w:rFonts w:ascii="Arial" w:hAnsi="Arial" w:cs="Arial"/>
        </w:rPr>
        <w:t>Produce an annual report and action plan</w:t>
      </w:r>
      <w:r w:rsidR="00350962" w:rsidRPr="00AB021E">
        <w:rPr>
          <w:rFonts w:ascii="Arial" w:hAnsi="Arial" w:cs="Arial"/>
        </w:rPr>
        <w:t>. T</w:t>
      </w:r>
      <w:r w:rsidRPr="00AB021E">
        <w:rPr>
          <w:rFonts w:ascii="Arial" w:hAnsi="Arial" w:cs="Arial"/>
        </w:rPr>
        <w:t xml:space="preserve">he report should show the results of the staff survey and workforce data for internal analyses and indicate the steps being taken to improve performance </w:t>
      </w:r>
      <w:r w:rsidR="00C75C77" w:rsidRPr="00AB021E">
        <w:rPr>
          <w:rFonts w:ascii="Arial" w:hAnsi="Arial" w:cs="Arial"/>
        </w:rPr>
        <w:t>against the relevant indicators, and</w:t>
      </w:r>
    </w:p>
    <w:p w14:paraId="689F5DCE" w14:textId="77777777" w:rsidR="00C466D5" w:rsidRPr="00AB021E" w:rsidRDefault="00C466D5" w:rsidP="00604AF1">
      <w:pPr>
        <w:pStyle w:val="BodyTextIndent"/>
        <w:ind w:left="1134"/>
        <w:rPr>
          <w:b/>
          <w:bCs/>
        </w:rPr>
      </w:pPr>
    </w:p>
    <w:p w14:paraId="44DE9D66" w14:textId="66D73398" w:rsidR="00362E57" w:rsidRPr="00AB021E" w:rsidRDefault="00362E57" w:rsidP="00604AF1">
      <w:pPr>
        <w:pStyle w:val="BodyTextIndent"/>
        <w:numPr>
          <w:ilvl w:val="0"/>
          <w:numId w:val="4"/>
        </w:numPr>
        <w:ind w:left="1134"/>
        <w:rPr>
          <w:b/>
          <w:bCs/>
        </w:rPr>
      </w:pPr>
      <w:r w:rsidRPr="00AB021E">
        <w:rPr>
          <w:rFonts w:ascii="Arial" w:hAnsi="Arial" w:cs="Arial"/>
        </w:rPr>
        <w:t>Publish the annual report and action plan</w:t>
      </w:r>
      <w:r w:rsidR="00350962" w:rsidRPr="00AB021E">
        <w:rPr>
          <w:rFonts w:ascii="Arial" w:hAnsi="Arial" w:cs="Arial"/>
        </w:rPr>
        <w:t>. C</w:t>
      </w:r>
      <w:r w:rsidRPr="00AB021E">
        <w:rPr>
          <w:rFonts w:ascii="Arial" w:hAnsi="Arial" w:cs="Arial"/>
        </w:rPr>
        <w:t>CGs will need to give consideration to how such data is published and what conclusions are drawn</w:t>
      </w:r>
      <w:r w:rsidR="00D4629C" w:rsidRPr="00AB021E">
        <w:rPr>
          <w:rFonts w:ascii="Arial" w:hAnsi="Arial" w:cs="Arial"/>
        </w:rPr>
        <w:t xml:space="preserve"> due to the small numbers of staff which could breach data protection. </w:t>
      </w:r>
      <w:r w:rsidR="001422EE" w:rsidRPr="00AB021E">
        <w:rPr>
          <w:rFonts w:ascii="Arial" w:hAnsi="Arial" w:cs="Arial"/>
        </w:rPr>
        <w:t xml:space="preserve">The number of staff reporting as BME or Disabled on ESR in some instances would be so small (5 or less) that the CCG believes it would be possible to identify individuals as a result of publication, therefore this information would be redacted prior to wider circulation. Where there are fewer than five individuals in a category, this number will be redacted and instead reported as </w:t>
      </w:r>
      <w:r w:rsidR="001422EE" w:rsidRPr="00AB021E">
        <w:rPr>
          <w:rFonts w:ascii="Arial" w:hAnsi="Arial" w:cs="Arial"/>
        </w:rPr>
        <w:lastRenderedPageBreak/>
        <w:t>&lt;5, in this</w:t>
      </w:r>
      <w:r w:rsidR="00291FA5" w:rsidRPr="00AB021E">
        <w:rPr>
          <w:rFonts w:ascii="Arial" w:hAnsi="Arial" w:cs="Arial"/>
        </w:rPr>
        <w:t xml:space="preserve"> </w:t>
      </w:r>
      <w:r w:rsidR="001422EE" w:rsidRPr="00AB021E">
        <w:rPr>
          <w:rFonts w:ascii="Arial" w:hAnsi="Arial" w:cs="Arial"/>
        </w:rPr>
        <w:t>report. However, the raw data submitted to NHS England is unredacted.</w:t>
      </w:r>
    </w:p>
    <w:p w14:paraId="2B492BAC" w14:textId="77777777" w:rsidR="00953DC4" w:rsidRPr="00AB021E" w:rsidRDefault="00953DC4" w:rsidP="00604AF1">
      <w:pPr>
        <w:pStyle w:val="BodyTextIndent"/>
        <w:ind w:left="0"/>
        <w:rPr>
          <w:rFonts w:ascii="Arial" w:hAnsi="Arial" w:cs="Arial"/>
        </w:rPr>
      </w:pPr>
      <w:r w:rsidRPr="00AB021E">
        <w:rPr>
          <w:rFonts w:ascii="Arial" w:hAnsi="Arial" w:cs="Arial"/>
        </w:rPr>
        <w:tab/>
      </w:r>
    </w:p>
    <w:p w14:paraId="311D2241" w14:textId="425A106E" w:rsidR="00C75C77" w:rsidRPr="00AB021E" w:rsidRDefault="00481EC7" w:rsidP="00B81B0E">
      <w:pPr>
        <w:spacing w:after="0"/>
        <w:rPr>
          <w:rFonts w:eastAsia="Times New Roman"/>
          <w:bCs/>
          <w:color w:val="auto"/>
          <w:szCs w:val="24"/>
        </w:rPr>
      </w:pPr>
      <w:r w:rsidRPr="00AB021E">
        <w:rPr>
          <w:rFonts w:eastAsia="Times New Roman"/>
          <w:bCs/>
          <w:color w:val="auto"/>
          <w:szCs w:val="24"/>
        </w:rPr>
        <w:t>The WRES</w:t>
      </w:r>
      <w:r w:rsidR="00F1650F" w:rsidRPr="00AB021E">
        <w:rPr>
          <w:rFonts w:eastAsia="Times New Roman"/>
          <w:bCs/>
          <w:color w:val="auto"/>
          <w:szCs w:val="24"/>
        </w:rPr>
        <w:t xml:space="preserve"> </w:t>
      </w:r>
      <w:r w:rsidR="00C466D5" w:rsidRPr="00AB021E">
        <w:rPr>
          <w:rFonts w:eastAsia="Times New Roman"/>
          <w:bCs/>
          <w:color w:val="auto"/>
          <w:szCs w:val="24"/>
        </w:rPr>
        <w:t>comprises</w:t>
      </w:r>
      <w:r w:rsidR="00F1650F" w:rsidRPr="00AB021E">
        <w:rPr>
          <w:rFonts w:eastAsia="Times New Roman"/>
          <w:bCs/>
          <w:color w:val="auto"/>
          <w:szCs w:val="24"/>
        </w:rPr>
        <w:t xml:space="preserve"> nine indicators and is mandated by NHS</w:t>
      </w:r>
      <w:r w:rsidR="00C75C77" w:rsidRPr="00AB021E">
        <w:rPr>
          <w:rFonts w:eastAsia="Times New Roman"/>
          <w:bCs/>
          <w:color w:val="auto"/>
          <w:szCs w:val="24"/>
        </w:rPr>
        <w:t xml:space="preserve"> </w:t>
      </w:r>
      <w:r w:rsidR="00F1650F" w:rsidRPr="00AB021E">
        <w:rPr>
          <w:rFonts w:eastAsia="Times New Roman"/>
          <w:bCs/>
          <w:color w:val="auto"/>
          <w:szCs w:val="24"/>
        </w:rPr>
        <w:t>E</w:t>
      </w:r>
      <w:r w:rsidR="00C75C77" w:rsidRPr="00AB021E">
        <w:rPr>
          <w:rFonts w:eastAsia="Times New Roman"/>
          <w:bCs/>
          <w:color w:val="auto"/>
          <w:szCs w:val="24"/>
        </w:rPr>
        <w:t>ngland</w:t>
      </w:r>
      <w:r w:rsidR="00F1650F" w:rsidRPr="00AB021E">
        <w:rPr>
          <w:rFonts w:eastAsia="Times New Roman"/>
          <w:bCs/>
          <w:color w:val="auto"/>
          <w:szCs w:val="24"/>
        </w:rPr>
        <w:t>.</w:t>
      </w:r>
      <w:r w:rsidR="00C466D5" w:rsidRPr="00AB021E">
        <w:rPr>
          <w:rFonts w:eastAsia="Times New Roman"/>
          <w:bCs/>
          <w:color w:val="auto"/>
          <w:szCs w:val="24"/>
        </w:rPr>
        <w:t xml:space="preserve"> The WDES comprises </w:t>
      </w:r>
      <w:r w:rsidR="00F1650F" w:rsidRPr="00AB021E">
        <w:rPr>
          <w:rFonts w:eastAsia="Times New Roman"/>
          <w:bCs/>
          <w:color w:val="auto"/>
          <w:szCs w:val="24"/>
        </w:rPr>
        <w:t>10 indicators</w:t>
      </w:r>
      <w:r w:rsidR="00C466D5" w:rsidRPr="00AB021E">
        <w:rPr>
          <w:rFonts w:eastAsia="Times New Roman"/>
          <w:bCs/>
          <w:color w:val="auto"/>
          <w:szCs w:val="24"/>
        </w:rPr>
        <w:t xml:space="preserve"> and </w:t>
      </w:r>
      <w:r w:rsidR="00B57DC7" w:rsidRPr="00AB021E">
        <w:rPr>
          <w:rFonts w:eastAsia="Times New Roman"/>
          <w:bCs/>
          <w:color w:val="auto"/>
          <w:szCs w:val="24"/>
        </w:rPr>
        <w:t>i</w:t>
      </w:r>
      <w:r w:rsidR="00F1650F" w:rsidRPr="00AB021E">
        <w:rPr>
          <w:rFonts w:eastAsia="Times New Roman"/>
          <w:bCs/>
          <w:color w:val="auto"/>
          <w:szCs w:val="24"/>
        </w:rPr>
        <w:t>t came into force on 1 April 2019. Mandatory reporting on WDES is restricted to NHS Trusts and Foundation Trusts for the first two years of implementati</w:t>
      </w:r>
      <w:r w:rsidR="00C466D5" w:rsidRPr="00AB021E">
        <w:rPr>
          <w:rFonts w:eastAsia="Times New Roman"/>
          <w:bCs/>
          <w:color w:val="auto"/>
          <w:szCs w:val="24"/>
        </w:rPr>
        <w:t>on.</w:t>
      </w:r>
      <w:r w:rsidRPr="00AB021E">
        <w:rPr>
          <w:rFonts w:eastAsia="Times New Roman"/>
          <w:bCs/>
          <w:color w:val="auto"/>
          <w:szCs w:val="24"/>
        </w:rPr>
        <w:t xml:space="preserve"> </w:t>
      </w:r>
    </w:p>
    <w:p w14:paraId="45B7D701" w14:textId="77777777" w:rsidR="00604AF1" w:rsidRPr="00AB021E" w:rsidRDefault="00604AF1" w:rsidP="00604AF1">
      <w:pPr>
        <w:spacing w:after="0"/>
        <w:ind w:left="720" w:hanging="720"/>
        <w:rPr>
          <w:rFonts w:eastAsia="Times New Roman"/>
          <w:bCs/>
          <w:color w:val="auto"/>
          <w:szCs w:val="24"/>
        </w:rPr>
      </w:pPr>
    </w:p>
    <w:p w14:paraId="38C00E77" w14:textId="6B554C39" w:rsidR="00955A3C" w:rsidRPr="00AB021E" w:rsidRDefault="00955A3C" w:rsidP="00604AF1">
      <w:pPr>
        <w:spacing w:after="0"/>
        <w:ind w:left="720" w:hanging="720"/>
        <w:rPr>
          <w:rFonts w:eastAsia="Times New Roman"/>
          <w:bCs/>
          <w:color w:val="auto"/>
          <w:szCs w:val="24"/>
        </w:rPr>
      </w:pPr>
      <w:r w:rsidRPr="00AB021E">
        <w:rPr>
          <w:rFonts w:eastAsia="Times New Roman"/>
          <w:bCs/>
          <w:color w:val="auto"/>
          <w:szCs w:val="24"/>
        </w:rPr>
        <w:t>The indicators of both standards</w:t>
      </w:r>
      <w:r w:rsidR="00481EC7" w:rsidRPr="00AB021E">
        <w:rPr>
          <w:rFonts w:eastAsia="Times New Roman"/>
          <w:bCs/>
          <w:color w:val="auto"/>
          <w:szCs w:val="24"/>
        </w:rPr>
        <w:t xml:space="preserve"> are </w:t>
      </w:r>
      <w:r w:rsidRPr="00AB021E">
        <w:rPr>
          <w:rFonts w:eastAsia="Times New Roman"/>
          <w:bCs/>
          <w:color w:val="auto"/>
          <w:szCs w:val="24"/>
        </w:rPr>
        <w:t>intended</w:t>
      </w:r>
      <w:r w:rsidR="00481EC7" w:rsidRPr="00AB021E">
        <w:rPr>
          <w:rFonts w:eastAsia="Times New Roman"/>
          <w:bCs/>
          <w:color w:val="auto"/>
          <w:szCs w:val="24"/>
        </w:rPr>
        <w:t xml:space="preserve"> to highlight</w:t>
      </w:r>
      <w:r w:rsidRPr="00AB021E">
        <w:rPr>
          <w:rFonts w:eastAsia="Times New Roman"/>
          <w:bCs/>
          <w:color w:val="auto"/>
          <w:szCs w:val="24"/>
        </w:rPr>
        <w:t xml:space="preserve"> and reflect:</w:t>
      </w:r>
    </w:p>
    <w:p w14:paraId="3AF7C18C" w14:textId="498D8626" w:rsidR="00955A3C"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T</w:t>
      </w:r>
      <w:r w:rsidR="00481EC7" w:rsidRPr="00AB021E">
        <w:rPr>
          <w:rFonts w:eastAsia="Times New Roman"/>
          <w:bCs/>
          <w:color w:val="auto"/>
          <w:szCs w:val="24"/>
        </w:rPr>
        <w:t xml:space="preserve">he overall representation of BME </w:t>
      </w:r>
      <w:r w:rsidR="00C047A7" w:rsidRPr="00AB021E">
        <w:rPr>
          <w:rFonts w:eastAsia="Times New Roman"/>
          <w:bCs/>
          <w:color w:val="auto"/>
          <w:szCs w:val="24"/>
        </w:rPr>
        <w:t xml:space="preserve">and disabled </w:t>
      </w:r>
      <w:r w:rsidR="00481EC7" w:rsidRPr="00AB021E">
        <w:rPr>
          <w:rFonts w:eastAsia="Times New Roman"/>
          <w:bCs/>
          <w:color w:val="auto"/>
          <w:szCs w:val="24"/>
        </w:rPr>
        <w:t>staff in the CCG, across the pay structure</w:t>
      </w:r>
      <w:r w:rsidR="00C75C77" w:rsidRPr="00AB021E">
        <w:rPr>
          <w:rFonts w:eastAsia="Times New Roman"/>
          <w:bCs/>
          <w:color w:val="auto"/>
          <w:szCs w:val="24"/>
        </w:rPr>
        <w:t>.</w:t>
      </w:r>
    </w:p>
    <w:p w14:paraId="4DC8FB4A" w14:textId="12DC0CFA" w:rsidR="00955A3C"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Th</w:t>
      </w:r>
      <w:r w:rsidR="00481EC7" w:rsidRPr="00AB021E">
        <w:rPr>
          <w:rFonts w:eastAsia="Times New Roman"/>
          <w:bCs/>
          <w:color w:val="auto"/>
          <w:szCs w:val="24"/>
        </w:rPr>
        <w:t xml:space="preserve">e relative likelihood of BME </w:t>
      </w:r>
      <w:r w:rsidR="00C047A7" w:rsidRPr="00AB021E">
        <w:rPr>
          <w:rFonts w:eastAsia="Times New Roman"/>
          <w:bCs/>
          <w:color w:val="auto"/>
          <w:szCs w:val="24"/>
        </w:rPr>
        <w:t xml:space="preserve">and disabled </w:t>
      </w:r>
      <w:r w:rsidR="00481EC7" w:rsidRPr="00AB021E">
        <w:rPr>
          <w:rFonts w:eastAsia="Times New Roman"/>
          <w:bCs/>
          <w:color w:val="auto"/>
          <w:szCs w:val="24"/>
        </w:rPr>
        <w:t xml:space="preserve">candidates </w:t>
      </w:r>
      <w:r w:rsidR="00C75C77" w:rsidRPr="00AB021E">
        <w:rPr>
          <w:rFonts w:eastAsia="Times New Roman"/>
          <w:bCs/>
          <w:color w:val="auto"/>
          <w:szCs w:val="24"/>
        </w:rPr>
        <w:t>being shortlisted and appointed.</w:t>
      </w:r>
    </w:p>
    <w:p w14:paraId="325D2126" w14:textId="6790409C" w:rsidR="00955A3C" w:rsidRPr="00AB021E" w:rsidRDefault="00C047A7" w:rsidP="00C047A7">
      <w:pPr>
        <w:numPr>
          <w:ilvl w:val="0"/>
          <w:numId w:val="1"/>
        </w:numPr>
        <w:spacing w:after="0"/>
        <w:ind w:left="1134"/>
        <w:rPr>
          <w:rFonts w:eastAsia="Times New Roman"/>
          <w:bCs/>
          <w:color w:val="auto"/>
          <w:szCs w:val="24"/>
        </w:rPr>
      </w:pPr>
      <w:r w:rsidRPr="00AB021E">
        <w:rPr>
          <w:rFonts w:eastAsia="Times New Roman"/>
          <w:bCs/>
          <w:color w:val="auto"/>
          <w:szCs w:val="24"/>
        </w:rPr>
        <w:t xml:space="preserve">Relative likelihood of </w:t>
      </w:r>
      <w:r w:rsidR="00955A3C" w:rsidRPr="00AB021E">
        <w:rPr>
          <w:rFonts w:eastAsia="Times New Roman"/>
          <w:bCs/>
          <w:color w:val="auto"/>
          <w:szCs w:val="24"/>
        </w:rPr>
        <w:t>BME</w:t>
      </w:r>
      <w:r w:rsidRPr="00AB021E">
        <w:rPr>
          <w:rFonts w:eastAsia="Times New Roman"/>
          <w:bCs/>
          <w:color w:val="auto"/>
          <w:szCs w:val="24"/>
        </w:rPr>
        <w:t xml:space="preserve"> or disabled</w:t>
      </w:r>
      <w:r w:rsidR="00955A3C" w:rsidRPr="00AB021E">
        <w:rPr>
          <w:rFonts w:eastAsia="Times New Roman"/>
          <w:bCs/>
          <w:color w:val="auto"/>
          <w:szCs w:val="24"/>
        </w:rPr>
        <w:t xml:space="preserve"> staff entering the formal disciplinary process</w:t>
      </w:r>
      <w:r w:rsidR="00C75C77" w:rsidRPr="00AB021E">
        <w:rPr>
          <w:rFonts w:eastAsia="Times New Roman"/>
          <w:bCs/>
          <w:color w:val="auto"/>
          <w:szCs w:val="24"/>
        </w:rPr>
        <w:t>.</w:t>
      </w:r>
    </w:p>
    <w:p w14:paraId="39CD6B6C" w14:textId="77777777" w:rsidR="00481EC7"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Uptake of non-mandatory training</w:t>
      </w:r>
      <w:r w:rsidR="00C75C77" w:rsidRPr="00AB021E">
        <w:rPr>
          <w:rFonts w:eastAsia="Times New Roman"/>
          <w:bCs/>
          <w:color w:val="auto"/>
          <w:szCs w:val="24"/>
        </w:rPr>
        <w:t>.</w:t>
      </w:r>
    </w:p>
    <w:p w14:paraId="189EE60E" w14:textId="77777777" w:rsidR="00955A3C"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Staff experience of bullying and harassment</w:t>
      </w:r>
      <w:r w:rsidR="00C75C77" w:rsidRPr="00AB021E">
        <w:rPr>
          <w:rFonts w:eastAsia="Times New Roman"/>
          <w:bCs/>
          <w:color w:val="auto"/>
          <w:szCs w:val="24"/>
        </w:rPr>
        <w:t>.</w:t>
      </w:r>
    </w:p>
    <w:p w14:paraId="22EC5611" w14:textId="021B8CCF" w:rsidR="00955A3C"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Staff experience of whether the organisation provides equal opportunities</w:t>
      </w:r>
      <w:r w:rsidR="00C047A7" w:rsidRPr="00AB021E">
        <w:rPr>
          <w:rFonts w:eastAsia="Times New Roman"/>
          <w:bCs/>
          <w:color w:val="auto"/>
          <w:szCs w:val="24"/>
        </w:rPr>
        <w:t xml:space="preserve"> and value their work</w:t>
      </w:r>
      <w:r w:rsidR="00C75C77" w:rsidRPr="00AB021E">
        <w:rPr>
          <w:rFonts w:eastAsia="Times New Roman"/>
          <w:bCs/>
          <w:color w:val="auto"/>
          <w:szCs w:val="24"/>
        </w:rPr>
        <w:t>, and</w:t>
      </w:r>
    </w:p>
    <w:p w14:paraId="75F59F9D" w14:textId="0E59372F" w:rsidR="00C047A7" w:rsidRPr="00AB021E" w:rsidRDefault="00C047A7" w:rsidP="00604AF1">
      <w:pPr>
        <w:numPr>
          <w:ilvl w:val="0"/>
          <w:numId w:val="1"/>
        </w:numPr>
        <w:spacing w:after="0"/>
        <w:ind w:left="1134"/>
        <w:rPr>
          <w:rFonts w:eastAsia="Times New Roman"/>
          <w:bCs/>
          <w:color w:val="auto"/>
          <w:szCs w:val="24"/>
        </w:rPr>
      </w:pPr>
      <w:r w:rsidRPr="00AB021E">
        <w:rPr>
          <w:rFonts w:eastAsia="Times New Roman"/>
          <w:bCs/>
          <w:color w:val="auto"/>
          <w:szCs w:val="24"/>
        </w:rPr>
        <w:t>For the WDES the extent to which disabled staff feel reasonable adjustments are made</w:t>
      </w:r>
    </w:p>
    <w:p w14:paraId="5FAE9FBE" w14:textId="77777777" w:rsidR="00955A3C" w:rsidRPr="00AB021E" w:rsidRDefault="00955A3C" w:rsidP="00604AF1">
      <w:pPr>
        <w:numPr>
          <w:ilvl w:val="0"/>
          <w:numId w:val="1"/>
        </w:numPr>
        <w:spacing w:after="0"/>
        <w:ind w:left="1134"/>
        <w:rPr>
          <w:rFonts w:eastAsia="Times New Roman"/>
          <w:bCs/>
          <w:color w:val="auto"/>
          <w:szCs w:val="24"/>
        </w:rPr>
      </w:pPr>
      <w:r w:rsidRPr="00AB021E">
        <w:rPr>
          <w:rFonts w:eastAsia="Times New Roman"/>
          <w:bCs/>
          <w:color w:val="auto"/>
          <w:szCs w:val="24"/>
        </w:rPr>
        <w:t>Board representation</w:t>
      </w:r>
      <w:r w:rsidR="00C75C77" w:rsidRPr="00AB021E">
        <w:rPr>
          <w:rFonts w:eastAsia="Times New Roman"/>
          <w:bCs/>
          <w:color w:val="auto"/>
          <w:szCs w:val="24"/>
        </w:rPr>
        <w:t>.</w:t>
      </w:r>
    </w:p>
    <w:p w14:paraId="4933267F" w14:textId="77777777" w:rsidR="00604AF1" w:rsidRPr="00AB021E" w:rsidRDefault="00604AF1" w:rsidP="00604AF1">
      <w:pPr>
        <w:spacing w:after="0"/>
        <w:ind w:left="720" w:hanging="720"/>
        <w:rPr>
          <w:rFonts w:eastAsia="Times New Roman"/>
          <w:bCs/>
          <w:color w:val="auto"/>
          <w:szCs w:val="24"/>
        </w:rPr>
      </w:pPr>
    </w:p>
    <w:p w14:paraId="4A58B43F" w14:textId="371807D6" w:rsidR="00863EF6" w:rsidRPr="00AB021E" w:rsidRDefault="00863EF6" w:rsidP="0010393E">
      <w:pPr>
        <w:spacing w:after="0"/>
        <w:rPr>
          <w:rFonts w:eastAsia="Times New Roman"/>
          <w:bCs/>
          <w:color w:val="auto"/>
          <w:szCs w:val="24"/>
        </w:rPr>
      </w:pPr>
      <w:r w:rsidRPr="00AB021E">
        <w:rPr>
          <w:rFonts w:eastAsia="Times New Roman"/>
          <w:bCs/>
          <w:color w:val="auto"/>
          <w:szCs w:val="24"/>
        </w:rPr>
        <w:t xml:space="preserve">Both </w:t>
      </w:r>
      <w:r w:rsidR="00FD7B0B" w:rsidRPr="00AB021E">
        <w:rPr>
          <w:rFonts w:eastAsia="Times New Roman"/>
          <w:bCs/>
          <w:color w:val="auto"/>
          <w:szCs w:val="24"/>
        </w:rPr>
        <w:t xml:space="preserve">sets of indicators </w:t>
      </w:r>
      <w:r w:rsidRPr="00AB021E">
        <w:rPr>
          <w:rFonts w:eastAsia="Times New Roman"/>
          <w:bCs/>
          <w:color w:val="auto"/>
          <w:szCs w:val="24"/>
        </w:rPr>
        <w:t>highlight any differences between the experience and treatment of BME and disabled staff and candidates in the CCG, with a view to closing those gaps through the development and implementation of action plans focused upon continuous improvement over time</w:t>
      </w:r>
      <w:r w:rsidR="00B57DC7" w:rsidRPr="00AB021E">
        <w:rPr>
          <w:rFonts w:eastAsia="Times New Roman"/>
          <w:bCs/>
          <w:color w:val="auto"/>
          <w:szCs w:val="24"/>
        </w:rPr>
        <w:t>.</w:t>
      </w:r>
    </w:p>
    <w:p w14:paraId="4807B41F" w14:textId="77777777" w:rsidR="00604AF1" w:rsidRPr="00AB021E" w:rsidRDefault="00604AF1" w:rsidP="00604AF1">
      <w:pPr>
        <w:spacing w:after="0"/>
        <w:ind w:left="720" w:hanging="720"/>
        <w:rPr>
          <w:rFonts w:eastAsia="Times New Roman"/>
          <w:bCs/>
          <w:color w:val="auto"/>
          <w:szCs w:val="24"/>
        </w:rPr>
      </w:pPr>
    </w:p>
    <w:p w14:paraId="6A95DDEE" w14:textId="1435FBDC" w:rsidR="00481EC7" w:rsidRPr="00AB021E" w:rsidRDefault="00955A3C" w:rsidP="0010393E">
      <w:pPr>
        <w:spacing w:after="0"/>
        <w:rPr>
          <w:rFonts w:eastAsia="Times New Roman"/>
          <w:bCs/>
          <w:color w:val="auto"/>
          <w:szCs w:val="24"/>
        </w:rPr>
      </w:pPr>
      <w:r w:rsidRPr="00AB021E">
        <w:rPr>
          <w:rFonts w:eastAsia="Times New Roman"/>
          <w:bCs/>
          <w:color w:val="auto"/>
          <w:szCs w:val="24"/>
        </w:rPr>
        <w:t>An action plan to address issues highlighted by the data is required</w:t>
      </w:r>
      <w:r w:rsidR="00FD7B0B" w:rsidRPr="00AB021E">
        <w:rPr>
          <w:rFonts w:eastAsia="Times New Roman"/>
          <w:bCs/>
          <w:color w:val="auto"/>
          <w:szCs w:val="24"/>
        </w:rPr>
        <w:t xml:space="preserve"> </w:t>
      </w:r>
      <w:r w:rsidR="00D177C9">
        <w:rPr>
          <w:rFonts w:eastAsia="Times New Roman"/>
          <w:bCs/>
          <w:color w:val="auto"/>
          <w:szCs w:val="24"/>
        </w:rPr>
        <w:t>(see</w:t>
      </w:r>
      <w:r w:rsidR="00452587" w:rsidRPr="00AB021E">
        <w:rPr>
          <w:rFonts w:eastAsia="Times New Roman"/>
          <w:bCs/>
          <w:color w:val="auto"/>
          <w:szCs w:val="24"/>
        </w:rPr>
        <w:t xml:space="preserve"> </w:t>
      </w:r>
      <w:r w:rsidRPr="00AB021E">
        <w:rPr>
          <w:rFonts w:eastAsia="Times New Roman"/>
          <w:bCs/>
          <w:color w:val="auto"/>
          <w:szCs w:val="24"/>
        </w:rPr>
        <w:t xml:space="preserve">Appendix </w:t>
      </w:r>
      <w:r w:rsidR="00AB021E">
        <w:rPr>
          <w:rFonts w:eastAsia="Times New Roman"/>
          <w:bCs/>
          <w:color w:val="auto"/>
          <w:szCs w:val="24"/>
        </w:rPr>
        <w:t>2</w:t>
      </w:r>
      <w:r w:rsidR="00D177C9">
        <w:rPr>
          <w:rFonts w:eastAsia="Times New Roman"/>
          <w:bCs/>
          <w:color w:val="auto"/>
          <w:szCs w:val="24"/>
        </w:rPr>
        <w:t>)</w:t>
      </w:r>
      <w:r w:rsidRPr="00AB021E">
        <w:rPr>
          <w:rFonts w:eastAsia="Times New Roman"/>
          <w:bCs/>
          <w:color w:val="auto"/>
          <w:szCs w:val="24"/>
        </w:rPr>
        <w:t xml:space="preserve"> and is incorporated into the current</w:t>
      </w:r>
      <w:r w:rsidR="00D177C9">
        <w:rPr>
          <w:rFonts w:eastAsia="Times New Roman"/>
          <w:bCs/>
          <w:color w:val="auto"/>
          <w:szCs w:val="24"/>
        </w:rPr>
        <w:t xml:space="preserve"> NLCCG</w:t>
      </w:r>
      <w:r w:rsidRPr="00AB021E">
        <w:rPr>
          <w:rFonts w:eastAsia="Times New Roman"/>
          <w:bCs/>
          <w:color w:val="auto"/>
          <w:szCs w:val="24"/>
        </w:rPr>
        <w:t xml:space="preserve"> </w:t>
      </w:r>
      <w:r w:rsidR="00C047A7" w:rsidRPr="00AB021E">
        <w:rPr>
          <w:rFonts w:eastAsia="Times New Roman"/>
          <w:bCs/>
          <w:color w:val="auto"/>
          <w:szCs w:val="24"/>
        </w:rPr>
        <w:t>EDI Outcomes</w:t>
      </w:r>
      <w:r w:rsidRPr="00AB021E">
        <w:rPr>
          <w:rFonts w:eastAsia="Times New Roman"/>
          <w:bCs/>
          <w:color w:val="auto"/>
          <w:szCs w:val="24"/>
        </w:rPr>
        <w:t xml:space="preserve"> Plan.</w:t>
      </w:r>
    </w:p>
    <w:p w14:paraId="126FD70B" w14:textId="77777777" w:rsidR="00604AF1" w:rsidRPr="00AB021E" w:rsidRDefault="00604AF1" w:rsidP="00604AF1">
      <w:pPr>
        <w:spacing w:after="0"/>
        <w:ind w:left="720" w:hanging="720"/>
        <w:rPr>
          <w:rFonts w:eastAsia="Times New Roman"/>
          <w:bCs/>
          <w:color w:val="auto"/>
          <w:szCs w:val="24"/>
        </w:rPr>
      </w:pPr>
    </w:p>
    <w:p w14:paraId="679983D4" w14:textId="4421C29C" w:rsidR="00955A3C" w:rsidRPr="00AB021E" w:rsidRDefault="00955A3C" w:rsidP="0010393E">
      <w:pPr>
        <w:pStyle w:val="Heading2"/>
        <w:rPr>
          <w:rFonts w:eastAsia="Times New Roman"/>
          <w:sz w:val="24"/>
          <w:szCs w:val="24"/>
        </w:rPr>
      </w:pPr>
      <w:r w:rsidRPr="00AB021E">
        <w:rPr>
          <w:rFonts w:eastAsia="Times New Roman"/>
          <w:sz w:val="24"/>
          <w:szCs w:val="24"/>
        </w:rPr>
        <w:t>E</w:t>
      </w:r>
      <w:r w:rsidR="00F93468" w:rsidRPr="00AB021E">
        <w:rPr>
          <w:rFonts w:eastAsia="Times New Roman"/>
          <w:sz w:val="24"/>
          <w:szCs w:val="24"/>
        </w:rPr>
        <w:t>quality Delivery System (E</w:t>
      </w:r>
      <w:r w:rsidRPr="00AB021E">
        <w:rPr>
          <w:rFonts w:eastAsia="Times New Roman"/>
          <w:sz w:val="24"/>
          <w:szCs w:val="24"/>
        </w:rPr>
        <w:t>DS</w:t>
      </w:r>
      <w:r w:rsidR="00F93468" w:rsidRPr="00AB021E">
        <w:rPr>
          <w:rFonts w:eastAsia="Times New Roman"/>
          <w:sz w:val="24"/>
          <w:szCs w:val="24"/>
        </w:rPr>
        <w:t>)</w:t>
      </w:r>
    </w:p>
    <w:p w14:paraId="005C65B8" w14:textId="6193A9B2" w:rsidR="00F93468" w:rsidRPr="00AB021E" w:rsidRDefault="00F93468" w:rsidP="0010393E">
      <w:pPr>
        <w:spacing w:after="0"/>
        <w:rPr>
          <w:rFonts w:eastAsia="Times New Roman"/>
          <w:bCs/>
          <w:color w:val="auto"/>
          <w:szCs w:val="24"/>
        </w:rPr>
      </w:pPr>
    </w:p>
    <w:p w14:paraId="1078C9FE" w14:textId="3A83E0CA" w:rsidR="00F93468" w:rsidRPr="00AB021E" w:rsidRDefault="00F93468" w:rsidP="00F93468">
      <w:pPr>
        <w:spacing w:line="276" w:lineRule="auto"/>
        <w:rPr>
          <w:bCs/>
          <w:color w:val="auto"/>
          <w:szCs w:val="24"/>
        </w:rPr>
      </w:pPr>
      <w:r w:rsidRPr="00AB021E">
        <w:rPr>
          <w:bCs/>
          <w:color w:val="auto"/>
          <w:szCs w:val="24"/>
        </w:rPr>
        <w:t xml:space="preserve">The Equality Delivery System (EDS) is a toolkit and framework for assessing how NHS organisations are performing with regard to equality, diversity and human rights.  The CCG undertook implementation of EDS in 2012 (EDS1) and again in 2015 (EDS2). This process included engagement of staff and local equality interest groups which informed the CCG’s subsequent equality plans. The CCG is required to undertake an assessment of the EDS every four years, however given that the EDS is currently under review by NHS England and the launch of the anticipated new version (EDS3) has been delayed, the CCG is working towards a limited EDS implementation plan to consolidate stakeholder networks of local interest </w:t>
      </w:r>
      <w:proofErr w:type="gramStart"/>
      <w:r w:rsidRPr="00AB021E">
        <w:rPr>
          <w:bCs/>
          <w:color w:val="auto"/>
          <w:szCs w:val="24"/>
        </w:rPr>
        <w:t>groups, and</w:t>
      </w:r>
      <w:proofErr w:type="gramEnd"/>
      <w:r w:rsidRPr="00AB021E">
        <w:rPr>
          <w:bCs/>
          <w:color w:val="auto"/>
          <w:szCs w:val="24"/>
        </w:rPr>
        <w:t xml:space="preserve"> lay the foundations for the ICS to apply the EDS in a meaningful way.</w:t>
      </w:r>
    </w:p>
    <w:p w14:paraId="78E1FB76" w14:textId="77777777" w:rsidR="00F93468" w:rsidRPr="00AB021E" w:rsidRDefault="00F93468" w:rsidP="0010393E">
      <w:pPr>
        <w:spacing w:after="0"/>
        <w:rPr>
          <w:rFonts w:eastAsia="Times New Roman"/>
          <w:bCs/>
          <w:color w:val="auto"/>
          <w:szCs w:val="24"/>
        </w:rPr>
      </w:pPr>
    </w:p>
    <w:p w14:paraId="0F024389" w14:textId="34ACDFE6" w:rsidR="00481EC7" w:rsidRPr="00AB021E" w:rsidRDefault="001422EE" w:rsidP="0010393E">
      <w:pPr>
        <w:pStyle w:val="Heading1"/>
        <w:rPr>
          <w:sz w:val="24"/>
          <w:szCs w:val="24"/>
        </w:rPr>
      </w:pPr>
      <w:r w:rsidRPr="00AB021E">
        <w:rPr>
          <w:sz w:val="24"/>
          <w:szCs w:val="24"/>
        </w:rPr>
        <w:lastRenderedPageBreak/>
        <w:t xml:space="preserve">WRES </w:t>
      </w:r>
    </w:p>
    <w:p w14:paraId="42A3E9EB" w14:textId="2551A26E" w:rsidR="00DF116A" w:rsidRDefault="00DF116A" w:rsidP="00DF116A">
      <w:pPr>
        <w:pStyle w:val="Heading2"/>
      </w:pPr>
      <w:r>
        <w:t xml:space="preserve">Information </w:t>
      </w:r>
    </w:p>
    <w:p w14:paraId="693267CA" w14:textId="4E69F842" w:rsidR="00AB021E" w:rsidRPr="006D0F54" w:rsidRDefault="00291FA5" w:rsidP="006D0F54">
      <w:pPr>
        <w:pStyle w:val="Heading2"/>
        <w:numPr>
          <w:ilvl w:val="0"/>
          <w:numId w:val="0"/>
        </w:numPr>
        <w:spacing w:after="0"/>
        <w:rPr>
          <w:rFonts w:eastAsia="Times New Roman"/>
          <w:b w:val="0"/>
          <w:bCs/>
          <w:color w:val="auto"/>
          <w:sz w:val="24"/>
          <w:szCs w:val="24"/>
        </w:rPr>
      </w:pPr>
      <w:r w:rsidRPr="00AB021E">
        <w:rPr>
          <w:rFonts w:cs="Arial"/>
          <w:b w:val="0"/>
          <w:bCs/>
          <w:sz w:val="24"/>
          <w:szCs w:val="24"/>
        </w:rPr>
        <w:t>Appendix 1 contains the 202</w:t>
      </w:r>
      <w:r w:rsidRPr="00AB021E">
        <w:rPr>
          <w:b w:val="0"/>
          <w:bCs/>
          <w:sz w:val="24"/>
          <w:szCs w:val="24"/>
        </w:rPr>
        <w:t>1</w:t>
      </w:r>
      <w:r w:rsidRPr="00AB021E">
        <w:rPr>
          <w:rFonts w:cs="Arial"/>
          <w:b w:val="0"/>
          <w:bCs/>
          <w:sz w:val="24"/>
          <w:szCs w:val="24"/>
        </w:rPr>
        <w:t xml:space="preserve"> Workforce Race Equality Standard data submitted o</w:t>
      </w:r>
      <w:r w:rsidRPr="00AB021E">
        <w:rPr>
          <w:b w:val="0"/>
          <w:bCs/>
          <w:sz w:val="24"/>
          <w:szCs w:val="24"/>
        </w:rPr>
        <w:t>n</w:t>
      </w:r>
      <w:r w:rsidR="00AB021E">
        <w:rPr>
          <w:b w:val="0"/>
          <w:bCs/>
          <w:sz w:val="24"/>
          <w:szCs w:val="24"/>
        </w:rPr>
        <w:t xml:space="preserve"> </w:t>
      </w:r>
      <w:r w:rsidR="00D177C9">
        <w:rPr>
          <w:b w:val="0"/>
          <w:bCs/>
          <w:sz w:val="24"/>
          <w:szCs w:val="24"/>
        </w:rPr>
        <w:t>30</w:t>
      </w:r>
      <w:r w:rsidR="00D177C9" w:rsidRPr="00D177C9">
        <w:rPr>
          <w:b w:val="0"/>
          <w:bCs/>
          <w:sz w:val="24"/>
          <w:szCs w:val="24"/>
          <w:vertAlign w:val="superscript"/>
        </w:rPr>
        <w:t>th</w:t>
      </w:r>
      <w:r w:rsidR="00D177C9">
        <w:rPr>
          <w:b w:val="0"/>
          <w:bCs/>
          <w:sz w:val="24"/>
          <w:szCs w:val="24"/>
        </w:rPr>
        <w:t xml:space="preserve"> </w:t>
      </w:r>
      <w:r w:rsidR="00D177C9" w:rsidRPr="00AB021E">
        <w:rPr>
          <w:rFonts w:cs="Arial"/>
          <w:b w:val="0"/>
          <w:bCs/>
          <w:sz w:val="24"/>
          <w:szCs w:val="24"/>
        </w:rPr>
        <w:t>August</w:t>
      </w:r>
      <w:r w:rsidRPr="00AB021E">
        <w:rPr>
          <w:rFonts w:cs="Arial"/>
          <w:b w:val="0"/>
          <w:bCs/>
          <w:sz w:val="24"/>
          <w:szCs w:val="24"/>
        </w:rPr>
        <w:t xml:space="preserve"> 2020 to NHS England </w:t>
      </w:r>
      <w:r w:rsidR="00D177C9">
        <w:rPr>
          <w:rFonts w:cs="Arial"/>
          <w:b w:val="0"/>
          <w:bCs/>
          <w:sz w:val="24"/>
          <w:szCs w:val="24"/>
        </w:rPr>
        <w:t xml:space="preserve">which provided the position </w:t>
      </w:r>
      <w:r w:rsidRPr="00AB021E">
        <w:rPr>
          <w:rFonts w:cs="Arial"/>
          <w:b w:val="0"/>
          <w:bCs/>
          <w:sz w:val="24"/>
          <w:szCs w:val="24"/>
        </w:rPr>
        <w:t xml:space="preserve">as </w:t>
      </w:r>
      <w:proofErr w:type="gramStart"/>
      <w:r w:rsidR="00D177C9">
        <w:rPr>
          <w:rFonts w:cs="Arial"/>
          <w:b w:val="0"/>
          <w:bCs/>
          <w:sz w:val="24"/>
          <w:szCs w:val="24"/>
        </w:rPr>
        <w:t>at</w:t>
      </w:r>
      <w:proofErr w:type="gramEnd"/>
      <w:r w:rsidRPr="00AB021E">
        <w:rPr>
          <w:rFonts w:cs="Arial"/>
          <w:b w:val="0"/>
          <w:bCs/>
          <w:sz w:val="24"/>
          <w:szCs w:val="24"/>
        </w:rPr>
        <w:t xml:space="preserve"> 31</w:t>
      </w:r>
      <w:r w:rsidRPr="00AB021E">
        <w:rPr>
          <w:rFonts w:cs="Arial"/>
          <w:b w:val="0"/>
          <w:bCs/>
          <w:sz w:val="24"/>
          <w:szCs w:val="24"/>
          <w:vertAlign w:val="superscript"/>
        </w:rPr>
        <w:t>st</w:t>
      </w:r>
      <w:r w:rsidRPr="00AB021E">
        <w:rPr>
          <w:rFonts w:cs="Arial"/>
          <w:b w:val="0"/>
          <w:bCs/>
          <w:sz w:val="24"/>
          <w:szCs w:val="24"/>
        </w:rPr>
        <w:t xml:space="preserve"> March 202</w:t>
      </w:r>
      <w:r w:rsidRPr="00AB021E">
        <w:rPr>
          <w:b w:val="0"/>
          <w:bCs/>
          <w:sz w:val="24"/>
          <w:szCs w:val="24"/>
        </w:rPr>
        <w:t>1</w:t>
      </w:r>
      <w:r w:rsidRPr="00AB021E">
        <w:rPr>
          <w:rFonts w:cs="Arial"/>
          <w:b w:val="0"/>
          <w:bCs/>
          <w:sz w:val="24"/>
          <w:szCs w:val="24"/>
        </w:rPr>
        <w:t xml:space="preserve">.   The WRES submission is required to be submitted on an annual basis </w:t>
      </w:r>
      <w:r w:rsidR="00D177C9" w:rsidRPr="00AB021E">
        <w:rPr>
          <w:rFonts w:cs="Arial"/>
          <w:b w:val="0"/>
          <w:bCs/>
          <w:sz w:val="24"/>
          <w:szCs w:val="24"/>
        </w:rPr>
        <w:t>in line</w:t>
      </w:r>
      <w:r w:rsidRPr="00AB021E">
        <w:rPr>
          <w:rFonts w:cs="Arial"/>
          <w:b w:val="0"/>
          <w:bCs/>
          <w:sz w:val="24"/>
          <w:szCs w:val="24"/>
        </w:rPr>
        <w:t xml:space="preserve"> with the timescales advised by NHSE. The spreadsheet was populated based on data provided by HR Humber</w:t>
      </w:r>
      <w:r w:rsidR="006D0F54">
        <w:rPr>
          <w:rFonts w:cs="Arial"/>
          <w:b w:val="0"/>
          <w:bCs/>
          <w:sz w:val="24"/>
          <w:szCs w:val="24"/>
        </w:rPr>
        <w:t xml:space="preserve"> and the Business Management team</w:t>
      </w:r>
      <w:r w:rsidRPr="00AB021E">
        <w:rPr>
          <w:rFonts w:cs="Arial"/>
          <w:b w:val="0"/>
          <w:bCs/>
          <w:sz w:val="24"/>
          <w:szCs w:val="24"/>
        </w:rPr>
        <w:t xml:space="preserve">. </w:t>
      </w:r>
      <w:r w:rsidR="00AD7E9C" w:rsidRPr="00AB021E">
        <w:rPr>
          <w:rFonts w:cs="Arial"/>
          <w:b w:val="0"/>
          <w:bCs/>
          <w:sz w:val="24"/>
          <w:szCs w:val="24"/>
        </w:rPr>
        <w:t xml:space="preserve">  </w:t>
      </w:r>
      <w:r w:rsidR="00AD7E9C" w:rsidRPr="00AB021E">
        <w:rPr>
          <w:rFonts w:eastAsia="Times New Roman"/>
          <w:b w:val="0"/>
          <w:bCs/>
          <w:color w:val="auto"/>
          <w:sz w:val="24"/>
          <w:szCs w:val="24"/>
        </w:rPr>
        <w:t>This template included the following indicators:</w:t>
      </w:r>
    </w:p>
    <w:p w14:paraId="359CB02A" w14:textId="791056D1" w:rsidR="00AD7E9C" w:rsidRPr="00AB021E" w:rsidRDefault="00AD7E9C" w:rsidP="00AB021E">
      <w:pPr>
        <w:pStyle w:val="Heading1"/>
        <w:numPr>
          <w:ilvl w:val="0"/>
          <w:numId w:val="40"/>
        </w:numPr>
        <w:spacing w:before="0"/>
        <w:ind w:left="1560" w:hanging="426"/>
        <w:rPr>
          <w:b w:val="0"/>
          <w:bCs/>
          <w:sz w:val="24"/>
          <w:szCs w:val="24"/>
        </w:rPr>
      </w:pPr>
      <w:r w:rsidRPr="00AB021E">
        <w:rPr>
          <w:b w:val="0"/>
          <w:bCs/>
          <w:sz w:val="24"/>
          <w:szCs w:val="24"/>
        </w:rPr>
        <w:t xml:space="preserve">Percentage of staff in each of the </w:t>
      </w:r>
      <w:proofErr w:type="spellStart"/>
      <w:r w:rsidRPr="00AB021E">
        <w:rPr>
          <w:b w:val="0"/>
          <w:bCs/>
          <w:sz w:val="24"/>
          <w:szCs w:val="24"/>
        </w:rPr>
        <w:t>AfC</w:t>
      </w:r>
      <w:proofErr w:type="spellEnd"/>
      <w:r w:rsidRPr="00AB021E">
        <w:rPr>
          <w:b w:val="0"/>
          <w:bCs/>
          <w:sz w:val="24"/>
          <w:szCs w:val="24"/>
        </w:rPr>
        <w:t xml:space="preserve"> Bands 1-9 and VSM (including </w:t>
      </w:r>
      <w:r w:rsidR="006D0F54">
        <w:rPr>
          <w:b w:val="0"/>
          <w:bCs/>
          <w:sz w:val="24"/>
          <w:szCs w:val="24"/>
        </w:rPr>
        <w:t>E</w:t>
      </w:r>
      <w:r w:rsidRPr="00AB021E">
        <w:rPr>
          <w:b w:val="0"/>
          <w:bCs/>
          <w:sz w:val="24"/>
          <w:szCs w:val="24"/>
        </w:rPr>
        <w:t xml:space="preserve">xecutive Board members) compared with the percentage of staff in the overall workforce (calculated separately for </w:t>
      </w:r>
      <w:r w:rsidR="006D0F54" w:rsidRPr="00AB021E">
        <w:rPr>
          <w:b w:val="0"/>
          <w:bCs/>
          <w:sz w:val="24"/>
          <w:szCs w:val="24"/>
        </w:rPr>
        <w:t>non-clinical</w:t>
      </w:r>
      <w:r w:rsidRPr="00AB021E">
        <w:rPr>
          <w:b w:val="0"/>
          <w:bCs/>
          <w:sz w:val="24"/>
          <w:szCs w:val="24"/>
        </w:rPr>
        <w:t xml:space="preserve"> and for clinical staff)</w:t>
      </w:r>
      <w:r w:rsidR="00AB021E">
        <w:rPr>
          <w:b w:val="0"/>
          <w:bCs/>
          <w:sz w:val="24"/>
          <w:szCs w:val="24"/>
        </w:rPr>
        <w:t>.</w:t>
      </w:r>
    </w:p>
    <w:p w14:paraId="55279C14" w14:textId="77777777" w:rsidR="00AD7E9C" w:rsidRPr="00AB021E" w:rsidRDefault="00AD7E9C" w:rsidP="00AB021E">
      <w:pPr>
        <w:pStyle w:val="Heading1"/>
        <w:numPr>
          <w:ilvl w:val="0"/>
          <w:numId w:val="40"/>
        </w:numPr>
        <w:spacing w:before="0"/>
        <w:ind w:left="1560" w:hanging="426"/>
        <w:rPr>
          <w:b w:val="0"/>
          <w:bCs/>
          <w:sz w:val="24"/>
          <w:szCs w:val="24"/>
        </w:rPr>
      </w:pPr>
      <w:r w:rsidRPr="00AB021E">
        <w:rPr>
          <w:b w:val="0"/>
          <w:bCs/>
          <w:sz w:val="24"/>
          <w:szCs w:val="24"/>
        </w:rPr>
        <w:t>Relative likelihood of staff being appointed from shortlisting across all posts.</w:t>
      </w:r>
    </w:p>
    <w:p w14:paraId="034290BA" w14:textId="53EFA6A2" w:rsidR="00AD7E9C" w:rsidRPr="00AB021E" w:rsidRDefault="00AD7E9C" w:rsidP="00AB021E">
      <w:pPr>
        <w:pStyle w:val="Heading1"/>
        <w:numPr>
          <w:ilvl w:val="0"/>
          <w:numId w:val="40"/>
        </w:numPr>
        <w:spacing w:before="0"/>
        <w:ind w:left="1560" w:hanging="426"/>
        <w:rPr>
          <w:b w:val="0"/>
          <w:bCs/>
          <w:sz w:val="24"/>
          <w:szCs w:val="24"/>
        </w:rPr>
      </w:pPr>
      <w:r w:rsidRPr="00AB021E">
        <w:rPr>
          <w:b w:val="0"/>
          <w:bCs/>
          <w:sz w:val="24"/>
          <w:szCs w:val="24"/>
          <w:lang w:eastAsia="en-GB"/>
        </w:rPr>
        <w:t>Relative likelihood of staff entering the formal disciplinary process, as measured by entry into a formal disciplinary investigation</w:t>
      </w:r>
      <w:r w:rsidR="00AB021E">
        <w:rPr>
          <w:b w:val="0"/>
          <w:bCs/>
          <w:sz w:val="24"/>
          <w:szCs w:val="24"/>
          <w:lang w:eastAsia="en-GB"/>
        </w:rPr>
        <w:t>.</w:t>
      </w:r>
    </w:p>
    <w:p w14:paraId="41869AA8" w14:textId="77777777" w:rsidR="00AD7E9C" w:rsidRPr="00AB021E" w:rsidRDefault="00AD7E9C" w:rsidP="00AB021E">
      <w:pPr>
        <w:pStyle w:val="Heading1"/>
        <w:numPr>
          <w:ilvl w:val="0"/>
          <w:numId w:val="40"/>
        </w:numPr>
        <w:spacing w:before="0"/>
        <w:ind w:left="1560" w:hanging="426"/>
        <w:rPr>
          <w:b w:val="0"/>
          <w:bCs/>
          <w:sz w:val="24"/>
          <w:szCs w:val="24"/>
        </w:rPr>
      </w:pPr>
      <w:r w:rsidRPr="00AB021E">
        <w:rPr>
          <w:b w:val="0"/>
          <w:bCs/>
          <w:sz w:val="24"/>
          <w:szCs w:val="24"/>
        </w:rPr>
        <w:t>Relative likelihood of staff accessing non-mandatory training and CPD.</w:t>
      </w:r>
    </w:p>
    <w:p w14:paraId="58905993" w14:textId="77777777" w:rsidR="00AB021E" w:rsidRPr="00AB021E" w:rsidRDefault="00AD7E9C" w:rsidP="00AB021E">
      <w:pPr>
        <w:pStyle w:val="Heading1"/>
        <w:numPr>
          <w:ilvl w:val="0"/>
          <w:numId w:val="40"/>
        </w:numPr>
        <w:spacing w:before="0"/>
        <w:ind w:left="1560" w:hanging="426"/>
        <w:rPr>
          <w:b w:val="0"/>
          <w:bCs/>
          <w:sz w:val="24"/>
          <w:szCs w:val="24"/>
        </w:rPr>
      </w:pPr>
      <w:r w:rsidRPr="00AB021E">
        <w:rPr>
          <w:b w:val="0"/>
          <w:bCs/>
          <w:sz w:val="24"/>
          <w:szCs w:val="24"/>
        </w:rPr>
        <w:t>Percentage difference between the organisations’ Board voting membership and its overall workforce.</w:t>
      </w:r>
    </w:p>
    <w:p w14:paraId="3E134BD3" w14:textId="77777777" w:rsidR="00AB021E" w:rsidRPr="00AB021E" w:rsidRDefault="00AB021E" w:rsidP="00AB021E">
      <w:pPr>
        <w:pStyle w:val="Heading1"/>
        <w:numPr>
          <w:ilvl w:val="0"/>
          <w:numId w:val="0"/>
        </w:numPr>
        <w:spacing w:before="0"/>
        <w:ind w:left="1560"/>
        <w:rPr>
          <w:b w:val="0"/>
          <w:bCs/>
          <w:sz w:val="24"/>
          <w:szCs w:val="24"/>
        </w:rPr>
      </w:pPr>
    </w:p>
    <w:p w14:paraId="7847D514" w14:textId="34EDFC11" w:rsidR="00AB021E" w:rsidRDefault="00AD7E9C" w:rsidP="00AB021E">
      <w:pPr>
        <w:pStyle w:val="Heading1"/>
        <w:numPr>
          <w:ilvl w:val="0"/>
          <w:numId w:val="0"/>
        </w:numPr>
        <w:spacing w:before="0"/>
        <w:rPr>
          <w:b w:val="0"/>
          <w:bCs/>
          <w:sz w:val="24"/>
          <w:szCs w:val="24"/>
        </w:rPr>
      </w:pPr>
      <w:r w:rsidRPr="00AB021E">
        <w:rPr>
          <w:b w:val="0"/>
          <w:bCs/>
          <w:sz w:val="24"/>
          <w:szCs w:val="24"/>
        </w:rPr>
        <w:t xml:space="preserve">For 2020 and 2021 NHS England removed the requirement to report on the four indicators based on the NHS Staff survey questions (indicators 5 to 8 listed below) and therefore data against these indicators is not included within this report.  </w:t>
      </w:r>
    </w:p>
    <w:p w14:paraId="28EBE6A1" w14:textId="77777777" w:rsidR="00AB021E" w:rsidRPr="00AB021E" w:rsidRDefault="00AB021E" w:rsidP="00AB021E"/>
    <w:p w14:paraId="15624A26" w14:textId="2A577FC0" w:rsidR="00AD7E9C" w:rsidRPr="00AB021E" w:rsidRDefault="00AD7E9C" w:rsidP="00AB021E">
      <w:pPr>
        <w:pStyle w:val="Heading1"/>
        <w:numPr>
          <w:ilvl w:val="0"/>
          <w:numId w:val="37"/>
        </w:numPr>
        <w:spacing w:before="0"/>
        <w:ind w:left="1560" w:hanging="426"/>
        <w:rPr>
          <w:b w:val="0"/>
          <w:bCs/>
          <w:color w:val="auto"/>
          <w:sz w:val="24"/>
          <w:szCs w:val="24"/>
          <w:lang w:eastAsia="en-GB"/>
        </w:rPr>
      </w:pPr>
      <w:r w:rsidRPr="00AB021E">
        <w:rPr>
          <w:b w:val="0"/>
          <w:bCs/>
          <w:sz w:val="24"/>
          <w:szCs w:val="24"/>
        </w:rPr>
        <w:t>Percentage of staff experiencing harassment, bullying or abuse from patients, relatives or the public in last 12 months</w:t>
      </w:r>
      <w:r w:rsidR="00AB021E">
        <w:rPr>
          <w:b w:val="0"/>
          <w:bCs/>
          <w:sz w:val="24"/>
          <w:szCs w:val="24"/>
        </w:rPr>
        <w:t>.</w:t>
      </w:r>
    </w:p>
    <w:p w14:paraId="76C349FA" w14:textId="79CCA2D1" w:rsidR="00AD7E9C" w:rsidRPr="00AB021E" w:rsidRDefault="00AD7E9C" w:rsidP="00AB021E">
      <w:pPr>
        <w:pStyle w:val="Heading1"/>
        <w:numPr>
          <w:ilvl w:val="0"/>
          <w:numId w:val="37"/>
        </w:numPr>
        <w:spacing w:before="0"/>
        <w:ind w:left="1560" w:hanging="426"/>
        <w:rPr>
          <w:b w:val="0"/>
          <w:bCs/>
          <w:sz w:val="24"/>
          <w:szCs w:val="24"/>
        </w:rPr>
      </w:pPr>
      <w:r w:rsidRPr="00AB021E">
        <w:rPr>
          <w:b w:val="0"/>
          <w:bCs/>
          <w:sz w:val="24"/>
          <w:szCs w:val="24"/>
        </w:rPr>
        <w:t>Percentage of staff experiencing harassment, bullying or abuse from staff in last 12 months</w:t>
      </w:r>
      <w:r w:rsidR="00AB021E">
        <w:rPr>
          <w:b w:val="0"/>
          <w:bCs/>
          <w:sz w:val="24"/>
          <w:szCs w:val="24"/>
        </w:rPr>
        <w:t>.</w:t>
      </w:r>
    </w:p>
    <w:p w14:paraId="3CF9E22C" w14:textId="3A8F235D" w:rsidR="00AD7E9C" w:rsidRPr="00AB021E" w:rsidRDefault="00AD7E9C" w:rsidP="00AB021E">
      <w:pPr>
        <w:pStyle w:val="Heading1"/>
        <w:numPr>
          <w:ilvl w:val="0"/>
          <w:numId w:val="37"/>
        </w:numPr>
        <w:spacing w:before="0"/>
        <w:ind w:left="1560" w:hanging="426"/>
        <w:rPr>
          <w:b w:val="0"/>
          <w:bCs/>
          <w:sz w:val="24"/>
          <w:szCs w:val="24"/>
        </w:rPr>
      </w:pPr>
      <w:r w:rsidRPr="00AB021E">
        <w:rPr>
          <w:b w:val="0"/>
          <w:bCs/>
          <w:sz w:val="24"/>
          <w:szCs w:val="24"/>
        </w:rPr>
        <w:t>Percentage believing that trust provides equal opportunities for career progression or promotion</w:t>
      </w:r>
      <w:r w:rsidR="00AB021E">
        <w:rPr>
          <w:b w:val="0"/>
          <w:bCs/>
          <w:sz w:val="24"/>
          <w:szCs w:val="24"/>
        </w:rPr>
        <w:t>.</w:t>
      </w:r>
    </w:p>
    <w:p w14:paraId="4EC6E70C" w14:textId="3269957E" w:rsidR="00AD7E9C" w:rsidRPr="00AB021E" w:rsidRDefault="00AD7E9C" w:rsidP="00AB021E">
      <w:pPr>
        <w:pStyle w:val="Heading1"/>
        <w:numPr>
          <w:ilvl w:val="0"/>
          <w:numId w:val="37"/>
        </w:numPr>
        <w:spacing w:before="0"/>
        <w:ind w:left="1560" w:hanging="426"/>
        <w:rPr>
          <w:b w:val="0"/>
          <w:bCs/>
          <w:sz w:val="24"/>
          <w:szCs w:val="24"/>
        </w:rPr>
      </w:pPr>
      <w:r w:rsidRPr="00AB021E">
        <w:rPr>
          <w:b w:val="0"/>
          <w:bCs/>
          <w:sz w:val="24"/>
          <w:szCs w:val="24"/>
        </w:rPr>
        <w:t>In the last 12 months have you personally experienced discrimination at work from any of the following? (Manager/team leader or other colleagues)</w:t>
      </w:r>
      <w:r w:rsidR="00AB021E">
        <w:rPr>
          <w:b w:val="0"/>
          <w:bCs/>
          <w:sz w:val="24"/>
          <w:szCs w:val="24"/>
        </w:rPr>
        <w:t>.</w:t>
      </w:r>
    </w:p>
    <w:p w14:paraId="3F9A958B" w14:textId="69F4CBC1" w:rsidR="00AD7E9C" w:rsidRPr="00AB021E" w:rsidRDefault="00AD7E9C" w:rsidP="00AB021E">
      <w:pPr>
        <w:pStyle w:val="Heading1"/>
        <w:numPr>
          <w:ilvl w:val="0"/>
          <w:numId w:val="0"/>
        </w:numPr>
        <w:rPr>
          <w:b w:val="0"/>
          <w:bCs/>
          <w:sz w:val="24"/>
          <w:szCs w:val="24"/>
        </w:rPr>
      </w:pPr>
      <w:r w:rsidRPr="00AB021E">
        <w:rPr>
          <w:b w:val="0"/>
          <w:bCs/>
          <w:sz w:val="24"/>
          <w:szCs w:val="24"/>
        </w:rPr>
        <w:t>The CCG has conducted its own survey with staff to gather information in relation to</w:t>
      </w:r>
      <w:r w:rsidR="00AB021E">
        <w:rPr>
          <w:b w:val="0"/>
          <w:bCs/>
          <w:sz w:val="24"/>
          <w:szCs w:val="24"/>
        </w:rPr>
        <w:t xml:space="preserve"> </w:t>
      </w:r>
      <w:r w:rsidRPr="00AB021E">
        <w:rPr>
          <w:b w:val="0"/>
          <w:bCs/>
          <w:sz w:val="24"/>
          <w:szCs w:val="24"/>
        </w:rPr>
        <w:t>these indicators, however uptake of a pulse survey conducted over the summer was relatively low and further work will be undertaken to understand the feedback received and explore themes and trends through further surveys and by working with the staff health and wellbeing group.</w:t>
      </w:r>
    </w:p>
    <w:p w14:paraId="2F48EA52" w14:textId="77777777" w:rsidR="00AB021E" w:rsidRDefault="00AB021E" w:rsidP="00AB021E">
      <w:pPr>
        <w:pStyle w:val="Heading2"/>
        <w:numPr>
          <w:ilvl w:val="0"/>
          <w:numId w:val="0"/>
        </w:numPr>
        <w:spacing w:after="0"/>
        <w:rPr>
          <w:rFonts w:cs="Arial"/>
          <w:b w:val="0"/>
          <w:bCs/>
          <w:sz w:val="24"/>
          <w:szCs w:val="24"/>
        </w:rPr>
      </w:pPr>
    </w:p>
    <w:p w14:paraId="33F08FA9" w14:textId="0312720C" w:rsidR="00291FA5" w:rsidRPr="00AB021E" w:rsidRDefault="00291FA5" w:rsidP="00AB021E">
      <w:pPr>
        <w:pStyle w:val="Heading2"/>
        <w:numPr>
          <w:ilvl w:val="0"/>
          <w:numId w:val="0"/>
        </w:numPr>
        <w:spacing w:after="0"/>
        <w:rPr>
          <w:rFonts w:cs="Arial"/>
          <w:b w:val="0"/>
          <w:bCs/>
          <w:sz w:val="24"/>
          <w:szCs w:val="24"/>
        </w:rPr>
      </w:pPr>
      <w:r w:rsidRPr="00AB021E">
        <w:rPr>
          <w:rFonts w:cs="Arial"/>
          <w:b w:val="0"/>
          <w:bCs/>
          <w:sz w:val="24"/>
          <w:szCs w:val="24"/>
        </w:rPr>
        <w:t>Information is taken from</w:t>
      </w:r>
      <w:r w:rsidR="00AB021E">
        <w:rPr>
          <w:rFonts w:cs="Arial"/>
          <w:b w:val="0"/>
          <w:bCs/>
          <w:sz w:val="24"/>
          <w:szCs w:val="24"/>
        </w:rPr>
        <w:t xml:space="preserve"> </w:t>
      </w:r>
      <w:r w:rsidRPr="00AB021E">
        <w:rPr>
          <w:rFonts w:cs="Arial"/>
          <w:b w:val="0"/>
          <w:bCs/>
          <w:sz w:val="24"/>
          <w:szCs w:val="24"/>
        </w:rPr>
        <w:t xml:space="preserve">the Electronic Staff Record (ESR) and the </w:t>
      </w:r>
      <w:r w:rsidR="00AB021E">
        <w:rPr>
          <w:rFonts w:cs="Arial"/>
          <w:b w:val="0"/>
          <w:bCs/>
          <w:sz w:val="24"/>
          <w:szCs w:val="24"/>
        </w:rPr>
        <w:t xml:space="preserve">HR records.  </w:t>
      </w:r>
      <w:r w:rsidRPr="00AB021E">
        <w:rPr>
          <w:rFonts w:cs="Arial"/>
          <w:b w:val="0"/>
          <w:bCs/>
          <w:sz w:val="24"/>
          <w:szCs w:val="24"/>
        </w:rPr>
        <w:t xml:space="preserve"> It is important to note that the numbers may differ as not all staff are willing to disclose details through ESR.</w:t>
      </w:r>
    </w:p>
    <w:p w14:paraId="06F8CF9B" w14:textId="77777777" w:rsidR="00291FA5" w:rsidRPr="00AB021E" w:rsidRDefault="00291FA5" w:rsidP="00AD7E9C">
      <w:pPr>
        <w:pStyle w:val="ListParagraph"/>
        <w:spacing w:after="0"/>
        <w:ind w:left="709"/>
        <w:rPr>
          <w:bCs/>
          <w:szCs w:val="24"/>
        </w:rPr>
      </w:pPr>
    </w:p>
    <w:p w14:paraId="124110FA" w14:textId="60576490" w:rsidR="00291FA5" w:rsidRPr="00AB021E" w:rsidRDefault="00291FA5" w:rsidP="00AB021E">
      <w:pPr>
        <w:pStyle w:val="Heading2"/>
        <w:numPr>
          <w:ilvl w:val="0"/>
          <w:numId w:val="0"/>
        </w:numPr>
        <w:spacing w:after="0"/>
        <w:ind w:left="576" w:hanging="576"/>
        <w:rPr>
          <w:rFonts w:cs="Arial"/>
          <w:b w:val="0"/>
          <w:bCs/>
          <w:sz w:val="24"/>
          <w:szCs w:val="24"/>
        </w:rPr>
      </w:pPr>
      <w:r w:rsidRPr="00AB021E">
        <w:rPr>
          <w:rFonts w:cs="Arial"/>
          <w:b w:val="0"/>
          <w:bCs/>
          <w:sz w:val="24"/>
          <w:szCs w:val="24"/>
        </w:rPr>
        <w:t>The data validation sheet confirm</w:t>
      </w:r>
      <w:r w:rsidR="006D0F54">
        <w:rPr>
          <w:rFonts w:cs="Arial"/>
          <w:b w:val="0"/>
          <w:bCs/>
          <w:sz w:val="24"/>
          <w:szCs w:val="24"/>
        </w:rPr>
        <w:t>ed</w:t>
      </w:r>
      <w:r w:rsidRPr="00AB021E">
        <w:rPr>
          <w:rFonts w:cs="Arial"/>
          <w:b w:val="0"/>
          <w:bCs/>
          <w:sz w:val="24"/>
          <w:szCs w:val="24"/>
        </w:rPr>
        <w:t xml:space="preserve"> that all fields </w:t>
      </w:r>
      <w:r w:rsidR="006D0F54">
        <w:rPr>
          <w:rFonts w:cs="Arial"/>
          <w:b w:val="0"/>
          <w:bCs/>
          <w:sz w:val="24"/>
          <w:szCs w:val="24"/>
        </w:rPr>
        <w:t xml:space="preserve">were </w:t>
      </w:r>
      <w:r w:rsidRPr="00AB021E">
        <w:rPr>
          <w:rFonts w:cs="Arial"/>
          <w:b w:val="0"/>
          <w:bCs/>
          <w:sz w:val="24"/>
          <w:szCs w:val="24"/>
        </w:rPr>
        <w:t>completed.</w:t>
      </w:r>
    </w:p>
    <w:p w14:paraId="5BE39B1A" w14:textId="45C2140E" w:rsidR="00291FA5" w:rsidRDefault="006D0F54" w:rsidP="00AD7E9C">
      <w:pPr>
        <w:spacing w:after="0"/>
        <w:rPr>
          <w:bCs/>
          <w:szCs w:val="24"/>
        </w:rPr>
      </w:pPr>
      <w:r>
        <w:rPr>
          <w:bCs/>
          <w:szCs w:val="24"/>
        </w:rPr>
        <w:br w:type="page"/>
      </w:r>
    </w:p>
    <w:p w14:paraId="457C4CBD" w14:textId="4C98CD4B" w:rsidR="00DF116A" w:rsidRDefault="00DF116A" w:rsidP="00AD7E9C">
      <w:pPr>
        <w:spacing w:after="0"/>
        <w:rPr>
          <w:bCs/>
          <w:szCs w:val="24"/>
        </w:rPr>
      </w:pPr>
    </w:p>
    <w:p w14:paraId="1D089FE6" w14:textId="77777777" w:rsidR="00DF116A" w:rsidRPr="00AB021E" w:rsidRDefault="00DF116A" w:rsidP="00AD7E9C">
      <w:pPr>
        <w:spacing w:after="0"/>
        <w:rPr>
          <w:bCs/>
          <w:szCs w:val="24"/>
        </w:rPr>
      </w:pPr>
    </w:p>
    <w:p w14:paraId="3F1968C3" w14:textId="5A5C5B52" w:rsidR="00291FA5" w:rsidRPr="00DF116A" w:rsidRDefault="00DF116A" w:rsidP="00AD7E9C">
      <w:pPr>
        <w:spacing w:after="0"/>
        <w:rPr>
          <w:b/>
          <w:szCs w:val="24"/>
        </w:rPr>
      </w:pPr>
      <w:r w:rsidRPr="00DF116A">
        <w:rPr>
          <w:b/>
          <w:szCs w:val="24"/>
        </w:rPr>
        <w:t xml:space="preserve">2.2 </w:t>
      </w:r>
      <w:r w:rsidR="00291FA5" w:rsidRPr="00DF116A">
        <w:rPr>
          <w:b/>
          <w:szCs w:val="24"/>
        </w:rPr>
        <w:t xml:space="preserve">WRES </w:t>
      </w:r>
      <w:r w:rsidR="009C2758">
        <w:rPr>
          <w:b/>
          <w:szCs w:val="24"/>
        </w:rPr>
        <w:t xml:space="preserve">Key </w:t>
      </w:r>
      <w:r w:rsidR="00291FA5" w:rsidRPr="00DF116A">
        <w:rPr>
          <w:b/>
          <w:szCs w:val="24"/>
        </w:rPr>
        <w:t xml:space="preserve">Findings </w:t>
      </w:r>
    </w:p>
    <w:p w14:paraId="381C3A47" w14:textId="77777777" w:rsidR="009C2758" w:rsidRDefault="009C2758" w:rsidP="00604AF1">
      <w:pPr>
        <w:pStyle w:val="BodyTextIndent"/>
        <w:ind w:left="0"/>
        <w:rPr>
          <w:rFonts w:ascii="Arial" w:hAnsi="Arial" w:cs="Arial"/>
          <w:bCs/>
        </w:rPr>
      </w:pPr>
    </w:p>
    <w:p w14:paraId="0F8AD015" w14:textId="3311D095" w:rsidR="00481EC7" w:rsidRPr="00AB021E" w:rsidRDefault="00FD7B0B" w:rsidP="00604AF1">
      <w:pPr>
        <w:pStyle w:val="BodyTextIndent"/>
        <w:ind w:left="0"/>
        <w:rPr>
          <w:rFonts w:ascii="Arial" w:hAnsi="Arial" w:cs="Arial"/>
          <w:bCs/>
        </w:rPr>
      </w:pPr>
      <w:r w:rsidRPr="00AB021E">
        <w:rPr>
          <w:rFonts w:ascii="Arial" w:hAnsi="Arial" w:cs="Arial"/>
          <w:bCs/>
        </w:rPr>
        <w:t>The s</w:t>
      </w:r>
      <w:r w:rsidR="00863EF6" w:rsidRPr="00AB021E">
        <w:rPr>
          <w:rFonts w:ascii="Arial" w:hAnsi="Arial" w:cs="Arial"/>
          <w:bCs/>
        </w:rPr>
        <w:t>ummary findings</w:t>
      </w:r>
      <w:r w:rsidRPr="00AB021E">
        <w:rPr>
          <w:rFonts w:ascii="Arial" w:hAnsi="Arial" w:cs="Arial"/>
          <w:bCs/>
        </w:rPr>
        <w:t xml:space="preserve"> for </w:t>
      </w:r>
      <w:r w:rsidR="002B422D" w:rsidRPr="00AB021E">
        <w:rPr>
          <w:rFonts w:ascii="Arial" w:hAnsi="Arial" w:cs="Arial"/>
          <w:bCs/>
        </w:rPr>
        <w:t xml:space="preserve">NHS </w:t>
      </w:r>
      <w:r w:rsidR="009C2758">
        <w:rPr>
          <w:rFonts w:ascii="Arial" w:hAnsi="Arial" w:cs="Arial"/>
          <w:bCs/>
        </w:rPr>
        <w:t xml:space="preserve">North Lincolnshire </w:t>
      </w:r>
      <w:r w:rsidRPr="00AB021E">
        <w:rPr>
          <w:rFonts w:ascii="Arial" w:hAnsi="Arial" w:cs="Arial"/>
          <w:bCs/>
        </w:rPr>
        <w:t xml:space="preserve">CCG </w:t>
      </w:r>
      <w:proofErr w:type="gramStart"/>
      <w:r w:rsidR="0010393E" w:rsidRPr="00AB021E">
        <w:rPr>
          <w:rFonts w:ascii="Arial" w:hAnsi="Arial" w:cs="Arial"/>
          <w:bCs/>
        </w:rPr>
        <w:t>is</w:t>
      </w:r>
      <w:proofErr w:type="gramEnd"/>
      <w:r w:rsidRPr="00AB021E">
        <w:rPr>
          <w:rFonts w:ascii="Arial" w:hAnsi="Arial" w:cs="Arial"/>
          <w:bCs/>
        </w:rPr>
        <w:t xml:space="preserve"> as follows</w:t>
      </w:r>
      <w:r w:rsidR="00724D59" w:rsidRPr="00AB021E">
        <w:rPr>
          <w:rStyle w:val="FootnoteReference"/>
          <w:rFonts w:ascii="Arial" w:hAnsi="Arial" w:cs="Arial"/>
          <w:bCs/>
        </w:rPr>
        <w:footnoteReference w:id="2"/>
      </w:r>
      <w:r w:rsidR="00863EF6" w:rsidRPr="00AB021E">
        <w:rPr>
          <w:rFonts w:ascii="Arial" w:hAnsi="Arial" w:cs="Arial"/>
          <w:bCs/>
        </w:rPr>
        <w:t>:</w:t>
      </w:r>
    </w:p>
    <w:p w14:paraId="5B5D71B8" w14:textId="77777777" w:rsidR="00FD7B0B" w:rsidRPr="00AB021E" w:rsidRDefault="00FD7B0B" w:rsidP="00604AF1">
      <w:pPr>
        <w:pStyle w:val="BodyTextIndent"/>
        <w:ind w:left="0"/>
        <w:rPr>
          <w:rFonts w:ascii="Arial" w:hAnsi="Arial" w:cs="Arial"/>
          <w:bCs/>
        </w:rPr>
      </w:pPr>
    </w:p>
    <w:tbl>
      <w:tblPr>
        <w:tblStyle w:val="TableGrid"/>
        <w:tblW w:w="10206" w:type="dxa"/>
        <w:tblInd w:w="250" w:type="dxa"/>
        <w:tblLook w:val="04A0" w:firstRow="1" w:lastRow="0" w:firstColumn="1" w:lastColumn="0" w:noHBand="0" w:noVBand="1"/>
      </w:tblPr>
      <w:tblGrid>
        <w:gridCol w:w="4984"/>
        <w:gridCol w:w="5222"/>
      </w:tblGrid>
      <w:tr w:rsidR="00290FAF" w:rsidRPr="00AB021E" w14:paraId="7AAD4DB0" w14:textId="77777777" w:rsidTr="0010393E">
        <w:tc>
          <w:tcPr>
            <w:tcW w:w="4984" w:type="dxa"/>
          </w:tcPr>
          <w:p w14:paraId="1BB3C53F" w14:textId="7452BD80" w:rsidR="0090591F" w:rsidRPr="00AB021E" w:rsidRDefault="009C2758" w:rsidP="0010393E">
            <w:pPr>
              <w:pStyle w:val="BodyTextIndent"/>
              <w:spacing w:before="60" w:after="60"/>
              <w:ind w:left="0"/>
              <w:rPr>
                <w:rFonts w:ascii="Arial" w:hAnsi="Arial" w:cs="Arial"/>
                <w:b/>
                <w:bCs/>
              </w:rPr>
            </w:pPr>
            <w:r>
              <w:rPr>
                <w:rFonts w:ascii="Arial" w:hAnsi="Arial" w:cs="Arial"/>
                <w:b/>
                <w:bCs/>
              </w:rPr>
              <w:t xml:space="preserve">North Lincolnshire </w:t>
            </w:r>
            <w:r w:rsidR="0090591F" w:rsidRPr="00AB021E">
              <w:rPr>
                <w:rFonts w:ascii="Arial" w:hAnsi="Arial" w:cs="Arial"/>
                <w:b/>
                <w:bCs/>
              </w:rPr>
              <w:t>CCG</w:t>
            </w:r>
          </w:p>
        </w:tc>
        <w:tc>
          <w:tcPr>
            <w:tcW w:w="5222" w:type="dxa"/>
          </w:tcPr>
          <w:p w14:paraId="5AA2C0C0" w14:textId="3086173A" w:rsidR="0090591F" w:rsidRPr="00AB021E" w:rsidRDefault="0090591F" w:rsidP="0010393E">
            <w:pPr>
              <w:pStyle w:val="BodyTextIndent"/>
              <w:spacing w:before="60" w:after="60"/>
              <w:ind w:left="145"/>
              <w:rPr>
                <w:rFonts w:ascii="Arial" w:hAnsi="Arial" w:cs="Arial"/>
                <w:b/>
                <w:bCs/>
              </w:rPr>
            </w:pPr>
            <w:r w:rsidRPr="00AB021E">
              <w:rPr>
                <w:rFonts w:ascii="Arial" w:hAnsi="Arial" w:cs="Arial"/>
                <w:b/>
                <w:bCs/>
              </w:rPr>
              <w:t xml:space="preserve">National </w:t>
            </w:r>
            <w:r w:rsidR="007E6C03" w:rsidRPr="00AB021E">
              <w:rPr>
                <w:rFonts w:ascii="Arial" w:hAnsi="Arial" w:cs="Arial"/>
                <w:b/>
                <w:bCs/>
              </w:rPr>
              <w:t>WRES Report 2020</w:t>
            </w:r>
          </w:p>
        </w:tc>
      </w:tr>
      <w:tr w:rsidR="00290FAF" w:rsidRPr="00AB021E" w14:paraId="7ADC0C0F" w14:textId="77777777" w:rsidTr="0010393E">
        <w:tc>
          <w:tcPr>
            <w:tcW w:w="10206" w:type="dxa"/>
            <w:gridSpan w:val="2"/>
          </w:tcPr>
          <w:p w14:paraId="4A191A1A" w14:textId="16001241" w:rsidR="001E7460" w:rsidRPr="00AB021E" w:rsidRDefault="001E7460" w:rsidP="0010393E">
            <w:pPr>
              <w:pStyle w:val="BodyTextIndent"/>
              <w:spacing w:before="60" w:after="60"/>
              <w:ind w:left="145"/>
              <w:rPr>
                <w:rFonts w:ascii="Arial" w:hAnsi="Arial" w:cs="Arial"/>
                <w:b/>
                <w:bCs/>
              </w:rPr>
            </w:pPr>
            <w:r w:rsidRPr="00AB021E">
              <w:rPr>
                <w:rFonts w:ascii="Arial" w:hAnsi="Arial" w:cs="Arial"/>
                <w:b/>
                <w:bCs/>
              </w:rPr>
              <w:t xml:space="preserve">Indicator 1: </w:t>
            </w:r>
            <w:r w:rsidR="003C398E" w:rsidRPr="00AB021E">
              <w:rPr>
                <w:rFonts w:ascii="Arial" w:hAnsi="Arial" w:cs="Arial"/>
                <w:b/>
                <w:bCs/>
              </w:rPr>
              <w:t>Percentage of BME staff compared with the overall workforce</w:t>
            </w:r>
          </w:p>
        </w:tc>
      </w:tr>
      <w:tr w:rsidR="00290FAF" w:rsidRPr="00AB021E" w14:paraId="79083EB6" w14:textId="77777777" w:rsidTr="0010393E">
        <w:tc>
          <w:tcPr>
            <w:tcW w:w="4984" w:type="dxa"/>
          </w:tcPr>
          <w:p w14:paraId="7A34B1C4" w14:textId="1F648428" w:rsidR="00F91CF8" w:rsidRPr="00AB021E" w:rsidRDefault="0090591F" w:rsidP="00F91CF8">
            <w:pPr>
              <w:pStyle w:val="BodyTextIndent"/>
              <w:spacing w:before="60" w:after="60"/>
              <w:ind w:left="223"/>
              <w:rPr>
                <w:rFonts w:ascii="Arial" w:hAnsi="Arial" w:cs="Arial"/>
                <w:b/>
                <w:bCs/>
              </w:rPr>
            </w:pPr>
            <w:r w:rsidRPr="00AB021E">
              <w:rPr>
                <w:rFonts w:ascii="Arial" w:hAnsi="Arial" w:cs="Arial"/>
              </w:rPr>
              <w:t xml:space="preserve">According to ESR data, </w:t>
            </w:r>
            <w:r w:rsidR="005239CD">
              <w:rPr>
                <w:rFonts w:ascii="Arial" w:hAnsi="Arial" w:cs="Arial"/>
              </w:rPr>
              <w:t>7.2%</w:t>
            </w:r>
            <w:r w:rsidRPr="00AB021E">
              <w:rPr>
                <w:rFonts w:ascii="Arial" w:hAnsi="Arial" w:cs="Arial"/>
              </w:rPr>
              <w:t xml:space="preserve"> of the CCG’s workforce is identified as BME. The BME population of </w:t>
            </w:r>
            <w:r w:rsidR="009C2758">
              <w:rPr>
                <w:rFonts w:ascii="Arial" w:hAnsi="Arial" w:cs="Arial"/>
              </w:rPr>
              <w:t xml:space="preserve">North </w:t>
            </w:r>
            <w:proofErr w:type="gramStart"/>
            <w:r w:rsidR="009C2758">
              <w:rPr>
                <w:rFonts w:ascii="Arial" w:hAnsi="Arial" w:cs="Arial"/>
              </w:rPr>
              <w:t xml:space="preserve">Lincolnshire </w:t>
            </w:r>
            <w:r w:rsidRPr="00AB021E">
              <w:rPr>
                <w:rFonts w:ascii="Arial" w:hAnsi="Arial" w:cs="Arial"/>
              </w:rPr>
              <w:t xml:space="preserve"> (</w:t>
            </w:r>
            <w:proofErr w:type="gramEnd"/>
            <w:r w:rsidR="005239CD">
              <w:rPr>
                <w:rFonts w:ascii="Arial" w:hAnsi="Arial" w:cs="Arial"/>
              </w:rPr>
              <w:t>ONS 2011</w:t>
            </w:r>
            <w:r w:rsidRPr="00AB021E">
              <w:rPr>
                <w:rFonts w:ascii="Arial" w:hAnsi="Arial" w:cs="Arial"/>
              </w:rPr>
              <w:t xml:space="preserve">) is </w:t>
            </w:r>
            <w:r w:rsidR="005239CD">
              <w:rPr>
                <w:rFonts w:ascii="Arial" w:hAnsi="Arial" w:cs="Arial"/>
              </w:rPr>
              <w:t>7.2</w:t>
            </w:r>
            <w:r w:rsidRPr="00AB021E">
              <w:rPr>
                <w:rFonts w:ascii="Arial" w:hAnsi="Arial" w:cs="Arial"/>
              </w:rPr>
              <w:t xml:space="preserve">%. </w:t>
            </w:r>
          </w:p>
        </w:tc>
        <w:tc>
          <w:tcPr>
            <w:tcW w:w="5222" w:type="dxa"/>
          </w:tcPr>
          <w:p w14:paraId="2987B66E" w14:textId="77777777" w:rsidR="005239CD" w:rsidRDefault="0090591F" w:rsidP="0010393E">
            <w:pPr>
              <w:pStyle w:val="BodyTextIndent"/>
              <w:spacing w:before="60" w:after="60"/>
              <w:ind w:left="0"/>
              <w:rPr>
                <w:rFonts w:ascii="Arial" w:hAnsi="Arial" w:cs="Arial"/>
              </w:rPr>
            </w:pPr>
            <w:r w:rsidRPr="00AB021E">
              <w:rPr>
                <w:rFonts w:ascii="Arial" w:hAnsi="Arial" w:cs="Arial"/>
              </w:rPr>
              <w:t>21% across the NHS</w:t>
            </w:r>
          </w:p>
          <w:p w14:paraId="17FD61D8" w14:textId="7F8EEF85" w:rsidR="0090591F" w:rsidRPr="00AB021E" w:rsidRDefault="0090591F" w:rsidP="0010393E">
            <w:pPr>
              <w:pStyle w:val="BodyTextIndent"/>
              <w:spacing w:before="60" w:after="60"/>
              <w:ind w:left="0"/>
              <w:rPr>
                <w:rFonts w:ascii="Arial" w:hAnsi="Arial" w:cs="Arial"/>
              </w:rPr>
            </w:pPr>
            <w:r w:rsidRPr="00AB021E">
              <w:rPr>
                <w:rFonts w:ascii="Arial" w:hAnsi="Arial" w:cs="Arial"/>
              </w:rPr>
              <w:t>14% CCG staff</w:t>
            </w:r>
            <w:r w:rsidR="003C398E" w:rsidRPr="00AB021E">
              <w:rPr>
                <w:rFonts w:ascii="Arial" w:hAnsi="Arial" w:cs="Arial"/>
              </w:rPr>
              <w:t xml:space="preserve"> are BME</w:t>
            </w:r>
          </w:p>
        </w:tc>
      </w:tr>
      <w:tr w:rsidR="00290FAF" w:rsidRPr="00AB021E" w14:paraId="54627927" w14:textId="77777777" w:rsidTr="0010393E">
        <w:tc>
          <w:tcPr>
            <w:tcW w:w="10206" w:type="dxa"/>
            <w:gridSpan w:val="2"/>
          </w:tcPr>
          <w:p w14:paraId="2417FD4A" w14:textId="7CA09C02" w:rsidR="003C398E" w:rsidRPr="00AB021E" w:rsidRDefault="003C398E" w:rsidP="0010393E">
            <w:pPr>
              <w:pStyle w:val="BodyTextIndent"/>
              <w:spacing w:before="60" w:after="60"/>
              <w:ind w:left="0"/>
              <w:rPr>
                <w:rFonts w:ascii="Arial" w:hAnsi="Arial" w:cs="Arial"/>
                <w:b/>
                <w:bCs/>
              </w:rPr>
            </w:pPr>
            <w:r w:rsidRPr="00AB021E">
              <w:rPr>
                <w:rFonts w:ascii="Arial" w:hAnsi="Arial" w:cs="Arial"/>
                <w:b/>
                <w:bCs/>
              </w:rPr>
              <w:t>Indicator 2: Relative likelihood of white applicants being appointed from shortlisting across all posts compared to BME applicants</w:t>
            </w:r>
          </w:p>
        </w:tc>
      </w:tr>
      <w:tr w:rsidR="00290FAF" w:rsidRPr="00AB021E" w14:paraId="30D98C6F" w14:textId="77777777" w:rsidTr="0010393E">
        <w:tc>
          <w:tcPr>
            <w:tcW w:w="4984" w:type="dxa"/>
          </w:tcPr>
          <w:p w14:paraId="446E3A2B" w14:textId="30C510FD" w:rsidR="00135B92" w:rsidRPr="00AB021E" w:rsidRDefault="0090591F" w:rsidP="005239CD">
            <w:pPr>
              <w:pStyle w:val="BodyTextIndent"/>
              <w:spacing w:before="60" w:after="60"/>
              <w:ind w:left="0"/>
              <w:rPr>
                <w:rFonts w:ascii="Arial" w:hAnsi="Arial" w:cs="Arial"/>
              </w:rPr>
            </w:pPr>
            <w:r w:rsidRPr="00AB021E">
              <w:rPr>
                <w:rFonts w:ascii="Arial" w:hAnsi="Arial" w:cs="Arial"/>
              </w:rPr>
              <w:t>According to CCG 2020/21 recruitment information, white candidates (when expressed as a ratio of applications to shortlisting) have a higher chance of being shortlisted when compared to BME (1</w:t>
            </w:r>
            <w:r w:rsidR="005239CD">
              <w:rPr>
                <w:rFonts w:ascii="Arial" w:hAnsi="Arial" w:cs="Arial"/>
              </w:rPr>
              <w:t>5.66%</w:t>
            </w:r>
            <w:r w:rsidRPr="00AB021E">
              <w:rPr>
                <w:rFonts w:ascii="Arial" w:hAnsi="Arial" w:cs="Arial"/>
              </w:rPr>
              <w:t xml:space="preserve"> and </w:t>
            </w:r>
            <w:r w:rsidR="005239CD">
              <w:rPr>
                <w:rFonts w:ascii="Arial" w:hAnsi="Arial" w:cs="Arial"/>
              </w:rPr>
              <w:t>0</w:t>
            </w:r>
            <w:r w:rsidRPr="00AB021E">
              <w:rPr>
                <w:rFonts w:ascii="Arial" w:hAnsi="Arial" w:cs="Arial"/>
              </w:rPr>
              <w:t xml:space="preserve">% respectively). </w:t>
            </w:r>
          </w:p>
          <w:p w14:paraId="3B4A131D" w14:textId="77777777" w:rsidR="005239CD" w:rsidRDefault="005239CD" w:rsidP="005239CD">
            <w:pPr>
              <w:pStyle w:val="BodyTextIndent"/>
              <w:spacing w:before="60" w:after="60"/>
              <w:ind w:left="0"/>
              <w:rPr>
                <w:rFonts w:ascii="Arial" w:hAnsi="Arial" w:cs="Arial"/>
              </w:rPr>
            </w:pPr>
          </w:p>
          <w:p w14:paraId="2DB2376D" w14:textId="7684C35A" w:rsidR="0010393E" w:rsidRPr="00AB021E" w:rsidRDefault="003C398E" w:rsidP="005239CD">
            <w:pPr>
              <w:pStyle w:val="BodyTextIndent"/>
              <w:spacing w:before="60" w:after="60"/>
              <w:ind w:left="0"/>
              <w:rPr>
                <w:rFonts w:ascii="Arial" w:hAnsi="Arial" w:cs="Arial"/>
              </w:rPr>
            </w:pPr>
            <w:r w:rsidRPr="00AB021E">
              <w:rPr>
                <w:rFonts w:ascii="Arial" w:hAnsi="Arial" w:cs="Arial"/>
              </w:rPr>
              <w:t xml:space="preserve">This is </w:t>
            </w:r>
            <w:r w:rsidR="005239CD" w:rsidRPr="00AB021E">
              <w:rPr>
                <w:rFonts w:ascii="Arial" w:hAnsi="Arial" w:cs="Arial"/>
              </w:rPr>
              <w:t>sim</w:t>
            </w:r>
            <w:r w:rsidR="005239CD">
              <w:rPr>
                <w:rFonts w:ascii="Arial" w:hAnsi="Arial" w:cs="Arial"/>
              </w:rPr>
              <w:t xml:space="preserve">ilar to </w:t>
            </w:r>
            <w:r w:rsidRPr="00AB021E">
              <w:rPr>
                <w:rFonts w:ascii="Arial" w:hAnsi="Arial" w:cs="Arial"/>
              </w:rPr>
              <w:t>2020 ra</w:t>
            </w:r>
            <w:r w:rsidR="005239CD">
              <w:rPr>
                <w:rFonts w:ascii="Arial" w:hAnsi="Arial" w:cs="Arial"/>
              </w:rPr>
              <w:t>tes which were 16.86</w:t>
            </w:r>
            <w:r w:rsidR="003E0CC9">
              <w:rPr>
                <w:rFonts w:ascii="Arial" w:hAnsi="Arial" w:cs="Arial"/>
              </w:rPr>
              <w:t xml:space="preserve">% and 0% respectively. </w:t>
            </w:r>
          </w:p>
        </w:tc>
        <w:tc>
          <w:tcPr>
            <w:tcW w:w="5222" w:type="dxa"/>
          </w:tcPr>
          <w:p w14:paraId="70DB0920" w14:textId="5328BE5D" w:rsidR="0090591F" w:rsidRPr="00AB021E" w:rsidRDefault="0090591F" w:rsidP="0010393E">
            <w:pPr>
              <w:pStyle w:val="BodyTextIndent"/>
              <w:spacing w:before="60" w:after="60"/>
              <w:ind w:left="0"/>
              <w:rPr>
                <w:rFonts w:ascii="Arial" w:hAnsi="Arial" w:cs="Arial"/>
              </w:rPr>
            </w:pPr>
            <w:r w:rsidRPr="00AB021E">
              <w:rPr>
                <w:rFonts w:ascii="Arial" w:hAnsi="Arial" w:cs="Arial"/>
              </w:rPr>
              <w:t xml:space="preserve">White applicants 1.61 times more likely to be appointed from shortlisting (across the NHS), for CCGs this ratio is 1.41 </w:t>
            </w:r>
          </w:p>
        </w:tc>
      </w:tr>
      <w:tr w:rsidR="00290FAF" w:rsidRPr="00AB021E" w14:paraId="4A9E1819" w14:textId="77777777" w:rsidTr="0010393E">
        <w:tc>
          <w:tcPr>
            <w:tcW w:w="10206" w:type="dxa"/>
            <w:gridSpan w:val="2"/>
          </w:tcPr>
          <w:p w14:paraId="20D1589A" w14:textId="4DD8D8AD" w:rsidR="003C398E" w:rsidRPr="00AB021E" w:rsidRDefault="003C398E" w:rsidP="0010393E">
            <w:pPr>
              <w:pStyle w:val="BodyTextIndent"/>
              <w:spacing w:before="60" w:after="60"/>
              <w:ind w:left="0"/>
              <w:rPr>
                <w:rFonts w:ascii="Arial" w:hAnsi="Arial" w:cs="Arial"/>
                <w:b/>
                <w:bCs/>
              </w:rPr>
            </w:pPr>
            <w:r w:rsidRPr="00AB021E">
              <w:rPr>
                <w:rFonts w:ascii="Arial" w:hAnsi="Arial" w:cs="Arial"/>
                <w:b/>
                <w:bCs/>
              </w:rPr>
              <w:t>Indicator 3: Relative likelihood of BME staff entering the formal disciplinary process compared to white staff</w:t>
            </w:r>
          </w:p>
        </w:tc>
      </w:tr>
      <w:tr w:rsidR="00290FAF" w:rsidRPr="00AB021E" w14:paraId="5D424AE9" w14:textId="77777777" w:rsidTr="0010393E">
        <w:tc>
          <w:tcPr>
            <w:tcW w:w="4984" w:type="dxa"/>
          </w:tcPr>
          <w:p w14:paraId="4636FC7D" w14:textId="36116435" w:rsidR="0090591F" w:rsidRPr="00AB021E" w:rsidRDefault="003C398E" w:rsidP="0010393E">
            <w:pPr>
              <w:pStyle w:val="BodyTextIndent"/>
              <w:spacing w:before="60" w:after="60"/>
              <w:ind w:left="0"/>
              <w:rPr>
                <w:rFonts w:ascii="Arial" w:hAnsi="Arial" w:cs="Arial"/>
              </w:rPr>
            </w:pPr>
            <w:r w:rsidRPr="00AB021E">
              <w:rPr>
                <w:rFonts w:ascii="Arial" w:hAnsi="Arial" w:cs="Arial"/>
              </w:rPr>
              <w:t>The CCG did not have any formal disciplinary cases in this period (</w:t>
            </w:r>
            <w:r w:rsidR="003E0CC9">
              <w:rPr>
                <w:rFonts w:ascii="Arial" w:hAnsi="Arial" w:cs="Arial"/>
              </w:rPr>
              <w:t>a reduction from 1.89% of white staff entering a formal disciplinary case in 2020</w:t>
            </w:r>
            <w:r w:rsidRPr="00AB021E">
              <w:rPr>
                <w:rFonts w:ascii="Arial" w:hAnsi="Arial" w:cs="Arial"/>
              </w:rPr>
              <w:t>).</w:t>
            </w:r>
          </w:p>
        </w:tc>
        <w:tc>
          <w:tcPr>
            <w:tcW w:w="5222" w:type="dxa"/>
          </w:tcPr>
          <w:p w14:paraId="1D19AA21" w14:textId="1387BB5A" w:rsidR="0010393E" w:rsidRPr="00AB021E" w:rsidRDefault="003C398E" w:rsidP="00F91CF8">
            <w:pPr>
              <w:pStyle w:val="BodyTextIndent"/>
              <w:spacing w:before="60" w:after="60"/>
              <w:ind w:left="0"/>
              <w:rPr>
                <w:rFonts w:ascii="Arial" w:hAnsi="Arial" w:cs="Arial"/>
              </w:rPr>
            </w:pPr>
            <w:r w:rsidRPr="00AB021E">
              <w:rPr>
                <w:rFonts w:ascii="Arial" w:hAnsi="Arial" w:cs="Arial"/>
              </w:rPr>
              <w:t>Across the NHS, BME staff have a higher relative likelihood of entering the formal disciplinary process (1.14)</w:t>
            </w:r>
            <w:r w:rsidR="006E3574" w:rsidRPr="00AB021E">
              <w:rPr>
                <w:rFonts w:ascii="Arial" w:hAnsi="Arial" w:cs="Arial"/>
              </w:rPr>
              <w:t>, for CCGs this is higher at 1.65</w:t>
            </w:r>
          </w:p>
        </w:tc>
      </w:tr>
      <w:tr w:rsidR="00290FAF" w:rsidRPr="00AB021E" w14:paraId="6D2DAC70" w14:textId="77777777" w:rsidTr="0010393E">
        <w:tc>
          <w:tcPr>
            <w:tcW w:w="10206" w:type="dxa"/>
            <w:gridSpan w:val="2"/>
          </w:tcPr>
          <w:p w14:paraId="0B04BB0C" w14:textId="6ECD8D30" w:rsidR="003C398E" w:rsidRPr="00AB021E" w:rsidRDefault="003C398E" w:rsidP="0010393E">
            <w:pPr>
              <w:pStyle w:val="BodyTextIndent"/>
              <w:spacing w:before="60" w:after="60"/>
              <w:ind w:left="81"/>
              <w:rPr>
                <w:rFonts w:ascii="Arial" w:hAnsi="Arial" w:cs="Arial"/>
                <w:b/>
                <w:bCs/>
              </w:rPr>
            </w:pPr>
            <w:r w:rsidRPr="00AB021E">
              <w:rPr>
                <w:rFonts w:ascii="Arial" w:hAnsi="Arial" w:cs="Arial"/>
                <w:b/>
                <w:bCs/>
              </w:rPr>
              <w:t>Indicator 4:</w:t>
            </w:r>
            <w:r w:rsidR="006E3574" w:rsidRPr="00AB021E">
              <w:rPr>
                <w:rFonts w:ascii="Arial" w:hAnsi="Arial" w:cs="Arial"/>
                <w:b/>
                <w:bCs/>
              </w:rPr>
              <w:t xml:space="preserve"> Relative likelihood of white staff accessing non-mandatory training and continuous professional development (CPD) compared to BME staff</w:t>
            </w:r>
          </w:p>
        </w:tc>
      </w:tr>
      <w:tr w:rsidR="00290FAF" w:rsidRPr="00AB021E" w14:paraId="600734FF" w14:textId="77777777" w:rsidTr="0010393E">
        <w:tc>
          <w:tcPr>
            <w:tcW w:w="4984" w:type="dxa"/>
          </w:tcPr>
          <w:p w14:paraId="6F56D2C3" w14:textId="1B230858" w:rsidR="001E7460" w:rsidRPr="00AB021E" w:rsidRDefault="006E3574" w:rsidP="0010393E">
            <w:pPr>
              <w:pStyle w:val="BodyTextIndent"/>
              <w:spacing w:before="60" w:after="60"/>
              <w:ind w:left="0"/>
              <w:rPr>
                <w:rFonts w:ascii="Arial" w:hAnsi="Arial" w:cs="Arial"/>
              </w:rPr>
            </w:pPr>
            <w:r w:rsidRPr="00AB021E">
              <w:rPr>
                <w:rFonts w:ascii="Arial" w:hAnsi="Arial" w:cs="Arial"/>
              </w:rPr>
              <w:t>There is currently no consistent process for recording non-mandatory training and CPD.</w:t>
            </w:r>
          </w:p>
        </w:tc>
        <w:tc>
          <w:tcPr>
            <w:tcW w:w="5222" w:type="dxa"/>
          </w:tcPr>
          <w:p w14:paraId="22BC4D06" w14:textId="056B950C" w:rsidR="001E7460" w:rsidRPr="00AB021E" w:rsidRDefault="006E3574" w:rsidP="003C398E">
            <w:pPr>
              <w:pStyle w:val="BodyTextIndent"/>
              <w:spacing w:before="60" w:after="60"/>
              <w:ind w:left="0"/>
              <w:rPr>
                <w:rFonts w:ascii="Arial" w:hAnsi="Arial" w:cs="Arial"/>
              </w:rPr>
            </w:pPr>
            <w:r w:rsidRPr="00AB021E">
              <w:rPr>
                <w:rFonts w:ascii="Arial" w:hAnsi="Arial" w:cs="Arial"/>
              </w:rPr>
              <w:t xml:space="preserve">Across the NHS, </w:t>
            </w:r>
            <w:r w:rsidR="005F1F08" w:rsidRPr="00AB021E">
              <w:rPr>
                <w:rFonts w:ascii="Arial" w:hAnsi="Arial" w:cs="Arial"/>
              </w:rPr>
              <w:t>white staff are 1.14 times more likely to access non mandatory training.</w:t>
            </w:r>
          </w:p>
          <w:p w14:paraId="70E07A46" w14:textId="592B1F2B" w:rsidR="0010393E" w:rsidRPr="00AB021E" w:rsidRDefault="006E3574" w:rsidP="00F91CF8">
            <w:pPr>
              <w:pStyle w:val="BodyTextIndent"/>
              <w:spacing w:before="60" w:after="60"/>
              <w:ind w:left="0"/>
              <w:rPr>
                <w:rFonts w:ascii="Arial" w:hAnsi="Arial" w:cs="Arial"/>
              </w:rPr>
            </w:pPr>
            <w:r w:rsidRPr="00AB021E">
              <w:rPr>
                <w:rFonts w:ascii="Arial" w:hAnsi="Arial" w:cs="Arial"/>
              </w:rPr>
              <w:t xml:space="preserve">For CCGs, </w:t>
            </w:r>
            <w:r w:rsidR="005F1F08" w:rsidRPr="00AB021E">
              <w:rPr>
                <w:rFonts w:ascii="Arial" w:hAnsi="Arial" w:cs="Arial"/>
              </w:rPr>
              <w:t>white</w:t>
            </w:r>
            <w:r w:rsidRPr="00AB021E">
              <w:rPr>
                <w:rFonts w:ascii="Arial" w:hAnsi="Arial" w:cs="Arial"/>
              </w:rPr>
              <w:t xml:space="preserve"> staff are less likely to access non-mandatory training (0.71)</w:t>
            </w:r>
          </w:p>
        </w:tc>
      </w:tr>
      <w:tr w:rsidR="00290FAF" w:rsidRPr="00AB021E" w14:paraId="0E1CA920" w14:textId="77777777" w:rsidTr="0010393E">
        <w:tc>
          <w:tcPr>
            <w:tcW w:w="10206" w:type="dxa"/>
            <w:gridSpan w:val="2"/>
          </w:tcPr>
          <w:p w14:paraId="1FA43901" w14:textId="0A59119D" w:rsidR="001E7460" w:rsidRPr="00AB021E" w:rsidRDefault="001E7460" w:rsidP="00135B92">
            <w:pPr>
              <w:spacing w:before="60" w:after="60"/>
              <w:rPr>
                <w:szCs w:val="24"/>
                <w:lang w:eastAsia="en-GB"/>
              </w:rPr>
            </w:pPr>
            <w:r w:rsidRPr="00AB021E">
              <w:rPr>
                <w:b/>
                <w:bCs/>
                <w:szCs w:val="24"/>
              </w:rPr>
              <w:t xml:space="preserve">Indicator </w:t>
            </w:r>
            <w:r w:rsidR="005F1F08" w:rsidRPr="00AB021E">
              <w:rPr>
                <w:b/>
                <w:bCs/>
                <w:szCs w:val="24"/>
              </w:rPr>
              <w:t>9</w:t>
            </w:r>
            <w:r w:rsidRPr="00AB021E">
              <w:rPr>
                <w:b/>
                <w:bCs/>
                <w:szCs w:val="24"/>
              </w:rPr>
              <w:t xml:space="preserve"> </w:t>
            </w:r>
            <w:r w:rsidR="003C398E" w:rsidRPr="00AB021E">
              <w:rPr>
                <w:b/>
                <w:bCs/>
                <w:szCs w:val="24"/>
              </w:rPr>
              <w:t>Board membership</w:t>
            </w:r>
          </w:p>
        </w:tc>
      </w:tr>
      <w:tr w:rsidR="00290FAF" w:rsidRPr="00AB021E" w14:paraId="79595C0E" w14:textId="77777777" w:rsidTr="0010393E">
        <w:tc>
          <w:tcPr>
            <w:tcW w:w="4984" w:type="dxa"/>
          </w:tcPr>
          <w:p w14:paraId="4459F23D" w14:textId="269C33CD" w:rsidR="001E7460" w:rsidRPr="00AB021E" w:rsidRDefault="003E0CC9" w:rsidP="00135B92">
            <w:pPr>
              <w:pStyle w:val="BodyTextIndent"/>
              <w:spacing w:before="60" w:after="60"/>
              <w:ind w:left="223"/>
              <w:rPr>
                <w:rFonts w:ascii="Arial" w:hAnsi="Arial" w:cs="Arial"/>
                <w:b/>
                <w:bCs/>
              </w:rPr>
            </w:pPr>
            <w:r>
              <w:rPr>
                <w:rFonts w:ascii="Arial" w:hAnsi="Arial" w:cs="Arial"/>
              </w:rPr>
              <w:t>21.4</w:t>
            </w:r>
            <w:r w:rsidR="001E7460" w:rsidRPr="00AB021E">
              <w:rPr>
                <w:rFonts w:ascii="Arial" w:hAnsi="Arial" w:cs="Arial"/>
              </w:rPr>
              <w:t>% of the CCG’s Board is BME.</w:t>
            </w:r>
            <w:r>
              <w:rPr>
                <w:rFonts w:ascii="Arial" w:hAnsi="Arial" w:cs="Arial"/>
              </w:rPr>
              <w:t xml:space="preserve"> This is the same as the 2020 data reported.</w:t>
            </w:r>
          </w:p>
        </w:tc>
        <w:tc>
          <w:tcPr>
            <w:tcW w:w="5222" w:type="dxa"/>
          </w:tcPr>
          <w:p w14:paraId="540FEE30" w14:textId="77777777" w:rsidR="001E7460" w:rsidRPr="00AB021E" w:rsidRDefault="001E7460">
            <w:pPr>
              <w:pStyle w:val="BodyTextIndent"/>
              <w:spacing w:before="60" w:after="60"/>
              <w:ind w:left="0"/>
              <w:rPr>
                <w:rFonts w:ascii="Arial" w:hAnsi="Arial" w:cs="Arial"/>
              </w:rPr>
            </w:pPr>
            <w:r w:rsidRPr="00AB021E">
              <w:rPr>
                <w:rFonts w:ascii="Arial" w:hAnsi="Arial" w:cs="Arial"/>
              </w:rPr>
              <w:t>Across the NHS: 1</w:t>
            </w:r>
            <w:r w:rsidR="003C398E" w:rsidRPr="00AB021E">
              <w:rPr>
                <w:rFonts w:ascii="Arial" w:hAnsi="Arial" w:cs="Arial"/>
              </w:rPr>
              <w:t xml:space="preserve">0% of Board members are BME; </w:t>
            </w:r>
            <w:r w:rsidRPr="00AB021E">
              <w:rPr>
                <w:rFonts w:ascii="Arial" w:hAnsi="Arial" w:cs="Arial"/>
              </w:rPr>
              <w:t xml:space="preserve">16.8% </w:t>
            </w:r>
            <w:r w:rsidR="003C398E" w:rsidRPr="00AB021E">
              <w:rPr>
                <w:rFonts w:ascii="Arial" w:hAnsi="Arial" w:cs="Arial"/>
              </w:rPr>
              <w:t>in</w:t>
            </w:r>
            <w:r w:rsidRPr="00AB021E">
              <w:rPr>
                <w:rFonts w:ascii="Arial" w:hAnsi="Arial" w:cs="Arial"/>
              </w:rPr>
              <w:t xml:space="preserve"> CCGs.</w:t>
            </w:r>
          </w:p>
          <w:p w14:paraId="49AEDAA9" w14:textId="0361A552" w:rsidR="00C8182E" w:rsidRPr="00AB021E" w:rsidRDefault="00C8182E" w:rsidP="00135B92">
            <w:pPr>
              <w:pStyle w:val="BodyTextIndent"/>
              <w:spacing w:before="60" w:after="60"/>
              <w:ind w:left="0"/>
              <w:rPr>
                <w:rFonts w:ascii="Arial" w:hAnsi="Arial" w:cs="Arial"/>
              </w:rPr>
            </w:pPr>
          </w:p>
        </w:tc>
      </w:tr>
    </w:tbl>
    <w:p w14:paraId="44C37EF1" w14:textId="77777777" w:rsidR="00481EC7" w:rsidRPr="00AB021E" w:rsidRDefault="00481EC7" w:rsidP="00604AF1">
      <w:pPr>
        <w:pStyle w:val="BodyTextIndent"/>
        <w:ind w:left="720"/>
        <w:rPr>
          <w:rFonts w:ascii="Arial" w:hAnsi="Arial" w:cs="Arial"/>
          <w:b/>
          <w:bCs/>
        </w:rPr>
      </w:pPr>
    </w:p>
    <w:p w14:paraId="1AE9C064" w14:textId="5E7DC36B" w:rsidR="00481EC7" w:rsidRPr="00AB021E" w:rsidRDefault="001E7460" w:rsidP="00135B92">
      <w:pPr>
        <w:pStyle w:val="BodyTextIndent"/>
        <w:ind w:left="0"/>
        <w:rPr>
          <w:rFonts w:ascii="Arial" w:hAnsi="Arial" w:cs="Arial"/>
        </w:rPr>
      </w:pPr>
      <w:r w:rsidRPr="00AB021E">
        <w:rPr>
          <w:rFonts w:ascii="Arial" w:hAnsi="Arial" w:cs="Arial"/>
        </w:rPr>
        <w:t xml:space="preserve">The key area </w:t>
      </w:r>
      <w:r w:rsidR="001B4F6E" w:rsidRPr="00AB021E">
        <w:rPr>
          <w:rFonts w:ascii="Arial" w:hAnsi="Arial" w:cs="Arial"/>
        </w:rPr>
        <w:t>that the</w:t>
      </w:r>
      <w:r w:rsidR="006E3574" w:rsidRPr="00AB021E">
        <w:rPr>
          <w:rFonts w:ascii="Arial" w:hAnsi="Arial" w:cs="Arial"/>
        </w:rPr>
        <w:t xml:space="preserve"> </w:t>
      </w:r>
      <w:r w:rsidR="00481EC7" w:rsidRPr="00AB021E">
        <w:rPr>
          <w:rFonts w:ascii="Arial" w:hAnsi="Arial" w:cs="Arial"/>
        </w:rPr>
        <w:t xml:space="preserve">CCG </w:t>
      </w:r>
      <w:r w:rsidR="006E3574" w:rsidRPr="00AB021E">
        <w:rPr>
          <w:rFonts w:ascii="Arial" w:hAnsi="Arial" w:cs="Arial"/>
        </w:rPr>
        <w:t>has not been able to make progress on is attracting and recruiting more BME staff, despite the actions being progressed in the EDI Outcomes Plan (</w:t>
      </w:r>
      <w:proofErr w:type="gramStart"/>
      <w:r w:rsidR="006E3574" w:rsidRPr="00AB021E">
        <w:rPr>
          <w:rFonts w:ascii="Arial" w:hAnsi="Arial" w:cs="Arial"/>
        </w:rPr>
        <w:t>e.g.</w:t>
      </w:r>
      <w:proofErr w:type="gramEnd"/>
      <w:r w:rsidR="006E3574" w:rsidRPr="00AB021E">
        <w:rPr>
          <w:rFonts w:ascii="Arial" w:hAnsi="Arial" w:cs="Arial"/>
        </w:rPr>
        <w:t xml:space="preserve"> recruitment training for managers and wider advertising of roles through community network channels</w:t>
      </w:r>
      <w:r w:rsidR="00355FA5" w:rsidRPr="00AB021E">
        <w:rPr>
          <w:rFonts w:ascii="Arial" w:hAnsi="Arial" w:cs="Arial"/>
        </w:rPr>
        <w:t xml:space="preserve"> such as Forum</w:t>
      </w:r>
      <w:r w:rsidR="006E3574" w:rsidRPr="00AB021E">
        <w:rPr>
          <w:rFonts w:ascii="Arial" w:hAnsi="Arial" w:cs="Arial"/>
        </w:rPr>
        <w:t xml:space="preserve">). This needs to be reflected on, to better </w:t>
      </w:r>
      <w:r w:rsidR="006E3574" w:rsidRPr="00AB021E">
        <w:rPr>
          <w:rFonts w:ascii="Arial" w:hAnsi="Arial" w:cs="Arial"/>
        </w:rPr>
        <w:lastRenderedPageBreak/>
        <w:t>understand what the barriers may be, and</w:t>
      </w:r>
      <w:r w:rsidR="001B4F6E" w:rsidRPr="00AB021E">
        <w:rPr>
          <w:rFonts w:ascii="Arial" w:hAnsi="Arial" w:cs="Arial"/>
        </w:rPr>
        <w:t xml:space="preserve"> what lessons can be shared with the emerging </w:t>
      </w:r>
      <w:r w:rsidR="006D0F54">
        <w:rPr>
          <w:rFonts w:ascii="Arial" w:hAnsi="Arial" w:cs="Arial"/>
        </w:rPr>
        <w:t>P</w:t>
      </w:r>
      <w:r w:rsidR="001B4F6E" w:rsidRPr="00AB021E">
        <w:rPr>
          <w:rFonts w:ascii="Arial" w:hAnsi="Arial" w:cs="Arial"/>
        </w:rPr>
        <w:t>lace and ICS organisations</w:t>
      </w:r>
      <w:r w:rsidR="006D0F54">
        <w:rPr>
          <w:rFonts w:ascii="Arial" w:hAnsi="Arial" w:cs="Arial"/>
        </w:rPr>
        <w:t xml:space="preserve">.  </w:t>
      </w:r>
      <w:r w:rsidR="001B4F6E" w:rsidRPr="00AB021E">
        <w:rPr>
          <w:rFonts w:ascii="Arial" w:hAnsi="Arial" w:cs="Arial"/>
        </w:rPr>
        <w:t xml:space="preserve">Much can be learnt from the provider trusts as they have prioritised recruitment </w:t>
      </w:r>
      <w:r w:rsidR="00AF7B4D" w:rsidRPr="00AB021E">
        <w:rPr>
          <w:rFonts w:ascii="Arial" w:hAnsi="Arial" w:cs="Arial"/>
        </w:rPr>
        <w:t xml:space="preserve">in </w:t>
      </w:r>
      <w:r w:rsidR="001B4F6E" w:rsidRPr="00AB021E">
        <w:rPr>
          <w:rFonts w:ascii="Arial" w:hAnsi="Arial" w:cs="Arial"/>
        </w:rPr>
        <w:t xml:space="preserve">their WRES </w:t>
      </w:r>
      <w:proofErr w:type="gramStart"/>
      <w:r w:rsidR="001B4F6E" w:rsidRPr="00AB021E">
        <w:rPr>
          <w:rFonts w:ascii="Arial" w:hAnsi="Arial" w:cs="Arial"/>
        </w:rPr>
        <w:t>work, and</w:t>
      </w:r>
      <w:proofErr w:type="gramEnd"/>
      <w:r w:rsidR="001B4F6E" w:rsidRPr="00AB021E">
        <w:rPr>
          <w:rFonts w:ascii="Arial" w:hAnsi="Arial" w:cs="Arial"/>
        </w:rPr>
        <w:t xml:space="preserve"> have been making progress on this.</w:t>
      </w:r>
    </w:p>
    <w:p w14:paraId="56F2B80A" w14:textId="24FDE9B7" w:rsidR="001B4F6E" w:rsidRPr="00AB021E" w:rsidRDefault="001B4F6E" w:rsidP="00604AF1">
      <w:pPr>
        <w:pStyle w:val="BodyTextIndent"/>
        <w:ind w:left="720" w:hanging="720"/>
        <w:rPr>
          <w:rFonts w:ascii="Arial" w:hAnsi="Arial" w:cs="Arial"/>
        </w:rPr>
      </w:pPr>
    </w:p>
    <w:p w14:paraId="3BFBE0D5" w14:textId="126D69E2" w:rsidR="001B4F6E" w:rsidRPr="00AB021E" w:rsidRDefault="001B4F6E" w:rsidP="00135B92">
      <w:pPr>
        <w:pStyle w:val="BodyTextIndent"/>
        <w:ind w:left="0"/>
        <w:rPr>
          <w:rFonts w:ascii="Arial" w:hAnsi="Arial" w:cs="Arial"/>
        </w:rPr>
      </w:pPr>
      <w:r w:rsidRPr="00AB021E">
        <w:rPr>
          <w:rFonts w:ascii="Arial" w:hAnsi="Arial" w:cs="Arial"/>
        </w:rPr>
        <w:t xml:space="preserve">The CCG does not currently have a consistent way of capturing non-mandatory training or other forms of CPD. There needs to be a more robust system in place for the statutory organisation/s post March 2022. </w:t>
      </w:r>
    </w:p>
    <w:p w14:paraId="148671D4" w14:textId="77777777" w:rsidR="00481EC7" w:rsidRPr="00AB021E" w:rsidRDefault="00481EC7" w:rsidP="00604AF1">
      <w:pPr>
        <w:pStyle w:val="BodyTextIndent"/>
        <w:ind w:left="0"/>
        <w:rPr>
          <w:rFonts w:ascii="Arial" w:hAnsi="Arial" w:cs="Arial"/>
        </w:rPr>
      </w:pPr>
    </w:p>
    <w:p w14:paraId="04C9A005" w14:textId="77777777" w:rsidR="00481EC7" w:rsidRPr="00AB021E" w:rsidRDefault="00481EC7" w:rsidP="00C8182E">
      <w:pPr>
        <w:pStyle w:val="Heading2"/>
        <w:rPr>
          <w:sz w:val="24"/>
          <w:szCs w:val="24"/>
        </w:rPr>
      </w:pPr>
      <w:r w:rsidRPr="00AB021E">
        <w:rPr>
          <w:sz w:val="24"/>
          <w:szCs w:val="24"/>
        </w:rPr>
        <w:t>Assessment of provider WRES reports and Action Plans</w:t>
      </w:r>
    </w:p>
    <w:p w14:paraId="460C96AA" w14:textId="77777777" w:rsidR="00AD0682" w:rsidRPr="00AB021E" w:rsidRDefault="00AD0682" w:rsidP="00604AF1">
      <w:pPr>
        <w:pStyle w:val="BodyTextIndent"/>
        <w:ind w:left="0"/>
        <w:rPr>
          <w:rFonts w:ascii="Arial" w:hAnsi="Arial" w:cs="Arial"/>
        </w:rPr>
      </w:pPr>
    </w:p>
    <w:p w14:paraId="1FE72E6F" w14:textId="4826C557" w:rsidR="001B4F6E" w:rsidRPr="00AB021E" w:rsidRDefault="001B4F6E" w:rsidP="00C8182E">
      <w:pPr>
        <w:pStyle w:val="BodyTextIndent"/>
        <w:spacing w:before="120" w:after="120"/>
        <w:ind w:left="0"/>
        <w:rPr>
          <w:rFonts w:ascii="Arial" w:hAnsi="Arial" w:cs="Arial"/>
        </w:rPr>
      </w:pPr>
      <w:r w:rsidRPr="00AB021E">
        <w:rPr>
          <w:rFonts w:ascii="Arial" w:hAnsi="Arial" w:cs="Arial"/>
        </w:rPr>
        <w:t>Part of the CCG’s WRES duty is to seek assurance from providers that they have submitted their WRES reports and are making progress on their action plans. This is included in the CCG’s EDI Outcomes Plan for Contracting and Procurement (“</w:t>
      </w:r>
      <w:r w:rsidRPr="00AB021E">
        <w:rPr>
          <w:rFonts w:ascii="Arial" w:hAnsi="Arial" w:cs="Arial"/>
          <w:i/>
          <w:iCs/>
        </w:rPr>
        <w:t>Seek assurance from our provider organisations that they are addressing race equality and disability equality issues for their staff through the Workforce Race Equality Standard (WRES) and Workforce Disability Equality Standard (WDES).”)</w:t>
      </w:r>
    </w:p>
    <w:p w14:paraId="45ECE105" w14:textId="2B815ED3" w:rsidR="006D0F54" w:rsidRDefault="006D0F54" w:rsidP="00135B92">
      <w:pPr>
        <w:pStyle w:val="BodyTextIndent"/>
        <w:spacing w:before="120" w:after="120"/>
        <w:ind w:left="0"/>
        <w:rPr>
          <w:rFonts w:ascii="Arial" w:hAnsi="Arial" w:cs="Arial"/>
          <w:color w:val="FF0000"/>
          <w:lang w:eastAsia="en-GB"/>
        </w:rPr>
      </w:pPr>
    </w:p>
    <w:p w14:paraId="1D1F8E9C" w14:textId="58619A23" w:rsidR="006D0F54" w:rsidRPr="006D0F54" w:rsidRDefault="006D0F54" w:rsidP="00135B92">
      <w:pPr>
        <w:pStyle w:val="BodyTextIndent"/>
        <w:spacing w:before="120" w:after="120"/>
        <w:ind w:left="0"/>
        <w:rPr>
          <w:rFonts w:ascii="Arial" w:hAnsi="Arial" w:cs="Arial"/>
          <w:color w:val="000000" w:themeColor="text1"/>
          <w:lang w:eastAsia="en-GB"/>
        </w:rPr>
      </w:pPr>
      <w:r w:rsidRPr="006D0F54">
        <w:rPr>
          <w:rFonts w:ascii="Arial" w:hAnsi="Arial" w:cs="Arial"/>
          <w:color w:val="000000" w:themeColor="text1"/>
          <w:lang w:eastAsia="en-GB"/>
        </w:rPr>
        <w:t xml:space="preserve">The CCG continues to actively review provider WRES reports following their publications and seeks assurance regarding continue progress.  </w:t>
      </w:r>
    </w:p>
    <w:p w14:paraId="7E24E6E1" w14:textId="77777777" w:rsidR="006D0F54" w:rsidRDefault="006D0F54" w:rsidP="00135B92">
      <w:pPr>
        <w:pStyle w:val="BodyTextIndent"/>
        <w:spacing w:before="120" w:after="120"/>
        <w:ind w:left="0"/>
        <w:rPr>
          <w:rFonts w:ascii="Arial" w:hAnsi="Arial" w:cs="Arial"/>
          <w:color w:val="222222"/>
          <w:lang w:eastAsia="en-GB"/>
        </w:rPr>
      </w:pPr>
    </w:p>
    <w:p w14:paraId="3B6E994F" w14:textId="336328E7" w:rsidR="00362E57" w:rsidRPr="00AB021E" w:rsidRDefault="00724D59" w:rsidP="00135B92">
      <w:pPr>
        <w:pStyle w:val="BodyTextIndent"/>
        <w:spacing w:before="120" w:after="120"/>
        <w:ind w:left="0"/>
        <w:rPr>
          <w:rFonts w:ascii="Arial" w:hAnsi="Arial" w:cs="Arial"/>
          <w:color w:val="222222"/>
          <w:lang w:eastAsia="en-GB"/>
        </w:rPr>
      </w:pPr>
      <w:r w:rsidRPr="00AB021E">
        <w:rPr>
          <w:rFonts w:ascii="Arial" w:hAnsi="Arial" w:cs="Arial"/>
          <w:color w:val="222222"/>
          <w:lang w:eastAsia="en-GB"/>
        </w:rPr>
        <w:t>The CCG attend</w:t>
      </w:r>
      <w:r w:rsidR="00AF7B4D" w:rsidRPr="00AB021E">
        <w:rPr>
          <w:rFonts w:ascii="Arial" w:hAnsi="Arial" w:cs="Arial"/>
          <w:color w:val="222222"/>
          <w:lang w:eastAsia="en-GB"/>
        </w:rPr>
        <w:t>s</w:t>
      </w:r>
      <w:r w:rsidRPr="00AB021E">
        <w:rPr>
          <w:rFonts w:ascii="Arial" w:hAnsi="Arial" w:cs="Arial"/>
          <w:color w:val="222222"/>
          <w:lang w:eastAsia="en-GB"/>
        </w:rPr>
        <w:t xml:space="preserve"> the Humber EDI Partnership Forum which meets regularly, updates are provided regarding WRES and WDES, and there is a strong sense of collaboration and a desire to work together, where this will mak</w:t>
      </w:r>
      <w:r w:rsidR="00AF7B4D" w:rsidRPr="00AB021E">
        <w:rPr>
          <w:rFonts w:ascii="Arial" w:hAnsi="Arial" w:cs="Arial"/>
          <w:color w:val="222222"/>
          <w:lang w:eastAsia="en-GB"/>
        </w:rPr>
        <w:t>e</w:t>
      </w:r>
      <w:r w:rsidRPr="00AB021E">
        <w:rPr>
          <w:rFonts w:ascii="Arial" w:hAnsi="Arial" w:cs="Arial"/>
          <w:color w:val="222222"/>
          <w:lang w:eastAsia="en-GB"/>
        </w:rPr>
        <w:t xml:space="preserve"> a </w:t>
      </w:r>
      <w:r w:rsidR="000E184D" w:rsidRPr="00AB021E">
        <w:rPr>
          <w:rFonts w:ascii="Arial" w:hAnsi="Arial" w:cs="Arial"/>
          <w:color w:val="222222"/>
          <w:lang w:eastAsia="en-GB"/>
        </w:rPr>
        <w:t>positive</w:t>
      </w:r>
      <w:r w:rsidRPr="00AB021E">
        <w:rPr>
          <w:rFonts w:ascii="Arial" w:hAnsi="Arial" w:cs="Arial"/>
          <w:color w:val="222222"/>
          <w:lang w:eastAsia="en-GB"/>
        </w:rPr>
        <w:t xml:space="preserve"> impact.</w:t>
      </w:r>
    </w:p>
    <w:p w14:paraId="47447D57" w14:textId="77777777" w:rsidR="00135B92" w:rsidRPr="00AB021E" w:rsidRDefault="00135B92" w:rsidP="00135B92">
      <w:pPr>
        <w:pStyle w:val="BodyTextIndent"/>
        <w:spacing w:before="120" w:after="120"/>
        <w:ind w:left="0"/>
        <w:rPr>
          <w:rFonts w:ascii="Arial" w:hAnsi="Arial" w:cs="Arial"/>
          <w:lang w:eastAsia="en-GB"/>
        </w:rPr>
      </w:pPr>
    </w:p>
    <w:p w14:paraId="1CFC3A00" w14:textId="2DA4BCD3" w:rsidR="00362E57" w:rsidRPr="00AB021E" w:rsidRDefault="00452587" w:rsidP="00135B92">
      <w:pPr>
        <w:pStyle w:val="Heading1"/>
        <w:rPr>
          <w:rFonts w:eastAsia="Times New Roman"/>
          <w:sz w:val="24"/>
          <w:szCs w:val="24"/>
          <w:lang w:eastAsia="en-GB"/>
        </w:rPr>
      </w:pPr>
      <w:r w:rsidRPr="00AB021E">
        <w:rPr>
          <w:rFonts w:eastAsia="Times New Roman"/>
          <w:sz w:val="24"/>
          <w:szCs w:val="24"/>
          <w:lang w:eastAsia="en-GB"/>
        </w:rPr>
        <w:t xml:space="preserve">WORKFORCE DISABILITY EQUALITY STANDARD </w:t>
      </w:r>
      <w:r w:rsidR="00362E57" w:rsidRPr="00AB021E">
        <w:rPr>
          <w:rFonts w:eastAsia="Times New Roman"/>
          <w:sz w:val="24"/>
          <w:szCs w:val="24"/>
          <w:lang w:eastAsia="en-GB"/>
        </w:rPr>
        <w:t>(WDES)</w:t>
      </w:r>
    </w:p>
    <w:p w14:paraId="1349E4B9" w14:textId="77777777" w:rsidR="00362E57" w:rsidRPr="00AB021E" w:rsidRDefault="00362E57" w:rsidP="00604AF1">
      <w:pPr>
        <w:shd w:val="clear" w:color="auto" w:fill="FFFFFF"/>
        <w:spacing w:after="0"/>
        <w:rPr>
          <w:rFonts w:eastAsia="Times New Roman"/>
          <w:b/>
          <w:bCs/>
          <w:color w:val="222222"/>
          <w:szCs w:val="24"/>
          <w:lang w:eastAsia="en-GB"/>
        </w:rPr>
      </w:pPr>
    </w:p>
    <w:p w14:paraId="3CD7C62E" w14:textId="70A2FF3F" w:rsidR="000E184D" w:rsidRPr="00AB021E" w:rsidRDefault="000E184D" w:rsidP="008C016A">
      <w:pPr>
        <w:pStyle w:val="BodyTextIndent"/>
        <w:ind w:left="0"/>
        <w:rPr>
          <w:rFonts w:ascii="Arial" w:hAnsi="Arial" w:cs="Arial"/>
        </w:rPr>
      </w:pPr>
      <w:r w:rsidRPr="00AB021E">
        <w:rPr>
          <w:rFonts w:ascii="Arial" w:hAnsi="Arial" w:cs="Arial"/>
        </w:rPr>
        <w:t xml:space="preserve">The CCG is not required to submit a WDES report (From the NHS </w:t>
      </w:r>
      <w:hyperlink r:id="rId13" w:history="1">
        <w:r w:rsidRPr="00AB021E">
          <w:rPr>
            <w:rStyle w:val="Hyperlink"/>
            <w:rFonts w:ascii="Arial" w:hAnsi="Arial" w:cs="Arial"/>
          </w:rPr>
          <w:t>Workforce Disability Equality Standard 2021 Factsheet</w:t>
        </w:r>
      </w:hyperlink>
      <w:r w:rsidRPr="00AB021E">
        <w:rPr>
          <w:rFonts w:ascii="Arial" w:hAnsi="Arial" w:cs="Arial"/>
        </w:rPr>
        <w:t>: “</w:t>
      </w:r>
      <w:r w:rsidRPr="00AB021E">
        <w:rPr>
          <w:rFonts w:ascii="Arial" w:hAnsi="Arial" w:cs="Arial"/>
          <w:i/>
          <w:iCs/>
        </w:rPr>
        <w:t>It does not apply to CCGs and the independent sector in year 3, however they are welcome to produce their own data analysis and WDES action plans. • We will be engaging with regions and integrated care systems (ICSs) to explore how the WDES can be applied in 2022.”</w:t>
      </w:r>
      <w:r w:rsidRPr="00AB021E">
        <w:rPr>
          <w:rFonts w:ascii="Arial" w:hAnsi="Arial" w:cs="Arial"/>
        </w:rPr>
        <w:t xml:space="preserve">. </w:t>
      </w:r>
      <w:r w:rsidR="00EB635C" w:rsidRPr="00AB021E">
        <w:rPr>
          <w:rFonts w:ascii="Arial" w:hAnsi="Arial" w:cs="Arial"/>
        </w:rPr>
        <w:t>T</w:t>
      </w:r>
      <w:r w:rsidRPr="00AB021E">
        <w:rPr>
          <w:rFonts w:ascii="Arial" w:hAnsi="Arial" w:cs="Arial"/>
        </w:rPr>
        <w:t xml:space="preserve">he CCG does collect </w:t>
      </w:r>
      <w:r w:rsidR="00EB635C" w:rsidRPr="00AB021E">
        <w:rPr>
          <w:rFonts w:ascii="Arial" w:hAnsi="Arial" w:cs="Arial"/>
        </w:rPr>
        <w:t>and ana</w:t>
      </w:r>
      <w:r w:rsidR="008C016A" w:rsidRPr="00AB021E">
        <w:rPr>
          <w:rFonts w:ascii="Arial" w:hAnsi="Arial" w:cs="Arial"/>
        </w:rPr>
        <w:t>l</w:t>
      </w:r>
      <w:r w:rsidR="00EB635C" w:rsidRPr="00AB021E">
        <w:rPr>
          <w:rFonts w:ascii="Arial" w:hAnsi="Arial" w:cs="Arial"/>
        </w:rPr>
        <w:t xml:space="preserve">yse </w:t>
      </w:r>
      <w:r w:rsidRPr="00AB021E">
        <w:rPr>
          <w:rFonts w:ascii="Arial" w:hAnsi="Arial" w:cs="Arial"/>
        </w:rPr>
        <w:t xml:space="preserve">data for </w:t>
      </w:r>
      <w:r w:rsidR="00EB635C" w:rsidRPr="00AB021E">
        <w:rPr>
          <w:rFonts w:ascii="Arial" w:hAnsi="Arial" w:cs="Arial"/>
        </w:rPr>
        <w:t>most of the indicators</w:t>
      </w:r>
      <w:r w:rsidR="00437E63" w:rsidRPr="00AB021E">
        <w:rPr>
          <w:rFonts w:ascii="Arial" w:hAnsi="Arial" w:cs="Arial"/>
        </w:rPr>
        <w:t xml:space="preserve"> and this is used to identify areas for improvement, develop action plans and identify any raining and development needs. </w:t>
      </w:r>
      <w:r w:rsidR="00EB635C" w:rsidRPr="00AB021E">
        <w:rPr>
          <w:rFonts w:ascii="Arial" w:hAnsi="Arial" w:cs="Arial"/>
        </w:rPr>
        <w:t xml:space="preserve"> </w:t>
      </w:r>
    </w:p>
    <w:p w14:paraId="2EF57139" w14:textId="77777777" w:rsidR="000E184D" w:rsidRPr="00AB021E" w:rsidRDefault="000E184D" w:rsidP="008C016A">
      <w:pPr>
        <w:pStyle w:val="BodyTextIndent"/>
        <w:ind w:left="0"/>
        <w:rPr>
          <w:rFonts w:ascii="Arial" w:hAnsi="Arial" w:cs="Arial"/>
        </w:rPr>
      </w:pPr>
    </w:p>
    <w:p w14:paraId="2F95931E" w14:textId="77777777" w:rsidR="00AE7626" w:rsidRPr="00AB021E" w:rsidRDefault="00362E57" w:rsidP="00AE7626">
      <w:pPr>
        <w:pStyle w:val="BodyTextIndent"/>
        <w:ind w:left="0"/>
        <w:rPr>
          <w:rFonts w:ascii="Arial" w:hAnsi="Arial" w:cs="Arial"/>
        </w:rPr>
      </w:pPr>
      <w:r w:rsidRPr="00AB021E">
        <w:rPr>
          <w:rFonts w:ascii="Arial" w:hAnsi="Arial" w:cs="Arial"/>
        </w:rPr>
        <w:t xml:space="preserve">There are ten WDES </w:t>
      </w:r>
      <w:r w:rsidR="00AE7626" w:rsidRPr="00AB021E">
        <w:rPr>
          <w:rFonts w:ascii="Arial" w:hAnsi="Arial" w:cs="Arial"/>
        </w:rPr>
        <w:t>metrics focusing on</w:t>
      </w:r>
      <w:r w:rsidR="00AE7626" w:rsidRPr="00AB021E">
        <w:rPr>
          <w:rStyle w:val="FootnoteReference"/>
          <w:rFonts w:ascii="Arial" w:hAnsi="Arial" w:cs="Arial"/>
        </w:rPr>
        <w:footnoteReference w:id="3"/>
      </w:r>
      <w:r w:rsidR="00AE7626" w:rsidRPr="00AB021E">
        <w:rPr>
          <w:rFonts w:ascii="Arial" w:hAnsi="Arial" w:cs="Arial"/>
        </w:rPr>
        <w:t>:</w:t>
      </w:r>
    </w:p>
    <w:p w14:paraId="1839ACB5" w14:textId="77777777" w:rsidR="00AE7626" w:rsidRPr="00AB021E" w:rsidRDefault="00AE7626" w:rsidP="00AE7626">
      <w:pPr>
        <w:pStyle w:val="BodyTextIndent"/>
        <w:numPr>
          <w:ilvl w:val="0"/>
          <w:numId w:val="30"/>
        </w:numPr>
        <w:rPr>
          <w:rFonts w:ascii="Arial" w:hAnsi="Arial" w:cs="Arial"/>
        </w:rPr>
      </w:pPr>
      <w:r w:rsidRPr="00AB021E">
        <w:rPr>
          <w:rFonts w:ascii="Arial" w:hAnsi="Arial" w:cs="Arial"/>
        </w:rPr>
        <w:t>Workforce data: representation across pay bands, likelihood of appointment from short-listing and likelihood of entering formal capability procedures</w:t>
      </w:r>
    </w:p>
    <w:p w14:paraId="77A3682D" w14:textId="686D06C7" w:rsidR="00AE7626" w:rsidRPr="00AB021E" w:rsidRDefault="00AE7626" w:rsidP="00AE7626">
      <w:pPr>
        <w:pStyle w:val="BodyTextIndent"/>
        <w:numPr>
          <w:ilvl w:val="0"/>
          <w:numId w:val="31"/>
        </w:numPr>
        <w:rPr>
          <w:rFonts w:ascii="Arial" w:hAnsi="Arial" w:cs="Arial"/>
        </w:rPr>
      </w:pPr>
      <w:r w:rsidRPr="00AB021E">
        <w:rPr>
          <w:rFonts w:ascii="Arial" w:hAnsi="Arial" w:cs="Arial"/>
        </w:rPr>
        <w:t xml:space="preserve">Five are based on questions from the national NHS Staff Survey, these map to    </w:t>
      </w:r>
      <w:r w:rsidR="001A0239" w:rsidRPr="00AB021E">
        <w:rPr>
          <w:rFonts w:ascii="Arial" w:hAnsi="Arial" w:cs="Arial"/>
        </w:rPr>
        <w:t xml:space="preserve">  </w:t>
      </w:r>
      <w:r w:rsidRPr="00AB021E">
        <w:rPr>
          <w:rFonts w:ascii="Arial" w:hAnsi="Arial" w:cs="Arial"/>
        </w:rPr>
        <w:t>WRES indicator plus the following</w:t>
      </w:r>
    </w:p>
    <w:p w14:paraId="52E0910A" w14:textId="77777777" w:rsidR="00AE7626" w:rsidRPr="00AB021E" w:rsidRDefault="00AE7626" w:rsidP="00AE7626">
      <w:pPr>
        <w:pStyle w:val="BodyTextIndent"/>
        <w:numPr>
          <w:ilvl w:val="1"/>
          <w:numId w:val="31"/>
        </w:numPr>
        <w:rPr>
          <w:rFonts w:ascii="Arial" w:hAnsi="Arial" w:cs="Arial"/>
        </w:rPr>
      </w:pPr>
      <w:r w:rsidRPr="00AB021E">
        <w:rPr>
          <w:rFonts w:ascii="Arial" w:hAnsi="Arial" w:cs="Arial"/>
        </w:rPr>
        <w:t xml:space="preserve">Percentage of Disabled staff compared to non-disabled staff saying that they have felt pressure from their manager to come to work, despite not feeling well enough to perform their duties. </w:t>
      </w:r>
    </w:p>
    <w:p w14:paraId="0C290EDE" w14:textId="77777777" w:rsidR="00AE7626" w:rsidRPr="00AB021E" w:rsidRDefault="00AE7626" w:rsidP="00AE7626">
      <w:pPr>
        <w:pStyle w:val="ListParagraph"/>
        <w:numPr>
          <w:ilvl w:val="1"/>
          <w:numId w:val="31"/>
        </w:numPr>
        <w:rPr>
          <w:szCs w:val="24"/>
        </w:rPr>
      </w:pPr>
      <w:r w:rsidRPr="00AB021E">
        <w:rPr>
          <w:szCs w:val="24"/>
        </w:rPr>
        <w:t>Percentage of Disabled staff compared to non-disabled staff saying that they are satisfied with the extent to which their organisation values their work.</w:t>
      </w:r>
    </w:p>
    <w:p w14:paraId="1E2C1326" w14:textId="77777777" w:rsidR="00AE7626" w:rsidRPr="00AB021E" w:rsidRDefault="00AE7626" w:rsidP="00AE7626">
      <w:pPr>
        <w:pStyle w:val="ListParagraph"/>
        <w:numPr>
          <w:ilvl w:val="1"/>
          <w:numId w:val="31"/>
        </w:numPr>
        <w:rPr>
          <w:szCs w:val="24"/>
        </w:rPr>
      </w:pPr>
      <w:r w:rsidRPr="00AB021E">
        <w:rPr>
          <w:szCs w:val="24"/>
        </w:rPr>
        <w:t xml:space="preserve">Percentage of Disabled staff saying that their employer has made adequate adjustment(s) to enable them to carry out their work. </w:t>
      </w:r>
    </w:p>
    <w:p w14:paraId="1BE74AA2" w14:textId="77777777" w:rsidR="00AE7626" w:rsidRPr="00AB021E" w:rsidRDefault="00AE7626" w:rsidP="00AE7626">
      <w:pPr>
        <w:pStyle w:val="ListParagraph"/>
        <w:numPr>
          <w:ilvl w:val="1"/>
          <w:numId w:val="31"/>
        </w:numPr>
        <w:rPr>
          <w:szCs w:val="24"/>
        </w:rPr>
      </w:pPr>
      <w:r w:rsidRPr="00AB021E">
        <w:rPr>
          <w:szCs w:val="24"/>
        </w:rPr>
        <w:lastRenderedPageBreak/>
        <w:t>Percentage of Disabled staff saying that their employer has made adequate</w:t>
      </w:r>
    </w:p>
    <w:p w14:paraId="1326FAAD" w14:textId="77777777" w:rsidR="00AE7626" w:rsidRPr="00AB021E" w:rsidRDefault="00AE7626" w:rsidP="00AE7626">
      <w:pPr>
        <w:pStyle w:val="ListParagraph"/>
        <w:numPr>
          <w:ilvl w:val="1"/>
          <w:numId w:val="31"/>
        </w:numPr>
        <w:rPr>
          <w:szCs w:val="24"/>
        </w:rPr>
      </w:pPr>
      <w:r w:rsidRPr="00AB021E">
        <w:rPr>
          <w:szCs w:val="24"/>
        </w:rPr>
        <w:t>adjustment(s) to enable them to carry out their work.</w:t>
      </w:r>
    </w:p>
    <w:p w14:paraId="596B7FCF" w14:textId="77777777" w:rsidR="00AE7626" w:rsidRPr="00AB021E" w:rsidRDefault="00AE7626" w:rsidP="00AE7626">
      <w:pPr>
        <w:pStyle w:val="ListParagraph"/>
        <w:numPr>
          <w:ilvl w:val="1"/>
          <w:numId w:val="31"/>
        </w:numPr>
        <w:rPr>
          <w:szCs w:val="24"/>
        </w:rPr>
      </w:pPr>
      <w:r w:rsidRPr="00AB021E">
        <w:rPr>
          <w:szCs w:val="24"/>
        </w:rPr>
        <w:t>The staff engagement score for Disabled staff, compared to non-disabled staff.</w:t>
      </w:r>
    </w:p>
    <w:p w14:paraId="62526B23" w14:textId="77777777" w:rsidR="00AE7626" w:rsidRPr="00AB021E" w:rsidRDefault="00AE7626" w:rsidP="00AE7626">
      <w:pPr>
        <w:pStyle w:val="ListParagraph"/>
        <w:numPr>
          <w:ilvl w:val="1"/>
          <w:numId w:val="31"/>
        </w:numPr>
        <w:rPr>
          <w:szCs w:val="24"/>
        </w:rPr>
      </w:pPr>
      <w:r w:rsidRPr="00AB021E">
        <w:rPr>
          <w:szCs w:val="24"/>
        </w:rPr>
        <w:t xml:space="preserve">Whether disabled staff feel the organisation has taken action to facilitate the voices of Disabled staff in your organisation to be heard? </w:t>
      </w:r>
    </w:p>
    <w:p w14:paraId="53080B5C" w14:textId="7E10B73C" w:rsidR="00AE7626" w:rsidRPr="00AB021E" w:rsidRDefault="00AE7626" w:rsidP="00E761CD">
      <w:pPr>
        <w:pStyle w:val="ListParagraph"/>
        <w:numPr>
          <w:ilvl w:val="0"/>
          <w:numId w:val="31"/>
        </w:numPr>
        <w:rPr>
          <w:szCs w:val="24"/>
        </w:rPr>
      </w:pPr>
      <w:r w:rsidRPr="00AB021E">
        <w:rPr>
          <w:szCs w:val="24"/>
        </w:rPr>
        <w:t>Disability representation on boards</w:t>
      </w:r>
    </w:p>
    <w:p w14:paraId="36416E2C" w14:textId="77777777" w:rsidR="00AD0682" w:rsidRPr="00AB021E" w:rsidRDefault="00AD0682" w:rsidP="00604AF1">
      <w:pPr>
        <w:pStyle w:val="BodyTextIndent"/>
        <w:ind w:left="720"/>
        <w:rPr>
          <w:rFonts w:ascii="Arial" w:hAnsi="Arial" w:cs="Arial"/>
          <w:b/>
          <w:bCs/>
        </w:rPr>
      </w:pPr>
    </w:p>
    <w:p w14:paraId="47597293" w14:textId="3D04FFDF" w:rsidR="00290FAF" w:rsidRPr="00AB021E" w:rsidRDefault="00290FAF" w:rsidP="00AE7626">
      <w:pPr>
        <w:pStyle w:val="BodyTextIndent"/>
        <w:ind w:left="0"/>
        <w:rPr>
          <w:rFonts w:ascii="Arial" w:hAnsi="Arial" w:cs="Arial"/>
        </w:rPr>
      </w:pPr>
      <w:r w:rsidRPr="00AB021E">
        <w:rPr>
          <w:rFonts w:ascii="Arial" w:hAnsi="Arial" w:cs="Arial"/>
        </w:rPr>
        <w:t xml:space="preserve">The </w:t>
      </w:r>
      <w:r w:rsidR="00ED3DEE">
        <w:rPr>
          <w:rFonts w:ascii="Arial" w:hAnsi="Arial" w:cs="Arial"/>
        </w:rPr>
        <w:t xml:space="preserve">level </w:t>
      </w:r>
      <w:r w:rsidRPr="00AB021E">
        <w:rPr>
          <w:rFonts w:ascii="Arial" w:hAnsi="Arial" w:cs="Arial"/>
        </w:rPr>
        <w:t xml:space="preserve">of disability disclosure </w:t>
      </w:r>
      <w:r w:rsidR="00ED3DEE">
        <w:rPr>
          <w:rFonts w:ascii="Arial" w:hAnsi="Arial" w:cs="Arial"/>
        </w:rPr>
        <w:t xml:space="preserve">is unclear.  Currently 16% of staff report not having a disability.  The remainder of staff records are undefined or undeclared.  The CCG team are commencing a data quality exercise in ESR with an emphasis on ensuring data fields are updated for disability. </w:t>
      </w:r>
    </w:p>
    <w:p w14:paraId="4A536D5A" w14:textId="7D96E2CB" w:rsidR="00AE7626" w:rsidRPr="00AB021E" w:rsidRDefault="00AE7626" w:rsidP="00AE7626">
      <w:pPr>
        <w:pStyle w:val="BodyTextIndent"/>
        <w:ind w:left="0"/>
        <w:rPr>
          <w:rFonts w:ascii="Arial" w:hAnsi="Arial" w:cs="Arial"/>
        </w:rPr>
      </w:pPr>
    </w:p>
    <w:p w14:paraId="2087826E" w14:textId="4FCE1492" w:rsidR="00AE7626" w:rsidRPr="00AB021E" w:rsidRDefault="00AE7626" w:rsidP="00AE7626">
      <w:pPr>
        <w:pStyle w:val="BodyTextIndent"/>
        <w:ind w:left="0"/>
        <w:rPr>
          <w:rFonts w:ascii="Arial" w:hAnsi="Arial" w:cs="Arial"/>
        </w:rPr>
      </w:pPr>
      <w:r w:rsidRPr="00AB021E">
        <w:rPr>
          <w:rFonts w:ascii="Arial" w:hAnsi="Arial" w:cs="Arial"/>
        </w:rPr>
        <w:t>Questions around disability were also asked in the pulse staff survey</w:t>
      </w:r>
      <w:r w:rsidR="005F6881" w:rsidRPr="00AB021E">
        <w:rPr>
          <w:rFonts w:ascii="Arial" w:hAnsi="Arial" w:cs="Arial"/>
        </w:rPr>
        <w:t xml:space="preserve"> but as previously state</w:t>
      </w:r>
      <w:r w:rsidR="000401A0" w:rsidRPr="00AB021E">
        <w:rPr>
          <w:rFonts w:ascii="Arial" w:hAnsi="Arial" w:cs="Arial"/>
        </w:rPr>
        <w:t>d</w:t>
      </w:r>
      <w:r w:rsidR="005F6881" w:rsidRPr="00AB021E">
        <w:rPr>
          <w:rFonts w:ascii="Arial" w:hAnsi="Arial" w:cs="Arial"/>
        </w:rPr>
        <w:t xml:space="preserve"> participation was </w:t>
      </w:r>
      <w:proofErr w:type="gramStart"/>
      <w:r w:rsidR="005F6881" w:rsidRPr="00AB021E">
        <w:rPr>
          <w:rFonts w:ascii="Arial" w:hAnsi="Arial" w:cs="Arial"/>
        </w:rPr>
        <w:t>low</w:t>
      </w:r>
      <w:proofErr w:type="gramEnd"/>
      <w:r w:rsidR="005F6881" w:rsidRPr="00AB021E">
        <w:rPr>
          <w:rFonts w:ascii="Arial" w:hAnsi="Arial" w:cs="Arial"/>
        </w:rPr>
        <w:t xml:space="preserve"> and it is difficult to draw accurate conclusions from the data.  However, it was noted that the percentage of staff who self-declared a disability was higher than indicated on ESR which is something to be explored in further work. </w:t>
      </w:r>
    </w:p>
    <w:p w14:paraId="394317DF" w14:textId="5DF795A9" w:rsidR="00AE7626" w:rsidRPr="00AB021E" w:rsidRDefault="00AE7626" w:rsidP="00AE7626">
      <w:pPr>
        <w:pStyle w:val="BodyTextIndent"/>
        <w:ind w:left="0"/>
        <w:rPr>
          <w:rFonts w:ascii="Arial" w:hAnsi="Arial" w:cs="Arial"/>
        </w:rPr>
      </w:pPr>
    </w:p>
    <w:p w14:paraId="0904CD2E" w14:textId="5B6C41CB" w:rsidR="00135B92" w:rsidRPr="00AB021E" w:rsidRDefault="00863EF6" w:rsidP="00135B92">
      <w:pPr>
        <w:pStyle w:val="BodyTextIndent"/>
        <w:ind w:left="0"/>
        <w:rPr>
          <w:rFonts w:ascii="Arial" w:hAnsi="Arial" w:cs="Arial"/>
          <w:b/>
          <w:bCs/>
        </w:rPr>
      </w:pPr>
      <w:r w:rsidRPr="00AB021E">
        <w:rPr>
          <w:rFonts w:ascii="Arial" w:hAnsi="Arial" w:cs="Arial"/>
        </w:rPr>
        <w:t>The CCG is a Disability Confident and Mindful Employer</w:t>
      </w:r>
      <w:r w:rsidR="00135B92" w:rsidRPr="00AB021E">
        <w:rPr>
          <w:rFonts w:ascii="Arial" w:hAnsi="Arial" w:cs="Arial"/>
        </w:rPr>
        <w:t xml:space="preserve"> and more information about the schemes can be found at: </w:t>
      </w:r>
      <w:hyperlink r:id="rId14" w:history="1">
        <w:r w:rsidR="00135B92" w:rsidRPr="00AB021E">
          <w:rPr>
            <w:rStyle w:val="Hyperlink"/>
            <w:rFonts w:ascii="Arial" w:hAnsi="Arial" w:cs="Arial"/>
          </w:rPr>
          <w:t>www.gov.uk/government/collections/disability-confident-campaign</w:t>
        </w:r>
      </w:hyperlink>
      <w:r w:rsidR="00135B92" w:rsidRPr="00AB021E">
        <w:rPr>
          <w:rFonts w:ascii="Arial" w:hAnsi="Arial" w:cs="Arial"/>
        </w:rPr>
        <w:t xml:space="preserve"> and </w:t>
      </w:r>
      <w:hyperlink r:id="rId15" w:history="1">
        <w:r w:rsidR="00135B92" w:rsidRPr="00AB021E">
          <w:rPr>
            <w:rStyle w:val="Hyperlink"/>
            <w:rFonts w:ascii="Arial" w:hAnsi="Arial" w:cs="Arial"/>
          </w:rPr>
          <w:t>www.mindfulemployer.dpt.nhs.uk/our-charter/signing-the-charter</w:t>
        </w:r>
      </w:hyperlink>
    </w:p>
    <w:p w14:paraId="4BA97191" w14:textId="77777777" w:rsidR="00AD0682" w:rsidRPr="00AB021E" w:rsidRDefault="00AD0682" w:rsidP="00135B92">
      <w:pPr>
        <w:pStyle w:val="BodyTextIndent"/>
        <w:ind w:left="0"/>
        <w:rPr>
          <w:rFonts w:ascii="Arial" w:hAnsi="Arial" w:cs="Arial"/>
          <w:b/>
          <w:bCs/>
        </w:rPr>
      </w:pPr>
    </w:p>
    <w:p w14:paraId="46139D0B" w14:textId="1CBE0FDE" w:rsidR="008C016A" w:rsidRPr="00AB021E" w:rsidRDefault="008C016A" w:rsidP="00ED3DEE">
      <w:pPr>
        <w:shd w:val="clear" w:color="auto" w:fill="FFFFFF"/>
        <w:spacing w:after="0"/>
        <w:rPr>
          <w:rFonts w:eastAsia="Times New Roman"/>
          <w:color w:val="222222"/>
          <w:szCs w:val="24"/>
          <w:lang w:eastAsia="en-GB"/>
        </w:rPr>
      </w:pPr>
    </w:p>
    <w:p w14:paraId="56356127" w14:textId="06B3538A" w:rsidR="00F76790" w:rsidRPr="00AB021E" w:rsidRDefault="00F76790" w:rsidP="008C016A">
      <w:pPr>
        <w:pStyle w:val="Heading1"/>
        <w:rPr>
          <w:sz w:val="24"/>
          <w:szCs w:val="24"/>
        </w:rPr>
      </w:pPr>
      <w:r w:rsidRPr="00AB021E">
        <w:rPr>
          <w:sz w:val="24"/>
          <w:szCs w:val="24"/>
        </w:rPr>
        <w:t>RECOMMENDATIONS</w:t>
      </w:r>
    </w:p>
    <w:p w14:paraId="58DD09D5" w14:textId="77777777" w:rsidR="00953DC4" w:rsidRPr="00AB021E" w:rsidRDefault="00953DC4" w:rsidP="00604AF1">
      <w:pPr>
        <w:spacing w:after="0"/>
        <w:jc w:val="both"/>
        <w:rPr>
          <w:b/>
          <w:i/>
          <w:szCs w:val="24"/>
          <w:u w:val="single"/>
        </w:rPr>
      </w:pPr>
    </w:p>
    <w:p w14:paraId="32CF031A" w14:textId="77777777" w:rsidR="0079619F" w:rsidRPr="00AB021E" w:rsidRDefault="00E02173" w:rsidP="00604AF1">
      <w:pPr>
        <w:spacing w:after="0"/>
        <w:jc w:val="both"/>
        <w:rPr>
          <w:color w:val="auto"/>
          <w:szCs w:val="24"/>
        </w:rPr>
      </w:pPr>
      <w:r w:rsidRPr="00AB021E">
        <w:rPr>
          <w:color w:val="auto"/>
          <w:szCs w:val="24"/>
        </w:rPr>
        <w:t xml:space="preserve"> 4.1</w:t>
      </w:r>
      <w:r w:rsidRPr="00AB021E">
        <w:rPr>
          <w:color w:val="auto"/>
          <w:szCs w:val="24"/>
        </w:rPr>
        <w:tab/>
      </w:r>
      <w:r w:rsidR="0079619F" w:rsidRPr="00AB021E">
        <w:rPr>
          <w:color w:val="auto"/>
          <w:szCs w:val="24"/>
        </w:rPr>
        <w:t>It is recommended that</w:t>
      </w:r>
      <w:r w:rsidR="00A61926" w:rsidRPr="00AB021E">
        <w:rPr>
          <w:color w:val="auto"/>
          <w:szCs w:val="24"/>
        </w:rPr>
        <w:t xml:space="preserve"> Members</w:t>
      </w:r>
      <w:r w:rsidR="0079619F" w:rsidRPr="00AB021E">
        <w:rPr>
          <w:color w:val="auto"/>
          <w:szCs w:val="24"/>
        </w:rPr>
        <w:t>:</w:t>
      </w:r>
    </w:p>
    <w:p w14:paraId="4AB6C44D" w14:textId="77777777" w:rsidR="00E02173" w:rsidRPr="00AB021E" w:rsidRDefault="00E02173" w:rsidP="00604AF1">
      <w:pPr>
        <w:spacing w:after="0"/>
        <w:jc w:val="both"/>
        <w:rPr>
          <w:color w:val="auto"/>
          <w:szCs w:val="24"/>
        </w:rPr>
      </w:pPr>
    </w:p>
    <w:p w14:paraId="77F03BC3" w14:textId="04D0DD12" w:rsidR="00F77873" w:rsidRPr="00F77873" w:rsidRDefault="00F77873" w:rsidP="00F77873">
      <w:pPr>
        <w:pStyle w:val="ListParagraph"/>
        <w:numPr>
          <w:ilvl w:val="0"/>
          <w:numId w:val="42"/>
        </w:numPr>
        <w:spacing w:after="0"/>
        <w:jc w:val="both"/>
        <w:rPr>
          <w:color w:val="auto"/>
          <w:szCs w:val="24"/>
        </w:rPr>
      </w:pPr>
      <w:r w:rsidRPr="00F77873">
        <w:rPr>
          <w:color w:val="auto"/>
          <w:szCs w:val="24"/>
        </w:rPr>
        <w:t>Note the CCG Workforce Equality Report.</w:t>
      </w:r>
    </w:p>
    <w:p w14:paraId="56319C34" w14:textId="279839BC" w:rsidR="00F77873" w:rsidRPr="00F77873" w:rsidRDefault="00F77873" w:rsidP="00F77873">
      <w:pPr>
        <w:pStyle w:val="ListParagraph"/>
        <w:numPr>
          <w:ilvl w:val="0"/>
          <w:numId w:val="42"/>
        </w:numPr>
        <w:spacing w:after="0"/>
        <w:jc w:val="both"/>
        <w:rPr>
          <w:color w:val="auto"/>
          <w:szCs w:val="24"/>
        </w:rPr>
      </w:pPr>
      <w:r w:rsidRPr="00F77873">
        <w:rPr>
          <w:color w:val="auto"/>
          <w:szCs w:val="24"/>
        </w:rPr>
        <w:t>Note the CCG’s WRES findings</w:t>
      </w:r>
      <w:r>
        <w:rPr>
          <w:color w:val="auto"/>
          <w:szCs w:val="24"/>
        </w:rPr>
        <w:t xml:space="preserve"> and supporting action plan.</w:t>
      </w:r>
    </w:p>
    <w:p w14:paraId="7923AD7F" w14:textId="45FF455A" w:rsidR="00F77873" w:rsidRPr="00F77873" w:rsidRDefault="00F77873" w:rsidP="00F77873">
      <w:pPr>
        <w:pStyle w:val="ListParagraph"/>
        <w:numPr>
          <w:ilvl w:val="0"/>
          <w:numId w:val="42"/>
        </w:numPr>
        <w:spacing w:after="0"/>
        <w:jc w:val="both"/>
        <w:rPr>
          <w:color w:val="auto"/>
          <w:szCs w:val="24"/>
        </w:rPr>
      </w:pPr>
      <w:r w:rsidRPr="00F77873">
        <w:rPr>
          <w:color w:val="auto"/>
          <w:szCs w:val="24"/>
        </w:rPr>
        <w:t>Endorse the CCG’s approach to the Workforce Disability Equality Standard</w:t>
      </w:r>
      <w:r w:rsidRPr="00F77873">
        <w:rPr>
          <w:color w:val="auto"/>
          <w:szCs w:val="24"/>
        </w:rPr>
        <w:t xml:space="preserve"> </w:t>
      </w:r>
      <w:r w:rsidRPr="00F77873">
        <w:rPr>
          <w:color w:val="auto"/>
          <w:szCs w:val="24"/>
        </w:rPr>
        <w:t>(WDES).</w:t>
      </w:r>
    </w:p>
    <w:p w14:paraId="5DDE2AD9" w14:textId="5C2456D2" w:rsidR="0079619F" w:rsidRPr="00F77873" w:rsidRDefault="00F77873" w:rsidP="00F77873">
      <w:pPr>
        <w:pStyle w:val="ListParagraph"/>
        <w:numPr>
          <w:ilvl w:val="0"/>
          <w:numId w:val="42"/>
        </w:numPr>
        <w:spacing w:after="0"/>
        <w:jc w:val="both"/>
        <w:rPr>
          <w:color w:val="auto"/>
          <w:szCs w:val="24"/>
        </w:rPr>
      </w:pPr>
      <w:r w:rsidRPr="00F77873">
        <w:rPr>
          <w:color w:val="auto"/>
          <w:szCs w:val="24"/>
        </w:rPr>
        <w:t>Note the proposed CCG approach to the Equality Delivery System (EDS).</w:t>
      </w:r>
    </w:p>
    <w:p w14:paraId="2F1EB0DB" w14:textId="77777777" w:rsidR="00953DC4" w:rsidRPr="00AB021E" w:rsidRDefault="00953DC4" w:rsidP="00604AF1">
      <w:pPr>
        <w:spacing w:after="0"/>
        <w:ind w:firstLine="284"/>
        <w:jc w:val="both"/>
        <w:rPr>
          <w:b/>
          <w:i/>
          <w:szCs w:val="24"/>
        </w:rPr>
      </w:pPr>
    </w:p>
    <w:p w14:paraId="55854EA0" w14:textId="77777777" w:rsidR="00290FAF" w:rsidRPr="00AB021E" w:rsidRDefault="00290FAF">
      <w:pPr>
        <w:spacing w:after="0"/>
        <w:rPr>
          <w:b/>
          <w:i/>
          <w:szCs w:val="24"/>
        </w:rPr>
        <w:sectPr w:rsidR="00290FAF" w:rsidRPr="00AB021E" w:rsidSect="000E184D">
          <w:footerReference w:type="default" r:id="rId16"/>
          <w:pgSz w:w="11906" w:h="16838"/>
          <w:pgMar w:top="1134" w:right="1134" w:bottom="1134" w:left="1276" w:header="709" w:footer="709" w:gutter="0"/>
          <w:cols w:space="708"/>
          <w:docGrid w:linePitch="360"/>
        </w:sectPr>
      </w:pPr>
    </w:p>
    <w:p w14:paraId="172159C8" w14:textId="77777777" w:rsidR="002801AC" w:rsidRPr="00AB021E" w:rsidRDefault="008C016A" w:rsidP="002801AC">
      <w:pPr>
        <w:spacing w:after="0"/>
        <w:rPr>
          <w:b/>
          <w:i/>
          <w:szCs w:val="24"/>
        </w:rPr>
      </w:pPr>
      <w:r w:rsidRPr="00AB021E">
        <w:rPr>
          <w:rFonts w:eastAsiaTheme="majorEastAsia" w:cstheme="majorBidi"/>
          <w:b/>
          <w:szCs w:val="24"/>
        </w:rPr>
        <w:lastRenderedPageBreak/>
        <w:t xml:space="preserve"> </w:t>
      </w:r>
    </w:p>
    <w:p w14:paraId="757E0387" w14:textId="74CFF662" w:rsidR="002801AC" w:rsidRPr="00AB021E" w:rsidRDefault="00793803" w:rsidP="00793803">
      <w:pPr>
        <w:keepNext/>
        <w:keepLines/>
        <w:spacing w:before="240" w:after="0"/>
        <w:outlineLvl w:val="0"/>
        <w:rPr>
          <w:rFonts w:eastAsiaTheme="majorEastAsia" w:cstheme="majorBidi"/>
          <w:b/>
          <w:szCs w:val="24"/>
        </w:rPr>
      </w:pPr>
      <w:r w:rsidRPr="00AB021E">
        <w:rPr>
          <w:rFonts w:eastAsiaTheme="majorEastAsia" w:cstheme="majorBidi"/>
          <w:b/>
          <w:szCs w:val="24"/>
        </w:rPr>
        <w:t xml:space="preserve">APPENDIX </w:t>
      </w:r>
      <w:r w:rsidR="00ED3DEE">
        <w:rPr>
          <w:rFonts w:eastAsiaTheme="majorEastAsia" w:cstheme="majorBidi"/>
          <w:b/>
          <w:szCs w:val="24"/>
        </w:rPr>
        <w:t>2</w:t>
      </w:r>
      <w:r w:rsidRPr="00AB021E">
        <w:rPr>
          <w:rFonts w:eastAsiaTheme="majorEastAsia" w:cstheme="majorBidi"/>
          <w:b/>
          <w:szCs w:val="24"/>
        </w:rPr>
        <w:t xml:space="preserve">:  </w:t>
      </w:r>
      <w:r w:rsidR="002801AC" w:rsidRPr="00AB021E">
        <w:rPr>
          <w:rFonts w:eastAsiaTheme="majorEastAsia" w:cstheme="majorBidi"/>
          <w:b/>
          <w:szCs w:val="24"/>
        </w:rPr>
        <w:t>Action Plan</w:t>
      </w:r>
    </w:p>
    <w:p w14:paraId="7E5A42E2" w14:textId="77777777" w:rsidR="002801AC" w:rsidRPr="00AB021E" w:rsidRDefault="002801AC" w:rsidP="002801AC">
      <w:pPr>
        <w:rPr>
          <w:szCs w:val="24"/>
        </w:rPr>
      </w:pPr>
    </w:p>
    <w:tbl>
      <w:tblPr>
        <w:tblStyle w:val="TableGrid"/>
        <w:tblW w:w="0" w:type="auto"/>
        <w:tblLook w:val="04A0" w:firstRow="1" w:lastRow="0" w:firstColumn="1" w:lastColumn="0" w:noHBand="0" w:noVBand="1"/>
      </w:tblPr>
      <w:tblGrid>
        <w:gridCol w:w="3316"/>
        <w:gridCol w:w="3322"/>
        <w:gridCol w:w="3248"/>
        <w:gridCol w:w="4656"/>
      </w:tblGrid>
      <w:tr w:rsidR="002801AC" w:rsidRPr="00AB021E" w14:paraId="27DCDF74" w14:textId="77777777" w:rsidTr="008274D0">
        <w:tc>
          <w:tcPr>
            <w:tcW w:w="3316" w:type="dxa"/>
          </w:tcPr>
          <w:p w14:paraId="67C4C738" w14:textId="77777777" w:rsidR="002801AC" w:rsidRPr="00AB021E" w:rsidRDefault="002801AC" w:rsidP="002801AC">
            <w:pPr>
              <w:rPr>
                <w:b/>
                <w:bCs/>
                <w:szCs w:val="24"/>
              </w:rPr>
            </w:pPr>
            <w:r w:rsidRPr="00AB021E">
              <w:rPr>
                <w:b/>
                <w:bCs/>
                <w:szCs w:val="24"/>
              </w:rPr>
              <w:t>Outcome</w:t>
            </w:r>
          </w:p>
        </w:tc>
        <w:tc>
          <w:tcPr>
            <w:tcW w:w="3322" w:type="dxa"/>
          </w:tcPr>
          <w:p w14:paraId="031B9793" w14:textId="77777777" w:rsidR="002801AC" w:rsidRPr="00AB021E" w:rsidRDefault="002801AC" w:rsidP="002801AC">
            <w:pPr>
              <w:rPr>
                <w:b/>
                <w:bCs/>
                <w:szCs w:val="24"/>
              </w:rPr>
            </w:pPr>
            <w:r w:rsidRPr="00AB021E">
              <w:rPr>
                <w:b/>
                <w:bCs/>
                <w:szCs w:val="24"/>
              </w:rPr>
              <w:t>Actions / approach</w:t>
            </w:r>
          </w:p>
        </w:tc>
        <w:tc>
          <w:tcPr>
            <w:tcW w:w="3248" w:type="dxa"/>
          </w:tcPr>
          <w:p w14:paraId="549288EA" w14:textId="77777777" w:rsidR="002801AC" w:rsidRPr="00AB021E" w:rsidRDefault="002801AC" w:rsidP="002801AC">
            <w:pPr>
              <w:rPr>
                <w:b/>
                <w:bCs/>
                <w:szCs w:val="24"/>
              </w:rPr>
            </w:pPr>
            <w:r w:rsidRPr="00AB021E">
              <w:rPr>
                <w:b/>
                <w:bCs/>
                <w:szCs w:val="24"/>
              </w:rPr>
              <w:t xml:space="preserve">Who </w:t>
            </w:r>
          </w:p>
        </w:tc>
        <w:tc>
          <w:tcPr>
            <w:tcW w:w="4656" w:type="dxa"/>
          </w:tcPr>
          <w:p w14:paraId="149B60CA" w14:textId="77777777" w:rsidR="002801AC" w:rsidRPr="00AB021E" w:rsidRDefault="002801AC" w:rsidP="002801AC">
            <w:pPr>
              <w:rPr>
                <w:b/>
                <w:bCs/>
                <w:szCs w:val="24"/>
              </w:rPr>
            </w:pPr>
            <w:r w:rsidRPr="00AB021E">
              <w:rPr>
                <w:b/>
                <w:bCs/>
                <w:szCs w:val="24"/>
              </w:rPr>
              <w:t>Review date</w:t>
            </w:r>
          </w:p>
        </w:tc>
      </w:tr>
      <w:tr w:rsidR="002801AC" w:rsidRPr="00AB021E" w14:paraId="3D630C6D" w14:textId="77777777" w:rsidTr="008274D0">
        <w:tc>
          <w:tcPr>
            <w:tcW w:w="3316" w:type="dxa"/>
            <w:vMerge w:val="restart"/>
          </w:tcPr>
          <w:p w14:paraId="5F753636" w14:textId="77777777" w:rsidR="002801AC" w:rsidRPr="00AB021E" w:rsidRDefault="002801AC" w:rsidP="002801AC">
            <w:pPr>
              <w:spacing w:after="0"/>
              <w:rPr>
                <w:color w:val="auto"/>
                <w:szCs w:val="24"/>
                <w:lang w:eastAsia="en-GB"/>
              </w:rPr>
            </w:pPr>
            <w:r w:rsidRPr="00AB021E">
              <w:rPr>
                <w:szCs w:val="24"/>
              </w:rPr>
              <w:t>Improved representation across the workforce of BME and disabled staff</w:t>
            </w:r>
          </w:p>
          <w:p w14:paraId="2EADA3FD" w14:textId="77777777" w:rsidR="002801AC" w:rsidRPr="00AB021E" w:rsidRDefault="002801AC" w:rsidP="002801AC">
            <w:pPr>
              <w:pBdr>
                <w:top w:val="nil"/>
                <w:left w:val="nil"/>
                <w:bottom w:val="nil"/>
                <w:right w:val="nil"/>
                <w:between w:val="nil"/>
              </w:pBdr>
              <w:spacing w:before="120" w:after="0"/>
              <w:rPr>
                <w:szCs w:val="24"/>
              </w:rPr>
            </w:pPr>
          </w:p>
        </w:tc>
        <w:tc>
          <w:tcPr>
            <w:tcW w:w="3322" w:type="dxa"/>
          </w:tcPr>
          <w:p w14:paraId="1FCAE699" w14:textId="77777777" w:rsidR="002801AC" w:rsidRPr="00AB021E" w:rsidRDefault="002801AC" w:rsidP="001A0239">
            <w:pPr>
              <w:pBdr>
                <w:top w:val="nil"/>
                <w:left w:val="nil"/>
                <w:bottom w:val="nil"/>
                <w:right w:val="nil"/>
                <w:between w:val="nil"/>
              </w:pBdr>
              <w:spacing w:before="120" w:after="0"/>
              <w:rPr>
                <w:rFonts w:eastAsia="Arial"/>
                <w:color w:val="000000"/>
                <w:szCs w:val="24"/>
              </w:rPr>
            </w:pPr>
            <w:r w:rsidRPr="00AB021E">
              <w:rPr>
                <w:rFonts w:eastAsia="Arial"/>
                <w:color w:val="000000"/>
                <w:szCs w:val="24"/>
              </w:rPr>
              <w:t>Continue to build recruiting manager capability to embed E&amp;D good practice in all recruitment advertising</w:t>
            </w:r>
          </w:p>
          <w:p w14:paraId="77ABE6C7" w14:textId="0623A057" w:rsidR="001A0239" w:rsidRPr="00AB021E" w:rsidRDefault="001A0239" w:rsidP="001A0239">
            <w:pPr>
              <w:pBdr>
                <w:top w:val="nil"/>
                <w:left w:val="nil"/>
                <w:bottom w:val="nil"/>
                <w:right w:val="nil"/>
                <w:between w:val="nil"/>
              </w:pBdr>
              <w:spacing w:before="120" w:after="0"/>
              <w:rPr>
                <w:szCs w:val="24"/>
              </w:rPr>
            </w:pPr>
          </w:p>
        </w:tc>
        <w:tc>
          <w:tcPr>
            <w:tcW w:w="3248" w:type="dxa"/>
          </w:tcPr>
          <w:p w14:paraId="18C14872" w14:textId="742174B5" w:rsidR="002801AC" w:rsidRPr="00AB021E" w:rsidRDefault="002801AC" w:rsidP="002801AC">
            <w:pPr>
              <w:rPr>
                <w:szCs w:val="24"/>
              </w:rPr>
            </w:pPr>
            <w:r w:rsidRPr="00AB021E">
              <w:rPr>
                <w:szCs w:val="24"/>
              </w:rPr>
              <w:t>HR</w:t>
            </w:r>
            <w:r w:rsidR="00285619" w:rsidRPr="00AB021E">
              <w:rPr>
                <w:szCs w:val="24"/>
              </w:rPr>
              <w:t xml:space="preserve"> Humber</w:t>
            </w:r>
          </w:p>
        </w:tc>
        <w:tc>
          <w:tcPr>
            <w:tcW w:w="4656" w:type="dxa"/>
          </w:tcPr>
          <w:p w14:paraId="4A050379" w14:textId="34F406C4" w:rsidR="002801AC" w:rsidRPr="00AB021E" w:rsidRDefault="001A0239" w:rsidP="002801AC">
            <w:pPr>
              <w:rPr>
                <w:szCs w:val="24"/>
              </w:rPr>
            </w:pPr>
            <w:r w:rsidRPr="00AB021E">
              <w:rPr>
                <w:szCs w:val="24"/>
              </w:rPr>
              <w:t>Ongoing</w:t>
            </w:r>
          </w:p>
        </w:tc>
      </w:tr>
      <w:tr w:rsidR="002801AC" w:rsidRPr="00AB021E" w14:paraId="1FDDD10A" w14:textId="77777777" w:rsidTr="008274D0">
        <w:tc>
          <w:tcPr>
            <w:tcW w:w="3316" w:type="dxa"/>
            <w:vMerge/>
          </w:tcPr>
          <w:p w14:paraId="1BE098C7" w14:textId="77777777" w:rsidR="002801AC" w:rsidRPr="00AB021E" w:rsidRDefault="002801AC" w:rsidP="002801AC">
            <w:pPr>
              <w:pBdr>
                <w:top w:val="nil"/>
                <w:left w:val="nil"/>
                <w:bottom w:val="nil"/>
                <w:right w:val="nil"/>
                <w:between w:val="nil"/>
              </w:pBdr>
              <w:spacing w:after="0"/>
              <w:rPr>
                <w:szCs w:val="24"/>
              </w:rPr>
            </w:pPr>
          </w:p>
        </w:tc>
        <w:tc>
          <w:tcPr>
            <w:tcW w:w="3322" w:type="dxa"/>
          </w:tcPr>
          <w:p w14:paraId="1251C258" w14:textId="77777777" w:rsidR="002801AC" w:rsidRPr="00AB021E" w:rsidRDefault="002801AC" w:rsidP="002801AC">
            <w:pPr>
              <w:pBdr>
                <w:top w:val="nil"/>
                <w:left w:val="nil"/>
                <w:bottom w:val="nil"/>
                <w:right w:val="nil"/>
                <w:between w:val="nil"/>
              </w:pBdr>
              <w:spacing w:after="0"/>
              <w:rPr>
                <w:rFonts w:eastAsia="Arial"/>
                <w:color w:val="000000"/>
                <w:szCs w:val="24"/>
              </w:rPr>
            </w:pPr>
            <w:r w:rsidRPr="00AB021E">
              <w:rPr>
                <w:rFonts w:eastAsia="Arial"/>
                <w:color w:val="000000"/>
                <w:szCs w:val="24"/>
              </w:rPr>
              <w:t xml:space="preserve">Positive action to actively promote job opportunities and troubleshoot application process (find out where people experience barriers and if any additional support needed) </w:t>
            </w:r>
          </w:p>
          <w:p w14:paraId="65995859" w14:textId="77777777" w:rsidR="002801AC" w:rsidRPr="00AB021E" w:rsidRDefault="002801AC" w:rsidP="002801AC">
            <w:pPr>
              <w:rPr>
                <w:szCs w:val="24"/>
              </w:rPr>
            </w:pPr>
          </w:p>
        </w:tc>
        <w:tc>
          <w:tcPr>
            <w:tcW w:w="3248" w:type="dxa"/>
          </w:tcPr>
          <w:p w14:paraId="46DF38E1" w14:textId="63446405" w:rsidR="002801AC" w:rsidRPr="00AB021E" w:rsidRDefault="002801AC" w:rsidP="002801AC">
            <w:pPr>
              <w:rPr>
                <w:szCs w:val="24"/>
              </w:rPr>
            </w:pPr>
            <w:r w:rsidRPr="00AB021E">
              <w:rPr>
                <w:szCs w:val="24"/>
              </w:rPr>
              <w:t>HR</w:t>
            </w:r>
            <w:r w:rsidR="00285619" w:rsidRPr="00AB021E">
              <w:rPr>
                <w:szCs w:val="24"/>
              </w:rPr>
              <w:t xml:space="preserve"> Humber</w:t>
            </w:r>
            <w:r w:rsidRPr="00AB021E">
              <w:rPr>
                <w:szCs w:val="24"/>
              </w:rPr>
              <w:t>/Comms</w:t>
            </w:r>
            <w:r w:rsidR="00285619" w:rsidRPr="00AB021E">
              <w:rPr>
                <w:szCs w:val="24"/>
              </w:rPr>
              <w:t xml:space="preserve"> Team</w:t>
            </w:r>
          </w:p>
        </w:tc>
        <w:tc>
          <w:tcPr>
            <w:tcW w:w="4656" w:type="dxa"/>
          </w:tcPr>
          <w:p w14:paraId="7C95F4D0" w14:textId="19EC8E47" w:rsidR="002801AC" w:rsidRPr="00AB021E" w:rsidRDefault="001A0239" w:rsidP="002801AC">
            <w:pPr>
              <w:rPr>
                <w:szCs w:val="24"/>
              </w:rPr>
            </w:pPr>
            <w:r w:rsidRPr="00AB021E">
              <w:rPr>
                <w:szCs w:val="24"/>
              </w:rPr>
              <w:t>Ongoing</w:t>
            </w:r>
          </w:p>
        </w:tc>
      </w:tr>
      <w:tr w:rsidR="002801AC" w:rsidRPr="00AB021E" w14:paraId="0C4BAEDF" w14:textId="77777777" w:rsidTr="008274D0">
        <w:tc>
          <w:tcPr>
            <w:tcW w:w="3316" w:type="dxa"/>
            <w:vMerge/>
          </w:tcPr>
          <w:p w14:paraId="1BA941AE" w14:textId="77777777" w:rsidR="002801AC" w:rsidRPr="00AB021E" w:rsidRDefault="002801AC" w:rsidP="002801AC">
            <w:pPr>
              <w:pBdr>
                <w:top w:val="nil"/>
                <w:left w:val="nil"/>
                <w:bottom w:val="nil"/>
                <w:right w:val="nil"/>
                <w:between w:val="nil"/>
              </w:pBdr>
              <w:spacing w:after="0"/>
              <w:rPr>
                <w:szCs w:val="24"/>
              </w:rPr>
            </w:pPr>
          </w:p>
        </w:tc>
        <w:tc>
          <w:tcPr>
            <w:tcW w:w="3322" w:type="dxa"/>
          </w:tcPr>
          <w:p w14:paraId="21EE2B7A" w14:textId="4906BEC3" w:rsidR="002801AC" w:rsidRPr="00AB021E" w:rsidRDefault="002801AC" w:rsidP="002801AC">
            <w:pPr>
              <w:pBdr>
                <w:top w:val="nil"/>
                <w:left w:val="nil"/>
                <w:bottom w:val="nil"/>
                <w:right w:val="nil"/>
                <w:between w:val="nil"/>
              </w:pBdr>
              <w:spacing w:after="0"/>
              <w:rPr>
                <w:rFonts w:eastAsia="Arial"/>
                <w:color w:val="000000"/>
                <w:szCs w:val="24"/>
              </w:rPr>
            </w:pPr>
            <w:r w:rsidRPr="00AB021E">
              <w:rPr>
                <w:rFonts w:eastAsia="Arial"/>
                <w:color w:val="000000"/>
                <w:szCs w:val="24"/>
              </w:rPr>
              <w:t>Promote any recruitment opportunities via social media and through community networks</w:t>
            </w:r>
            <w:r w:rsidR="001A0239" w:rsidRPr="00AB021E">
              <w:rPr>
                <w:rFonts w:eastAsia="Arial"/>
                <w:color w:val="000000"/>
                <w:szCs w:val="24"/>
              </w:rPr>
              <w:t xml:space="preserve">, such as Forum newsletter </w:t>
            </w:r>
          </w:p>
          <w:p w14:paraId="474969E8" w14:textId="45FD4FE0" w:rsidR="001A0239" w:rsidRPr="00AB021E" w:rsidRDefault="001A0239" w:rsidP="002801AC">
            <w:pPr>
              <w:pBdr>
                <w:top w:val="nil"/>
                <w:left w:val="nil"/>
                <w:bottom w:val="nil"/>
                <w:right w:val="nil"/>
                <w:between w:val="nil"/>
              </w:pBdr>
              <w:spacing w:after="0"/>
              <w:rPr>
                <w:rFonts w:eastAsia="Arial"/>
                <w:color w:val="000000"/>
                <w:szCs w:val="24"/>
              </w:rPr>
            </w:pPr>
          </w:p>
        </w:tc>
        <w:tc>
          <w:tcPr>
            <w:tcW w:w="3248" w:type="dxa"/>
          </w:tcPr>
          <w:p w14:paraId="6670BDE0" w14:textId="24B27CE6" w:rsidR="002801AC" w:rsidRPr="00AB021E" w:rsidRDefault="002801AC" w:rsidP="002801AC">
            <w:pPr>
              <w:rPr>
                <w:szCs w:val="24"/>
              </w:rPr>
            </w:pPr>
            <w:r w:rsidRPr="00AB021E">
              <w:rPr>
                <w:szCs w:val="24"/>
              </w:rPr>
              <w:t>HR</w:t>
            </w:r>
            <w:r w:rsidR="00285619" w:rsidRPr="00AB021E">
              <w:rPr>
                <w:szCs w:val="24"/>
              </w:rPr>
              <w:t xml:space="preserve"> Humber</w:t>
            </w:r>
            <w:r w:rsidRPr="00AB021E">
              <w:rPr>
                <w:szCs w:val="24"/>
              </w:rPr>
              <w:t>/Comms</w:t>
            </w:r>
            <w:r w:rsidR="00285619" w:rsidRPr="00AB021E">
              <w:rPr>
                <w:szCs w:val="24"/>
              </w:rPr>
              <w:t xml:space="preserve"> Team</w:t>
            </w:r>
          </w:p>
        </w:tc>
        <w:tc>
          <w:tcPr>
            <w:tcW w:w="4656" w:type="dxa"/>
          </w:tcPr>
          <w:p w14:paraId="0E3116FD" w14:textId="0337498A" w:rsidR="002801AC" w:rsidRPr="00AB021E" w:rsidRDefault="001A0239" w:rsidP="002801AC">
            <w:pPr>
              <w:rPr>
                <w:szCs w:val="24"/>
              </w:rPr>
            </w:pPr>
            <w:r w:rsidRPr="00AB021E">
              <w:rPr>
                <w:szCs w:val="24"/>
              </w:rPr>
              <w:t>Ongoing</w:t>
            </w:r>
          </w:p>
        </w:tc>
      </w:tr>
      <w:tr w:rsidR="002801AC" w:rsidRPr="00AB021E" w14:paraId="0D9D7756" w14:textId="77777777" w:rsidTr="008274D0">
        <w:tc>
          <w:tcPr>
            <w:tcW w:w="3316" w:type="dxa"/>
            <w:vMerge/>
          </w:tcPr>
          <w:p w14:paraId="4E805503" w14:textId="77777777" w:rsidR="002801AC" w:rsidRPr="00AB021E" w:rsidRDefault="002801AC" w:rsidP="002801AC">
            <w:pPr>
              <w:rPr>
                <w:szCs w:val="24"/>
              </w:rPr>
            </w:pPr>
          </w:p>
        </w:tc>
        <w:tc>
          <w:tcPr>
            <w:tcW w:w="3322" w:type="dxa"/>
          </w:tcPr>
          <w:p w14:paraId="2C4A302E" w14:textId="77777777" w:rsidR="002801AC" w:rsidRPr="00AB021E" w:rsidRDefault="002801AC" w:rsidP="002801AC">
            <w:pPr>
              <w:rPr>
                <w:szCs w:val="24"/>
              </w:rPr>
            </w:pPr>
            <w:r w:rsidRPr="00AB021E">
              <w:rPr>
                <w:szCs w:val="24"/>
              </w:rPr>
              <w:t>Analyse candidate application, shortlisting and recruitment data</w:t>
            </w:r>
          </w:p>
        </w:tc>
        <w:tc>
          <w:tcPr>
            <w:tcW w:w="3248" w:type="dxa"/>
          </w:tcPr>
          <w:p w14:paraId="35271141" w14:textId="57F73589" w:rsidR="002801AC" w:rsidRPr="00AB021E" w:rsidRDefault="002801AC" w:rsidP="002801AC">
            <w:pPr>
              <w:rPr>
                <w:szCs w:val="24"/>
              </w:rPr>
            </w:pPr>
            <w:r w:rsidRPr="00AB021E">
              <w:rPr>
                <w:szCs w:val="24"/>
              </w:rPr>
              <w:t>HR</w:t>
            </w:r>
            <w:r w:rsidR="00285619" w:rsidRPr="00AB021E">
              <w:rPr>
                <w:szCs w:val="24"/>
              </w:rPr>
              <w:t xml:space="preserve"> Humber</w:t>
            </w:r>
          </w:p>
        </w:tc>
        <w:tc>
          <w:tcPr>
            <w:tcW w:w="4656" w:type="dxa"/>
          </w:tcPr>
          <w:p w14:paraId="36CDBB76" w14:textId="77777777" w:rsidR="002801AC" w:rsidRPr="00AB021E" w:rsidRDefault="002801AC" w:rsidP="002801AC">
            <w:pPr>
              <w:rPr>
                <w:szCs w:val="24"/>
              </w:rPr>
            </w:pPr>
            <w:r w:rsidRPr="00AB021E">
              <w:rPr>
                <w:szCs w:val="24"/>
              </w:rPr>
              <w:t>March 2022</w:t>
            </w:r>
          </w:p>
        </w:tc>
      </w:tr>
      <w:tr w:rsidR="001A0239" w:rsidRPr="00AB021E" w14:paraId="72756A3C" w14:textId="77777777" w:rsidTr="008274D0">
        <w:tc>
          <w:tcPr>
            <w:tcW w:w="3316" w:type="dxa"/>
            <w:vMerge w:val="restart"/>
          </w:tcPr>
          <w:p w14:paraId="64F11E6D" w14:textId="387BDC25" w:rsidR="001A0239" w:rsidRPr="00AB021E" w:rsidRDefault="001A0239" w:rsidP="002801AC">
            <w:pPr>
              <w:rPr>
                <w:szCs w:val="24"/>
              </w:rPr>
            </w:pPr>
            <w:r w:rsidRPr="00AB021E">
              <w:rPr>
                <w:szCs w:val="24"/>
              </w:rPr>
              <w:t xml:space="preserve">Staff survey data is used to identify themes and trends </w:t>
            </w:r>
            <w:r w:rsidRPr="00AB021E">
              <w:rPr>
                <w:szCs w:val="24"/>
              </w:rPr>
              <w:lastRenderedPageBreak/>
              <w:t>and inform action plans</w:t>
            </w:r>
          </w:p>
        </w:tc>
        <w:tc>
          <w:tcPr>
            <w:tcW w:w="3322" w:type="dxa"/>
          </w:tcPr>
          <w:p w14:paraId="11292866" w14:textId="02BDC8AE" w:rsidR="001A0239" w:rsidRPr="00AB021E" w:rsidRDefault="001A0239" w:rsidP="002801AC">
            <w:pPr>
              <w:rPr>
                <w:szCs w:val="24"/>
                <w:highlight w:val="green"/>
              </w:rPr>
            </w:pPr>
            <w:r w:rsidRPr="00AB021E">
              <w:rPr>
                <w:szCs w:val="24"/>
              </w:rPr>
              <w:lastRenderedPageBreak/>
              <w:t xml:space="preserve">Further analyse of pulse survey data and work undertaken to increase </w:t>
            </w:r>
            <w:r w:rsidRPr="00AB021E">
              <w:rPr>
                <w:szCs w:val="24"/>
              </w:rPr>
              <w:lastRenderedPageBreak/>
              <w:t>uptake in future surveys.</w:t>
            </w:r>
          </w:p>
        </w:tc>
        <w:tc>
          <w:tcPr>
            <w:tcW w:w="3248" w:type="dxa"/>
          </w:tcPr>
          <w:p w14:paraId="72FF7AA3" w14:textId="72A5DB33" w:rsidR="001A0239" w:rsidRPr="00AB021E" w:rsidRDefault="001A0239" w:rsidP="002801AC">
            <w:pPr>
              <w:rPr>
                <w:szCs w:val="24"/>
              </w:rPr>
            </w:pPr>
            <w:r w:rsidRPr="00AB021E">
              <w:rPr>
                <w:szCs w:val="24"/>
              </w:rPr>
              <w:lastRenderedPageBreak/>
              <w:t>HR Humber</w:t>
            </w:r>
          </w:p>
        </w:tc>
        <w:tc>
          <w:tcPr>
            <w:tcW w:w="4656" w:type="dxa"/>
          </w:tcPr>
          <w:p w14:paraId="4E10B826" w14:textId="2347B642" w:rsidR="001A0239" w:rsidRPr="00AB021E" w:rsidRDefault="001A0239" w:rsidP="002801AC">
            <w:pPr>
              <w:rPr>
                <w:szCs w:val="24"/>
              </w:rPr>
            </w:pPr>
            <w:r w:rsidRPr="00AB021E">
              <w:rPr>
                <w:szCs w:val="24"/>
              </w:rPr>
              <w:t>December 2021</w:t>
            </w:r>
          </w:p>
        </w:tc>
      </w:tr>
      <w:tr w:rsidR="001A0239" w:rsidRPr="00AB021E" w14:paraId="6A6F9798" w14:textId="77777777" w:rsidTr="008274D0">
        <w:tc>
          <w:tcPr>
            <w:tcW w:w="3316" w:type="dxa"/>
            <w:vMerge/>
          </w:tcPr>
          <w:p w14:paraId="319A7B94" w14:textId="77777777" w:rsidR="001A0239" w:rsidRPr="00AB021E" w:rsidRDefault="001A0239" w:rsidP="002801AC">
            <w:pPr>
              <w:rPr>
                <w:szCs w:val="24"/>
              </w:rPr>
            </w:pPr>
          </w:p>
        </w:tc>
        <w:tc>
          <w:tcPr>
            <w:tcW w:w="3322" w:type="dxa"/>
          </w:tcPr>
          <w:p w14:paraId="0E83A00E" w14:textId="0F29AB45" w:rsidR="001A0239" w:rsidRPr="00AB021E" w:rsidRDefault="001A0239" w:rsidP="002801AC">
            <w:pPr>
              <w:rPr>
                <w:szCs w:val="24"/>
              </w:rPr>
            </w:pPr>
            <w:r w:rsidRPr="00AB021E">
              <w:rPr>
                <w:szCs w:val="24"/>
              </w:rPr>
              <w:t>Discussion of results of local pulse survey and the national quarterly pulse survey with Health and Wellbeing Group to identify possible further support to staff.</w:t>
            </w:r>
          </w:p>
        </w:tc>
        <w:tc>
          <w:tcPr>
            <w:tcW w:w="3248" w:type="dxa"/>
          </w:tcPr>
          <w:p w14:paraId="6A9FF0E8" w14:textId="247A707C" w:rsidR="001A0239" w:rsidRPr="00AB021E" w:rsidRDefault="001A0239" w:rsidP="002801AC">
            <w:pPr>
              <w:rPr>
                <w:szCs w:val="24"/>
              </w:rPr>
            </w:pPr>
            <w:r w:rsidRPr="00AB021E">
              <w:rPr>
                <w:szCs w:val="24"/>
              </w:rPr>
              <w:t>HR Humber / Health and Wellbeing Group</w:t>
            </w:r>
          </w:p>
        </w:tc>
        <w:tc>
          <w:tcPr>
            <w:tcW w:w="4656" w:type="dxa"/>
          </w:tcPr>
          <w:p w14:paraId="14E9DA7D" w14:textId="6192D3E8" w:rsidR="001A0239" w:rsidRPr="00AB021E" w:rsidRDefault="001A0239" w:rsidP="002801AC">
            <w:pPr>
              <w:rPr>
                <w:szCs w:val="24"/>
              </w:rPr>
            </w:pPr>
            <w:r w:rsidRPr="00AB021E">
              <w:rPr>
                <w:szCs w:val="24"/>
              </w:rPr>
              <w:t>December 2021</w:t>
            </w:r>
          </w:p>
        </w:tc>
      </w:tr>
      <w:tr w:rsidR="002801AC" w:rsidRPr="00AB021E" w14:paraId="041644EA" w14:textId="77777777" w:rsidTr="008274D0">
        <w:tc>
          <w:tcPr>
            <w:tcW w:w="3316" w:type="dxa"/>
          </w:tcPr>
          <w:p w14:paraId="6CF7CD12" w14:textId="259CCBA7" w:rsidR="002801AC" w:rsidRPr="00AB021E" w:rsidRDefault="00285619" w:rsidP="002801AC">
            <w:pPr>
              <w:rPr>
                <w:szCs w:val="24"/>
              </w:rPr>
            </w:pPr>
            <w:r w:rsidRPr="00AB021E">
              <w:rPr>
                <w:szCs w:val="24"/>
              </w:rPr>
              <w:t>S</w:t>
            </w:r>
            <w:r w:rsidR="002801AC" w:rsidRPr="00AB021E">
              <w:rPr>
                <w:szCs w:val="24"/>
              </w:rPr>
              <w:t>taff are aware of how to report any bullying, harassment or abuse and support available to them.</w:t>
            </w:r>
          </w:p>
        </w:tc>
        <w:tc>
          <w:tcPr>
            <w:tcW w:w="3322" w:type="dxa"/>
          </w:tcPr>
          <w:p w14:paraId="79831988" w14:textId="403A1D55" w:rsidR="002801AC" w:rsidRPr="00AB021E" w:rsidRDefault="002801AC" w:rsidP="002801AC">
            <w:pPr>
              <w:rPr>
                <w:szCs w:val="24"/>
              </w:rPr>
            </w:pPr>
            <w:r w:rsidRPr="00AB021E">
              <w:rPr>
                <w:szCs w:val="24"/>
              </w:rPr>
              <w:t xml:space="preserve">Launch and </w:t>
            </w:r>
            <w:r w:rsidR="00285619" w:rsidRPr="00AB021E">
              <w:rPr>
                <w:szCs w:val="24"/>
              </w:rPr>
              <w:t>p</w:t>
            </w:r>
            <w:r w:rsidRPr="00AB021E">
              <w:rPr>
                <w:szCs w:val="24"/>
              </w:rPr>
              <w:t xml:space="preserve">romotion of new Dignity and Respect at Work Policy through </w:t>
            </w:r>
            <w:r w:rsidR="00285619" w:rsidRPr="00AB021E">
              <w:rPr>
                <w:szCs w:val="24"/>
              </w:rPr>
              <w:t>T</w:t>
            </w:r>
            <w:r w:rsidRPr="00AB021E">
              <w:rPr>
                <w:szCs w:val="24"/>
              </w:rPr>
              <w:t xml:space="preserve">eam </w:t>
            </w:r>
            <w:r w:rsidR="00285619" w:rsidRPr="00AB021E">
              <w:rPr>
                <w:szCs w:val="24"/>
              </w:rPr>
              <w:t>B</w:t>
            </w:r>
            <w:r w:rsidRPr="00AB021E">
              <w:rPr>
                <w:szCs w:val="24"/>
              </w:rPr>
              <w:t>rief and bitesize training session if demand.</w:t>
            </w:r>
          </w:p>
        </w:tc>
        <w:tc>
          <w:tcPr>
            <w:tcW w:w="3248" w:type="dxa"/>
          </w:tcPr>
          <w:p w14:paraId="3577691F" w14:textId="53D70265" w:rsidR="002801AC" w:rsidRPr="00AB021E" w:rsidRDefault="002801AC" w:rsidP="002801AC">
            <w:pPr>
              <w:rPr>
                <w:szCs w:val="24"/>
              </w:rPr>
            </w:pPr>
            <w:r w:rsidRPr="00AB021E">
              <w:rPr>
                <w:szCs w:val="24"/>
              </w:rPr>
              <w:t>HR</w:t>
            </w:r>
            <w:r w:rsidR="00285619" w:rsidRPr="00AB021E">
              <w:rPr>
                <w:szCs w:val="24"/>
              </w:rPr>
              <w:t xml:space="preserve"> Humber /</w:t>
            </w:r>
            <w:r w:rsidRPr="00AB021E">
              <w:rPr>
                <w:szCs w:val="24"/>
              </w:rPr>
              <w:t>Comms</w:t>
            </w:r>
            <w:r w:rsidR="00285619" w:rsidRPr="00AB021E">
              <w:rPr>
                <w:szCs w:val="24"/>
              </w:rPr>
              <w:t xml:space="preserve"> Team</w:t>
            </w:r>
          </w:p>
        </w:tc>
        <w:tc>
          <w:tcPr>
            <w:tcW w:w="4656" w:type="dxa"/>
          </w:tcPr>
          <w:p w14:paraId="4108A7B3" w14:textId="77777777" w:rsidR="002801AC" w:rsidRPr="00AB021E" w:rsidRDefault="002801AC" w:rsidP="002801AC">
            <w:pPr>
              <w:rPr>
                <w:szCs w:val="24"/>
              </w:rPr>
            </w:pPr>
            <w:r w:rsidRPr="00AB021E">
              <w:rPr>
                <w:szCs w:val="24"/>
              </w:rPr>
              <w:t>March 2022</w:t>
            </w:r>
          </w:p>
        </w:tc>
      </w:tr>
      <w:tr w:rsidR="00285619" w:rsidRPr="00AB021E" w14:paraId="77B6D26A" w14:textId="77777777" w:rsidTr="008274D0">
        <w:tc>
          <w:tcPr>
            <w:tcW w:w="3316" w:type="dxa"/>
          </w:tcPr>
          <w:p w14:paraId="132C02EA" w14:textId="182858FC" w:rsidR="00285619" w:rsidRPr="00AB021E" w:rsidRDefault="00285619" w:rsidP="002801AC">
            <w:pPr>
              <w:rPr>
                <w:szCs w:val="24"/>
              </w:rPr>
            </w:pPr>
            <w:r w:rsidRPr="00AB021E">
              <w:rPr>
                <w:szCs w:val="24"/>
              </w:rPr>
              <w:t xml:space="preserve">Improved data collection from ESR including </w:t>
            </w:r>
            <w:r w:rsidR="001A0239" w:rsidRPr="00AB021E">
              <w:rPr>
                <w:szCs w:val="24"/>
              </w:rPr>
              <w:t xml:space="preserve">% of </w:t>
            </w:r>
            <w:r w:rsidRPr="00AB021E">
              <w:rPr>
                <w:szCs w:val="24"/>
              </w:rPr>
              <w:t xml:space="preserve">staff declaring a disability </w:t>
            </w:r>
          </w:p>
        </w:tc>
        <w:tc>
          <w:tcPr>
            <w:tcW w:w="3322" w:type="dxa"/>
          </w:tcPr>
          <w:p w14:paraId="1A7883CE" w14:textId="45C877AE" w:rsidR="00285619" w:rsidRPr="00AB021E" w:rsidRDefault="001A0239" w:rsidP="002801AC">
            <w:pPr>
              <w:rPr>
                <w:szCs w:val="24"/>
              </w:rPr>
            </w:pPr>
            <w:r w:rsidRPr="00AB021E">
              <w:rPr>
                <w:szCs w:val="24"/>
              </w:rPr>
              <w:t>Promote the requirement for staff to accurately update their ESR record.</w:t>
            </w:r>
          </w:p>
        </w:tc>
        <w:tc>
          <w:tcPr>
            <w:tcW w:w="3248" w:type="dxa"/>
          </w:tcPr>
          <w:p w14:paraId="1C65438A" w14:textId="0856954E" w:rsidR="00285619" w:rsidRPr="00AB021E" w:rsidRDefault="001A0239" w:rsidP="002801AC">
            <w:pPr>
              <w:rPr>
                <w:szCs w:val="24"/>
              </w:rPr>
            </w:pPr>
            <w:r w:rsidRPr="00AB021E">
              <w:rPr>
                <w:szCs w:val="24"/>
              </w:rPr>
              <w:t>HR Humber / Comms Team</w:t>
            </w:r>
          </w:p>
        </w:tc>
        <w:tc>
          <w:tcPr>
            <w:tcW w:w="4656" w:type="dxa"/>
          </w:tcPr>
          <w:p w14:paraId="73DCC678" w14:textId="345A5995" w:rsidR="00285619" w:rsidRPr="00AB021E" w:rsidRDefault="001A0239" w:rsidP="002801AC">
            <w:pPr>
              <w:rPr>
                <w:szCs w:val="24"/>
              </w:rPr>
            </w:pPr>
            <w:r w:rsidRPr="00AB021E">
              <w:rPr>
                <w:szCs w:val="24"/>
              </w:rPr>
              <w:t>December 2021</w:t>
            </w:r>
          </w:p>
        </w:tc>
      </w:tr>
    </w:tbl>
    <w:p w14:paraId="12835F9D" w14:textId="4A34C69B" w:rsidR="002801AC" w:rsidRPr="00AB021E" w:rsidRDefault="002801AC" w:rsidP="002801AC">
      <w:pPr>
        <w:rPr>
          <w:szCs w:val="24"/>
        </w:rPr>
      </w:pPr>
    </w:p>
    <w:p w14:paraId="5B10C51C" w14:textId="54F7B92A" w:rsidR="00290FAF" w:rsidRPr="00AB021E" w:rsidRDefault="00290FAF" w:rsidP="008C016A">
      <w:pPr>
        <w:rPr>
          <w:szCs w:val="24"/>
        </w:rPr>
      </w:pPr>
    </w:p>
    <w:sectPr w:rsidR="00290FAF" w:rsidRPr="00AB021E" w:rsidSect="002801AC">
      <w:pgSz w:w="16820" w:h="11900" w:orient="landscape"/>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DC2E" w14:textId="77777777" w:rsidR="00725076" w:rsidRDefault="00725076" w:rsidP="00A12259">
      <w:pPr>
        <w:spacing w:after="0"/>
      </w:pPr>
      <w:r>
        <w:separator/>
      </w:r>
    </w:p>
  </w:endnote>
  <w:endnote w:type="continuationSeparator" w:id="0">
    <w:p w14:paraId="007FC4A0" w14:textId="77777777" w:rsidR="00725076" w:rsidRDefault="00725076" w:rsidP="00A12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6"/>
        <w:szCs w:val="16"/>
      </w:rPr>
      <w:id w:val="1036861388"/>
      <w:docPartObj>
        <w:docPartGallery w:val="Page Numbers (Bottom of Page)"/>
        <w:docPartUnique/>
      </w:docPartObj>
    </w:sdtPr>
    <w:sdtEndPr/>
    <w:sdtContent>
      <w:sdt>
        <w:sdtPr>
          <w:rPr>
            <w:color w:val="auto"/>
            <w:sz w:val="16"/>
            <w:szCs w:val="16"/>
          </w:rPr>
          <w:id w:val="860082579"/>
          <w:docPartObj>
            <w:docPartGallery w:val="Page Numbers (Top of Page)"/>
            <w:docPartUnique/>
          </w:docPartObj>
        </w:sdtPr>
        <w:sdtEndPr/>
        <w:sdtContent>
          <w:p w14:paraId="13F8F543" w14:textId="77777777" w:rsidR="004F7730" w:rsidRPr="00A12259" w:rsidRDefault="004F7730" w:rsidP="00A12259">
            <w:pPr>
              <w:pStyle w:val="Footer"/>
              <w:jc w:val="right"/>
              <w:rPr>
                <w:color w:val="auto"/>
                <w:sz w:val="16"/>
                <w:szCs w:val="16"/>
              </w:rPr>
            </w:pPr>
            <w:r w:rsidRPr="00A12259">
              <w:rPr>
                <w:color w:val="auto"/>
                <w:sz w:val="16"/>
                <w:szCs w:val="16"/>
              </w:rPr>
              <w:t xml:space="preserve">Page </w:t>
            </w:r>
            <w:r w:rsidRPr="00A12259">
              <w:rPr>
                <w:bCs/>
                <w:color w:val="auto"/>
                <w:sz w:val="16"/>
                <w:szCs w:val="16"/>
              </w:rPr>
              <w:fldChar w:fldCharType="begin"/>
            </w:r>
            <w:r w:rsidRPr="00A12259">
              <w:rPr>
                <w:bCs/>
                <w:color w:val="auto"/>
                <w:sz w:val="16"/>
                <w:szCs w:val="16"/>
              </w:rPr>
              <w:instrText xml:space="preserve"> PAGE </w:instrText>
            </w:r>
            <w:r w:rsidRPr="00A12259">
              <w:rPr>
                <w:bCs/>
                <w:color w:val="auto"/>
                <w:sz w:val="16"/>
                <w:szCs w:val="16"/>
              </w:rPr>
              <w:fldChar w:fldCharType="separate"/>
            </w:r>
            <w:r w:rsidR="00E87DDE">
              <w:rPr>
                <w:bCs/>
                <w:noProof/>
                <w:color w:val="auto"/>
                <w:sz w:val="16"/>
                <w:szCs w:val="16"/>
              </w:rPr>
              <w:t>1</w:t>
            </w:r>
            <w:r w:rsidRPr="00A12259">
              <w:rPr>
                <w:bCs/>
                <w:color w:val="auto"/>
                <w:sz w:val="16"/>
                <w:szCs w:val="16"/>
              </w:rPr>
              <w:fldChar w:fldCharType="end"/>
            </w:r>
            <w:r w:rsidRPr="00A12259">
              <w:rPr>
                <w:color w:val="auto"/>
                <w:sz w:val="16"/>
                <w:szCs w:val="16"/>
              </w:rPr>
              <w:t xml:space="preserve"> of </w:t>
            </w:r>
            <w:r w:rsidRPr="00A12259">
              <w:rPr>
                <w:bCs/>
                <w:color w:val="auto"/>
                <w:sz w:val="16"/>
                <w:szCs w:val="16"/>
              </w:rPr>
              <w:fldChar w:fldCharType="begin"/>
            </w:r>
            <w:r w:rsidRPr="00A12259">
              <w:rPr>
                <w:bCs/>
                <w:color w:val="auto"/>
                <w:sz w:val="16"/>
                <w:szCs w:val="16"/>
              </w:rPr>
              <w:instrText xml:space="preserve"> NUMPAGES  </w:instrText>
            </w:r>
            <w:r w:rsidRPr="00A12259">
              <w:rPr>
                <w:bCs/>
                <w:color w:val="auto"/>
                <w:sz w:val="16"/>
                <w:szCs w:val="16"/>
              </w:rPr>
              <w:fldChar w:fldCharType="separate"/>
            </w:r>
            <w:r w:rsidR="00E87DDE">
              <w:rPr>
                <w:bCs/>
                <w:noProof/>
                <w:color w:val="auto"/>
                <w:sz w:val="16"/>
                <w:szCs w:val="16"/>
              </w:rPr>
              <w:t>16</w:t>
            </w:r>
            <w:r w:rsidRPr="00A12259">
              <w:rPr>
                <w:bCs/>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D250" w14:textId="77777777" w:rsidR="00725076" w:rsidRDefault="00725076" w:rsidP="00A12259">
      <w:pPr>
        <w:spacing w:after="0"/>
      </w:pPr>
      <w:r>
        <w:separator/>
      </w:r>
    </w:p>
  </w:footnote>
  <w:footnote w:type="continuationSeparator" w:id="0">
    <w:p w14:paraId="7647563E" w14:textId="77777777" w:rsidR="00725076" w:rsidRDefault="00725076" w:rsidP="00A12259">
      <w:pPr>
        <w:spacing w:after="0"/>
      </w:pPr>
      <w:r>
        <w:continuationSeparator/>
      </w:r>
    </w:p>
  </w:footnote>
  <w:footnote w:id="1">
    <w:p w14:paraId="30D2EFF9" w14:textId="5C9BA291" w:rsidR="004F7730" w:rsidRDefault="004F7730">
      <w:pPr>
        <w:pStyle w:val="FootnoteText"/>
      </w:pPr>
      <w:r>
        <w:rPr>
          <w:rStyle w:val="FootnoteReference"/>
        </w:rPr>
        <w:footnoteRef/>
      </w:r>
      <w:r>
        <w:t xml:space="preserve"> Note: NHS England and NHS Employers are using the term BME (Black and Minority Ethnic) </w:t>
      </w:r>
    </w:p>
  </w:footnote>
  <w:footnote w:id="2">
    <w:p w14:paraId="7CC2477A" w14:textId="125D37AB" w:rsidR="004F7730" w:rsidRDefault="004F7730">
      <w:pPr>
        <w:pStyle w:val="FootnoteText"/>
      </w:pPr>
      <w:r>
        <w:rPr>
          <w:rStyle w:val="FootnoteReference"/>
        </w:rPr>
        <w:footnoteRef/>
      </w:r>
      <w:r>
        <w:t xml:space="preserve"> Workforce data for indicators 1</w:t>
      </w:r>
      <w:r w:rsidR="00793803">
        <w:t xml:space="preserve"> </w:t>
      </w:r>
      <w:r>
        <w:t>–</w:t>
      </w:r>
      <w:r w:rsidR="00793803">
        <w:t xml:space="preserve"> </w:t>
      </w:r>
      <w:r>
        <w:t xml:space="preserve">4 &amp; 9 is </w:t>
      </w:r>
      <w:proofErr w:type="gramStart"/>
      <w:r>
        <w:t>at</w:t>
      </w:r>
      <w:proofErr w:type="gramEnd"/>
      <w:r>
        <w:t xml:space="preserve"> March 2021. </w:t>
      </w:r>
    </w:p>
  </w:footnote>
  <w:footnote w:id="3">
    <w:p w14:paraId="410377E1" w14:textId="77777777" w:rsidR="00AE7626" w:rsidRDefault="00AE7626" w:rsidP="00AE7626">
      <w:pPr>
        <w:pStyle w:val="FootnoteText"/>
      </w:pPr>
      <w:r>
        <w:rPr>
          <w:rStyle w:val="FootnoteReference"/>
        </w:rPr>
        <w:footnoteRef/>
      </w:r>
      <w:r>
        <w:t xml:space="preserve"> https://www.england.nhs.uk/wp-content/uploads/2019/03/wdes-technical-guidance-2021.pdf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9BC"/>
    <w:multiLevelType w:val="hybridMultilevel"/>
    <w:tmpl w:val="64D23F4E"/>
    <w:lvl w:ilvl="0" w:tplc="D0F853A2">
      <w:start w:val="2"/>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926DC2"/>
    <w:multiLevelType w:val="multilevel"/>
    <w:tmpl w:val="6F80E218"/>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eastAsiaTheme="minorHAnsi" w:hint="default"/>
      </w:rPr>
    </w:lvl>
    <w:lvl w:ilvl="2">
      <w:start w:val="2"/>
      <w:numFmt w:val="decimal"/>
      <w:isLgl/>
      <w:lvlText w:val="%1.%2.%3"/>
      <w:lvlJc w:val="left"/>
      <w:pPr>
        <w:ind w:left="1440" w:hanging="720"/>
      </w:pPr>
      <w:rPr>
        <w:rFonts w:eastAsiaTheme="minorHAnsi" w:hint="default"/>
      </w:rPr>
    </w:lvl>
    <w:lvl w:ilvl="3">
      <w:start w:val="1"/>
      <w:numFmt w:val="decimal"/>
      <w:isLgl/>
      <w:lvlText w:val="%1.%2.%3.%4"/>
      <w:lvlJc w:val="left"/>
      <w:pPr>
        <w:ind w:left="162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34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3060" w:hanging="1440"/>
      </w:pPr>
      <w:rPr>
        <w:rFonts w:eastAsiaTheme="minorHAnsi" w:hint="default"/>
      </w:rPr>
    </w:lvl>
    <w:lvl w:ilvl="8">
      <w:start w:val="1"/>
      <w:numFmt w:val="decimal"/>
      <w:isLgl/>
      <w:lvlText w:val="%1.%2.%3.%4.%5.%6.%7.%8.%9"/>
      <w:lvlJc w:val="left"/>
      <w:pPr>
        <w:ind w:left="3600" w:hanging="1800"/>
      </w:pPr>
      <w:rPr>
        <w:rFonts w:eastAsiaTheme="minorHAnsi" w:hint="default"/>
      </w:rPr>
    </w:lvl>
  </w:abstractNum>
  <w:abstractNum w:abstractNumId="2" w15:restartNumberingAfterBreak="0">
    <w:nsid w:val="0F6956E0"/>
    <w:multiLevelType w:val="hybridMultilevel"/>
    <w:tmpl w:val="2330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B6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D3896"/>
    <w:multiLevelType w:val="hybridMultilevel"/>
    <w:tmpl w:val="BF40A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011B3D"/>
    <w:multiLevelType w:val="hybridMultilevel"/>
    <w:tmpl w:val="699028B2"/>
    <w:lvl w:ilvl="0" w:tplc="8332BE1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21C57"/>
    <w:multiLevelType w:val="hybridMultilevel"/>
    <w:tmpl w:val="3DEA9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9654F"/>
    <w:multiLevelType w:val="multilevel"/>
    <w:tmpl w:val="0E0659F4"/>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18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18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180"/>
      </w:pPr>
      <w:rPr>
        <w:u w:val="none"/>
      </w:rPr>
    </w:lvl>
  </w:abstractNum>
  <w:abstractNum w:abstractNumId="8" w15:restartNumberingAfterBreak="0">
    <w:nsid w:val="2CED45D9"/>
    <w:multiLevelType w:val="multilevel"/>
    <w:tmpl w:val="DD62A7D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46ADD"/>
    <w:multiLevelType w:val="hybridMultilevel"/>
    <w:tmpl w:val="FF226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1FF5120"/>
    <w:multiLevelType w:val="multilevel"/>
    <w:tmpl w:val="F49ED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4CC4402"/>
    <w:multiLevelType w:val="hybridMultilevel"/>
    <w:tmpl w:val="86D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53C9D"/>
    <w:multiLevelType w:val="hybridMultilevel"/>
    <w:tmpl w:val="3084B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B8172D"/>
    <w:multiLevelType w:val="hybridMultilevel"/>
    <w:tmpl w:val="994442DA"/>
    <w:lvl w:ilvl="0" w:tplc="D0F853A2">
      <w:start w:val="2"/>
      <w:numFmt w:val="bullet"/>
      <w:lvlText w:val="•"/>
      <w:lvlJc w:val="left"/>
      <w:pPr>
        <w:ind w:left="487" w:hanging="360"/>
      </w:pPr>
      <w:rPr>
        <w:rFonts w:ascii="Arial" w:eastAsia="Calibri" w:hAnsi="Arial" w:cs="Aria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4" w15:restartNumberingAfterBreak="0">
    <w:nsid w:val="3AA9168A"/>
    <w:multiLevelType w:val="hybridMultilevel"/>
    <w:tmpl w:val="E6D6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208A4"/>
    <w:multiLevelType w:val="hybridMultilevel"/>
    <w:tmpl w:val="3364E9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DF3440C"/>
    <w:multiLevelType w:val="multilevel"/>
    <w:tmpl w:val="0F8CE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37A55DB"/>
    <w:multiLevelType w:val="hybridMultilevel"/>
    <w:tmpl w:val="7718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46283"/>
    <w:multiLevelType w:val="hybridMultilevel"/>
    <w:tmpl w:val="0BAA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345482"/>
    <w:multiLevelType w:val="hybridMultilevel"/>
    <w:tmpl w:val="6A7203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D0C40"/>
    <w:multiLevelType w:val="hybridMultilevel"/>
    <w:tmpl w:val="9E72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63CA5"/>
    <w:multiLevelType w:val="multilevel"/>
    <w:tmpl w:val="F61A0926"/>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5C03BC8"/>
    <w:multiLevelType w:val="hybridMultilevel"/>
    <w:tmpl w:val="45F8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121FD"/>
    <w:multiLevelType w:val="hybridMultilevel"/>
    <w:tmpl w:val="513018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581D64"/>
    <w:multiLevelType w:val="hybridMultilevel"/>
    <w:tmpl w:val="96E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E0FCE"/>
    <w:multiLevelType w:val="hybridMultilevel"/>
    <w:tmpl w:val="ED8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9440E"/>
    <w:multiLevelType w:val="hybridMultilevel"/>
    <w:tmpl w:val="413E35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7C6B99"/>
    <w:multiLevelType w:val="hybridMultilevel"/>
    <w:tmpl w:val="800A7602"/>
    <w:lvl w:ilvl="0" w:tplc="AA8E9200">
      <w:start w:val="2"/>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8D0957"/>
    <w:multiLevelType w:val="hybridMultilevel"/>
    <w:tmpl w:val="12328622"/>
    <w:lvl w:ilvl="0" w:tplc="8332BE10">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9" w15:restartNumberingAfterBreak="0">
    <w:nsid w:val="71A46BF6"/>
    <w:multiLevelType w:val="hybridMultilevel"/>
    <w:tmpl w:val="0D56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0A397E"/>
    <w:multiLevelType w:val="hybridMultilevel"/>
    <w:tmpl w:val="93B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52CA1"/>
    <w:multiLevelType w:val="multilevel"/>
    <w:tmpl w:val="AE4E6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8839EE"/>
    <w:multiLevelType w:val="hybridMultilevel"/>
    <w:tmpl w:val="293AE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105CE4"/>
    <w:multiLevelType w:val="multilevel"/>
    <w:tmpl w:val="77CC4F52"/>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0"/>
  </w:num>
  <w:num w:numId="3">
    <w:abstractNumId w:val="22"/>
  </w:num>
  <w:num w:numId="4">
    <w:abstractNumId w:val="2"/>
  </w:num>
  <w:num w:numId="5">
    <w:abstractNumId w:val="17"/>
  </w:num>
  <w:num w:numId="6">
    <w:abstractNumId w:val="26"/>
  </w:num>
  <w:num w:numId="7">
    <w:abstractNumId w:val="3"/>
  </w:num>
  <w:num w:numId="8">
    <w:abstractNumId w:val="18"/>
  </w:num>
  <w:num w:numId="9">
    <w:abstractNumId w:val="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8"/>
  </w:num>
  <w:num w:numId="20">
    <w:abstractNumId w:val="19"/>
  </w:num>
  <w:num w:numId="21">
    <w:abstractNumId w:val="32"/>
  </w:num>
  <w:num w:numId="22">
    <w:abstractNumId w:val="16"/>
  </w:num>
  <w:num w:numId="23">
    <w:abstractNumId w:val="31"/>
  </w:num>
  <w:num w:numId="24">
    <w:abstractNumId w:val="15"/>
  </w:num>
  <w:num w:numId="25">
    <w:abstractNumId w:val="21"/>
  </w:num>
  <w:num w:numId="26">
    <w:abstractNumId w:val="9"/>
  </w:num>
  <w:num w:numId="27">
    <w:abstractNumId w:val="20"/>
  </w:num>
  <w:num w:numId="28">
    <w:abstractNumId w:val="7"/>
  </w:num>
  <w:num w:numId="29">
    <w:abstractNumId w:val="23"/>
  </w:num>
  <w:num w:numId="30">
    <w:abstractNumId w:val="13"/>
  </w:num>
  <w:num w:numId="31">
    <w:abstractNumId w:val="0"/>
  </w:num>
  <w:num w:numId="32">
    <w:abstractNumId w:val="6"/>
  </w:num>
  <w:num w:numId="33">
    <w:abstractNumId w:val="29"/>
  </w:num>
  <w:num w:numId="34">
    <w:abstractNumId w:val="27"/>
  </w:num>
  <w:num w:numId="35">
    <w:abstractNumId w:val="30"/>
  </w:num>
  <w:num w:numId="36">
    <w:abstractNumId w:val="1"/>
  </w:num>
  <w:num w:numId="37">
    <w:abstractNumId w:val="11"/>
  </w:num>
  <w:num w:numId="38">
    <w:abstractNumId w:val="28"/>
  </w:num>
  <w:num w:numId="39">
    <w:abstractNumId w:val="5"/>
  </w:num>
  <w:num w:numId="40">
    <w:abstractNumId w:val="25"/>
  </w:num>
  <w:num w:numId="41">
    <w:abstractNumId w:val="14"/>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7950"/>
    <w:rsid w:val="000102CB"/>
    <w:rsid w:val="000126CA"/>
    <w:rsid w:val="00015D16"/>
    <w:rsid w:val="00024124"/>
    <w:rsid w:val="000362D0"/>
    <w:rsid w:val="000401A0"/>
    <w:rsid w:val="00045447"/>
    <w:rsid w:val="00053589"/>
    <w:rsid w:val="00061A36"/>
    <w:rsid w:val="00080753"/>
    <w:rsid w:val="00085A14"/>
    <w:rsid w:val="00085A81"/>
    <w:rsid w:val="000977DA"/>
    <w:rsid w:val="000A2C91"/>
    <w:rsid w:val="000B2B84"/>
    <w:rsid w:val="000B6058"/>
    <w:rsid w:val="000E184D"/>
    <w:rsid w:val="000E54A7"/>
    <w:rsid w:val="000E6CE5"/>
    <w:rsid w:val="0010393E"/>
    <w:rsid w:val="0010586B"/>
    <w:rsid w:val="00117908"/>
    <w:rsid w:val="00124868"/>
    <w:rsid w:val="00135B92"/>
    <w:rsid w:val="001422EE"/>
    <w:rsid w:val="00143BB3"/>
    <w:rsid w:val="001774D9"/>
    <w:rsid w:val="00185098"/>
    <w:rsid w:val="00186878"/>
    <w:rsid w:val="001923D4"/>
    <w:rsid w:val="001A0239"/>
    <w:rsid w:val="001A1E6E"/>
    <w:rsid w:val="001A3246"/>
    <w:rsid w:val="001B1EF2"/>
    <w:rsid w:val="001B25C2"/>
    <w:rsid w:val="001B4F6E"/>
    <w:rsid w:val="001C09DB"/>
    <w:rsid w:val="001E2CF7"/>
    <w:rsid w:val="001E7460"/>
    <w:rsid w:val="001F487C"/>
    <w:rsid w:val="00204AC7"/>
    <w:rsid w:val="0021269C"/>
    <w:rsid w:val="00221680"/>
    <w:rsid w:val="002415F0"/>
    <w:rsid w:val="00252713"/>
    <w:rsid w:val="0025572F"/>
    <w:rsid w:val="002565F7"/>
    <w:rsid w:val="00270E1F"/>
    <w:rsid w:val="002801AC"/>
    <w:rsid w:val="00282D88"/>
    <w:rsid w:val="00285619"/>
    <w:rsid w:val="00290FAF"/>
    <w:rsid w:val="00291FA5"/>
    <w:rsid w:val="002941E7"/>
    <w:rsid w:val="002B422D"/>
    <w:rsid w:val="002B7229"/>
    <w:rsid w:val="002C3737"/>
    <w:rsid w:val="002D4B02"/>
    <w:rsid w:val="002D4BC5"/>
    <w:rsid w:val="002D7FCB"/>
    <w:rsid w:val="002E50F3"/>
    <w:rsid w:val="002E7C5C"/>
    <w:rsid w:val="00326FBF"/>
    <w:rsid w:val="003419C9"/>
    <w:rsid w:val="00344E60"/>
    <w:rsid w:val="00350962"/>
    <w:rsid w:val="00355FA5"/>
    <w:rsid w:val="00357B23"/>
    <w:rsid w:val="00362E57"/>
    <w:rsid w:val="003728AB"/>
    <w:rsid w:val="003735D4"/>
    <w:rsid w:val="0037732B"/>
    <w:rsid w:val="00386180"/>
    <w:rsid w:val="00390986"/>
    <w:rsid w:val="003B2F18"/>
    <w:rsid w:val="003C0836"/>
    <w:rsid w:val="003C09CB"/>
    <w:rsid w:val="003C398E"/>
    <w:rsid w:val="003D47EE"/>
    <w:rsid w:val="003E0CC9"/>
    <w:rsid w:val="003F6485"/>
    <w:rsid w:val="004012CC"/>
    <w:rsid w:val="004014BC"/>
    <w:rsid w:val="0040741F"/>
    <w:rsid w:val="004159D1"/>
    <w:rsid w:val="00420F14"/>
    <w:rsid w:val="00437E63"/>
    <w:rsid w:val="00440CFB"/>
    <w:rsid w:val="00452587"/>
    <w:rsid w:val="004576C7"/>
    <w:rsid w:val="0046152F"/>
    <w:rsid w:val="00463C68"/>
    <w:rsid w:val="00466779"/>
    <w:rsid w:val="00481EC7"/>
    <w:rsid w:val="004874A0"/>
    <w:rsid w:val="0049270B"/>
    <w:rsid w:val="00496429"/>
    <w:rsid w:val="004A4AF8"/>
    <w:rsid w:val="004A4FEF"/>
    <w:rsid w:val="004A6F2B"/>
    <w:rsid w:val="004B2C08"/>
    <w:rsid w:val="004C16F5"/>
    <w:rsid w:val="004C1D3E"/>
    <w:rsid w:val="004E00E6"/>
    <w:rsid w:val="004E7F91"/>
    <w:rsid w:val="004F1273"/>
    <w:rsid w:val="004F53DC"/>
    <w:rsid w:val="004F64F9"/>
    <w:rsid w:val="004F7730"/>
    <w:rsid w:val="00512578"/>
    <w:rsid w:val="00521467"/>
    <w:rsid w:val="005239CD"/>
    <w:rsid w:val="00524AAC"/>
    <w:rsid w:val="00524FEE"/>
    <w:rsid w:val="00525902"/>
    <w:rsid w:val="00551939"/>
    <w:rsid w:val="00564BB5"/>
    <w:rsid w:val="00566BDC"/>
    <w:rsid w:val="005A6CEB"/>
    <w:rsid w:val="005C64C3"/>
    <w:rsid w:val="005E2AD9"/>
    <w:rsid w:val="005F1F08"/>
    <w:rsid w:val="005F6881"/>
    <w:rsid w:val="00604AF1"/>
    <w:rsid w:val="00606936"/>
    <w:rsid w:val="00616D70"/>
    <w:rsid w:val="0062490F"/>
    <w:rsid w:val="00634CC3"/>
    <w:rsid w:val="006353ED"/>
    <w:rsid w:val="006500B1"/>
    <w:rsid w:val="0066651D"/>
    <w:rsid w:val="00675999"/>
    <w:rsid w:val="00683916"/>
    <w:rsid w:val="0069510B"/>
    <w:rsid w:val="006A6480"/>
    <w:rsid w:val="006B4085"/>
    <w:rsid w:val="006C125A"/>
    <w:rsid w:val="006C4C28"/>
    <w:rsid w:val="006D0F54"/>
    <w:rsid w:val="006E3574"/>
    <w:rsid w:val="006F51F1"/>
    <w:rsid w:val="007033D2"/>
    <w:rsid w:val="00715901"/>
    <w:rsid w:val="00724D59"/>
    <w:rsid w:val="00725076"/>
    <w:rsid w:val="007543B6"/>
    <w:rsid w:val="00793803"/>
    <w:rsid w:val="0079619F"/>
    <w:rsid w:val="007961CF"/>
    <w:rsid w:val="00797622"/>
    <w:rsid w:val="007A7074"/>
    <w:rsid w:val="007B5BCD"/>
    <w:rsid w:val="007C0DA8"/>
    <w:rsid w:val="007E630F"/>
    <w:rsid w:val="007E6C03"/>
    <w:rsid w:val="008041F7"/>
    <w:rsid w:val="008133A3"/>
    <w:rsid w:val="0084138B"/>
    <w:rsid w:val="00845B61"/>
    <w:rsid w:val="00850F88"/>
    <w:rsid w:val="008601C9"/>
    <w:rsid w:val="00863EF6"/>
    <w:rsid w:val="00864DEE"/>
    <w:rsid w:val="00880A70"/>
    <w:rsid w:val="00880E9F"/>
    <w:rsid w:val="00884D3A"/>
    <w:rsid w:val="008C016A"/>
    <w:rsid w:val="008C54B1"/>
    <w:rsid w:val="008D4F11"/>
    <w:rsid w:val="0090276F"/>
    <w:rsid w:val="0090591F"/>
    <w:rsid w:val="00907BD9"/>
    <w:rsid w:val="009124AF"/>
    <w:rsid w:val="00912FC7"/>
    <w:rsid w:val="00926F04"/>
    <w:rsid w:val="009369E8"/>
    <w:rsid w:val="00953DC4"/>
    <w:rsid w:val="00955A3C"/>
    <w:rsid w:val="00963148"/>
    <w:rsid w:val="00973D19"/>
    <w:rsid w:val="009C2758"/>
    <w:rsid w:val="00A07AA3"/>
    <w:rsid w:val="00A12259"/>
    <w:rsid w:val="00A21674"/>
    <w:rsid w:val="00A304AD"/>
    <w:rsid w:val="00A53475"/>
    <w:rsid w:val="00A615CD"/>
    <w:rsid w:val="00A61926"/>
    <w:rsid w:val="00A83562"/>
    <w:rsid w:val="00A90438"/>
    <w:rsid w:val="00A928F1"/>
    <w:rsid w:val="00A962A9"/>
    <w:rsid w:val="00AA3AEA"/>
    <w:rsid w:val="00AB021E"/>
    <w:rsid w:val="00AB3DDF"/>
    <w:rsid w:val="00AC1E27"/>
    <w:rsid w:val="00AC22C8"/>
    <w:rsid w:val="00AC772A"/>
    <w:rsid w:val="00AD0594"/>
    <w:rsid w:val="00AD0682"/>
    <w:rsid w:val="00AD7E9C"/>
    <w:rsid w:val="00AE1D23"/>
    <w:rsid w:val="00AE7626"/>
    <w:rsid w:val="00AF0905"/>
    <w:rsid w:val="00AF316A"/>
    <w:rsid w:val="00AF4C41"/>
    <w:rsid w:val="00AF7B4D"/>
    <w:rsid w:val="00B0337D"/>
    <w:rsid w:val="00B1044C"/>
    <w:rsid w:val="00B164D3"/>
    <w:rsid w:val="00B37D2F"/>
    <w:rsid w:val="00B54F47"/>
    <w:rsid w:val="00B57979"/>
    <w:rsid w:val="00B57DC7"/>
    <w:rsid w:val="00B61F80"/>
    <w:rsid w:val="00B632C8"/>
    <w:rsid w:val="00B764A0"/>
    <w:rsid w:val="00B81B0E"/>
    <w:rsid w:val="00B927F8"/>
    <w:rsid w:val="00B9579C"/>
    <w:rsid w:val="00BA2E3F"/>
    <w:rsid w:val="00BA7EED"/>
    <w:rsid w:val="00BC2195"/>
    <w:rsid w:val="00BD03D7"/>
    <w:rsid w:val="00BD22BF"/>
    <w:rsid w:val="00BD6B55"/>
    <w:rsid w:val="00BD706C"/>
    <w:rsid w:val="00BE31DC"/>
    <w:rsid w:val="00BE579C"/>
    <w:rsid w:val="00BE7C57"/>
    <w:rsid w:val="00BF503B"/>
    <w:rsid w:val="00BF6B76"/>
    <w:rsid w:val="00C00E2C"/>
    <w:rsid w:val="00C047A7"/>
    <w:rsid w:val="00C134E9"/>
    <w:rsid w:val="00C14209"/>
    <w:rsid w:val="00C20147"/>
    <w:rsid w:val="00C21C0A"/>
    <w:rsid w:val="00C260A2"/>
    <w:rsid w:val="00C3298A"/>
    <w:rsid w:val="00C36312"/>
    <w:rsid w:val="00C40E45"/>
    <w:rsid w:val="00C4131D"/>
    <w:rsid w:val="00C448EC"/>
    <w:rsid w:val="00C45DC7"/>
    <w:rsid w:val="00C466D5"/>
    <w:rsid w:val="00C601B2"/>
    <w:rsid w:val="00C62E05"/>
    <w:rsid w:val="00C75C77"/>
    <w:rsid w:val="00C75F7D"/>
    <w:rsid w:val="00C760C9"/>
    <w:rsid w:val="00C8182E"/>
    <w:rsid w:val="00C9073B"/>
    <w:rsid w:val="00C93A97"/>
    <w:rsid w:val="00CA24E7"/>
    <w:rsid w:val="00CC4003"/>
    <w:rsid w:val="00CC44B6"/>
    <w:rsid w:val="00CC73F9"/>
    <w:rsid w:val="00CD5926"/>
    <w:rsid w:val="00CE473E"/>
    <w:rsid w:val="00D05ADC"/>
    <w:rsid w:val="00D164AE"/>
    <w:rsid w:val="00D177C9"/>
    <w:rsid w:val="00D20CEA"/>
    <w:rsid w:val="00D230F5"/>
    <w:rsid w:val="00D3640A"/>
    <w:rsid w:val="00D365A8"/>
    <w:rsid w:val="00D4629C"/>
    <w:rsid w:val="00D619F8"/>
    <w:rsid w:val="00D90441"/>
    <w:rsid w:val="00DA55E6"/>
    <w:rsid w:val="00DB29AB"/>
    <w:rsid w:val="00DD49D3"/>
    <w:rsid w:val="00DD6BEA"/>
    <w:rsid w:val="00DE2102"/>
    <w:rsid w:val="00DF116A"/>
    <w:rsid w:val="00E02119"/>
    <w:rsid w:val="00E02173"/>
    <w:rsid w:val="00E07045"/>
    <w:rsid w:val="00E072B1"/>
    <w:rsid w:val="00E22336"/>
    <w:rsid w:val="00E23F16"/>
    <w:rsid w:val="00E27D19"/>
    <w:rsid w:val="00E3188D"/>
    <w:rsid w:val="00E3576D"/>
    <w:rsid w:val="00E3617B"/>
    <w:rsid w:val="00E43B29"/>
    <w:rsid w:val="00E71321"/>
    <w:rsid w:val="00E713C7"/>
    <w:rsid w:val="00E750DE"/>
    <w:rsid w:val="00E87DDE"/>
    <w:rsid w:val="00EB635C"/>
    <w:rsid w:val="00EC02C2"/>
    <w:rsid w:val="00ED3DEE"/>
    <w:rsid w:val="00EF653F"/>
    <w:rsid w:val="00EF7B3B"/>
    <w:rsid w:val="00F02345"/>
    <w:rsid w:val="00F07B5F"/>
    <w:rsid w:val="00F12D21"/>
    <w:rsid w:val="00F1650F"/>
    <w:rsid w:val="00F43E49"/>
    <w:rsid w:val="00F4644B"/>
    <w:rsid w:val="00F62658"/>
    <w:rsid w:val="00F76790"/>
    <w:rsid w:val="00F77873"/>
    <w:rsid w:val="00F91CF8"/>
    <w:rsid w:val="00F9295E"/>
    <w:rsid w:val="00F93468"/>
    <w:rsid w:val="00FA4001"/>
    <w:rsid w:val="00FA5C25"/>
    <w:rsid w:val="00FB1580"/>
    <w:rsid w:val="00FB2D07"/>
    <w:rsid w:val="00FB76C8"/>
    <w:rsid w:val="00FC676B"/>
    <w:rsid w:val="00FD7B0B"/>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DB54"/>
  <w15:docId w15:val="{A0E0E0D4-9716-477D-A463-7312A07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45"/>
    <w:pPr>
      <w:spacing w:after="200"/>
    </w:pPr>
    <w:rPr>
      <w:color w:val="000000" w:themeColor="text1"/>
      <w:sz w:val="24"/>
      <w:szCs w:val="22"/>
      <w:lang w:eastAsia="en-US"/>
    </w:rPr>
  </w:style>
  <w:style w:type="paragraph" w:styleId="Heading1">
    <w:name w:val="heading 1"/>
    <w:basedOn w:val="Normal"/>
    <w:next w:val="Normal"/>
    <w:link w:val="Heading1Char"/>
    <w:uiPriority w:val="9"/>
    <w:qFormat/>
    <w:rsid w:val="00452587"/>
    <w:pPr>
      <w:keepNext/>
      <w:keepLines/>
      <w:numPr>
        <w:numId w:val="22"/>
      </w:numPr>
      <w:spacing w:before="240" w:after="0"/>
      <w:ind w:left="510" w:hanging="51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52587"/>
    <w:pPr>
      <w:keepNext/>
      <w:keepLines/>
      <w:numPr>
        <w:ilvl w:val="1"/>
        <w:numId w:val="22"/>
      </w:numPr>
      <w:spacing w:before="12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52587"/>
    <w:pPr>
      <w:keepNext/>
      <w:keepLines/>
      <w:numPr>
        <w:ilvl w:val="2"/>
        <w:numId w:val="22"/>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452587"/>
    <w:pPr>
      <w:keepNext/>
      <w:numPr>
        <w:ilvl w:val="3"/>
        <w:numId w:val="22"/>
      </w:numPr>
      <w:spacing w:after="0"/>
      <w:jc w:val="both"/>
      <w:outlineLvl w:val="3"/>
    </w:pPr>
    <w:rPr>
      <w:rFonts w:ascii="Times New Roman" w:eastAsia="Times New Roman" w:hAnsi="Times New Roman" w:cs="Times New Roman"/>
      <w:b/>
      <w:bCs/>
      <w:color w:val="auto"/>
      <w:szCs w:val="24"/>
    </w:rPr>
  </w:style>
  <w:style w:type="paragraph" w:styleId="Heading5">
    <w:name w:val="heading 5"/>
    <w:basedOn w:val="Normal"/>
    <w:next w:val="Normal"/>
    <w:link w:val="Heading5Char"/>
    <w:qFormat/>
    <w:rsid w:val="00452587"/>
    <w:pPr>
      <w:keepNext/>
      <w:numPr>
        <w:ilvl w:val="4"/>
        <w:numId w:val="22"/>
      </w:numPr>
      <w:spacing w:after="0"/>
      <w:jc w:val="both"/>
      <w:outlineLvl w:val="4"/>
    </w:pPr>
    <w:rPr>
      <w:rFonts w:eastAsia="Times New Roman"/>
      <w:b/>
      <w:bCs/>
      <w:color w:val="auto"/>
      <w:szCs w:val="24"/>
    </w:rPr>
  </w:style>
  <w:style w:type="paragraph" w:styleId="Heading6">
    <w:name w:val="heading 6"/>
    <w:basedOn w:val="Normal"/>
    <w:next w:val="Normal"/>
    <w:link w:val="Heading6Char"/>
    <w:uiPriority w:val="9"/>
    <w:semiHidden/>
    <w:unhideWhenUsed/>
    <w:qFormat/>
    <w:rsid w:val="00452587"/>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2587"/>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2587"/>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587"/>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ind w:left="-720"/>
      <w:jc w:val="both"/>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pPr>
  </w:style>
  <w:style w:type="character" w:customStyle="1" w:styleId="FooterChar">
    <w:name w:val="Footer Char"/>
    <w:basedOn w:val="DefaultParagraphFont"/>
    <w:link w:val="Footer"/>
    <w:uiPriority w:val="99"/>
    <w:rsid w:val="00A12259"/>
    <w:rPr>
      <w:color w:val="FF0000"/>
      <w:sz w:val="22"/>
      <w:szCs w:val="22"/>
      <w:lang w:eastAsia="en-US"/>
    </w:rPr>
  </w:style>
  <w:style w:type="paragraph" w:customStyle="1" w:styleId="Default">
    <w:name w:val="Default"/>
    <w:rsid w:val="004C1D3E"/>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semiHidden/>
    <w:unhideWhenUsed/>
    <w:rsid w:val="00F1650F"/>
    <w:rPr>
      <w:sz w:val="16"/>
      <w:szCs w:val="16"/>
    </w:rPr>
  </w:style>
  <w:style w:type="paragraph" w:styleId="CommentText">
    <w:name w:val="annotation text"/>
    <w:basedOn w:val="Normal"/>
    <w:link w:val="CommentTextChar"/>
    <w:uiPriority w:val="99"/>
    <w:semiHidden/>
    <w:unhideWhenUsed/>
    <w:rsid w:val="00F1650F"/>
    <w:rPr>
      <w:sz w:val="20"/>
      <w:szCs w:val="20"/>
    </w:rPr>
  </w:style>
  <w:style w:type="character" w:customStyle="1" w:styleId="CommentTextChar">
    <w:name w:val="Comment Text Char"/>
    <w:basedOn w:val="DefaultParagraphFont"/>
    <w:link w:val="CommentText"/>
    <w:uiPriority w:val="99"/>
    <w:semiHidden/>
    <w:rsid w:val="00F1650F"/>
    <w:rPr>
      <w:color w:val="FF0000"/>
      <w:lang w:eastAsia="en-US"/>
    </w:rPr>
  </w:style>
  <w:style w:type="paragraph" w:styleId="CommentSubject">
    <w:name w:val="annotation subject"/>
    <w:basedOn w:val="CommentText"/>
    <w:next w:val="CommentText"/>
    <w:link w:val="CommentSubjectChar"/>
    <w:uiPriority w:val="99"/>
    <w:semiHidden/>
    <w:unhideWhenUsed/>
    <w:rsid w:val="00F1650F"/>
    <w:rPr>
      <w:b/>
      <w:bCs/>
    </w:rPr>
  </w:style>
  <w:style w:type="character" w:customStyle="1" w:styleId="CommentSubjectChar">
    <w:name w:val="Comment Subject Char"/>
    <w:basedOn w:val="CommentTextChar"/>
    <w:link w:val="CommentSubject"/>
    <w:uiPriority w:val="99"/>
    <w:semiHidden/>
    <w:rsid w:val="00F1650F"/>
    <w:rPr>
      <w:b/>
      <w:bCs/>
      <w:color w:val="FF0000"/>
      <w:lang w:eastAsia="en-US"/>
    </w:rPr>
  </w:style>
  <w:style w:type="paragraph" w:styleId="NormalWeb">
    <w:name w:val="Normal (Web)"/>
    <w:basedOn w:val="Normal"/>
    <w:uiPriority w:val="99"/>
    <w:unhideWhenUsed/>
    <w:rsid w:val="00015D16"/>
    <w:pPr>
      <w:spacing w:before="100" w:beforeAutospacing="1" w:after="100" w:afterAutospacing="1"/>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unhideWhenUsed/>
    <w:rsid w:val="002941E7"/>
    <w:rPr>
      <w:color w:val="0000FF"/>
      <w:u w:val="single"/>
    </w:rPr>
  </w:style>
  <w:style w:type="character" w:customStyle="1" w:styleId="UnresolvedMention1">
    <w:name w:val="Unresolved Mention1"/>
    <w:basedOn w:val="DefaultParagraphFont"/>
    <w:uiPriority w:val="99"/>
    <w:semiHidden/>
    <w:unhideWhenUsed/>
    <w:rsid w:val="009124AF"/>
    <w:rPr>
      <w:color w:val="605E5C"/>
      <w:shd w:val="clear" w:color="auto" w:fill="E1DFDD"/>
    </w:rPr>
  </w:style>
  <w:style w:type="paragraph" w:styleId="Revision">
    <w:name w:val="Revision"/>
    <w:hidden/>
    <w:uiPriority w:val="99"/>
    <w:semiHidden/>
    <w:rsid w:val="00B57DC7"/>
    <w:rPr>
      <w:color w:val="FF0000"/>
      <w:sz w:val="22"/>
      <w:szCs w:val="22"/>
      <w:lang w:eastAsia="en-US"/>
    </w:rPr>
  </w:style>
  <w:style w:type="character" w:customStyle="1" w:styleId="UnresolvedMention2">
    <w:name w:val="Unresolved Mention2"/>
    <w:basedOn w:val="DefaultParagraphFont"/>
    <w:uiPriority w:val="99"/>
    <w:semiHidden/>
    <w:unhideWhenUsed/>
    <w:rsid w:val="00AA3AEA"/>
    <w:rPr>
      <w:color w:val="605E5C"/>
      <w:shd w:val="clear" w:color="auto" w:fill="E1DFDD"/>
    </w:rPr>
  </w:style>
  <w:style w:type="paragraph" w:styleId="FootnoteText">
    <w:name w:val="footnote text"/>
    <w:basedOn w:val="Normal"/>
    <w:link w:val="FootnoteTextChar"/>
    <w:uiPriority w:val="99"/>
    <w:semiHidden/>
    <w:unhideWhenUsed/>
    <w:rsid w:val="00C047A7"/>
    <w:pPr>
      <w:spacing w:after="0"/>
    </w:pPr>
    <w:rPr>
      <w:sz w:val="20"/>
      <w:szCs w:val="20"/>
    </w:rPr>
  </w:style>
  <w:style w:type="character" w:customStyle="1" w:styleId="FootnoteTextChar">
    <w:name w:val="Footnote Text Char"/>
    <w:basedOn w:val="DefaultParagraphFont"/>
    <w:link w:val="FootnoteText"/>
    <w:uiPriority w:val="99"/>
    <w:semiHidden/>
    <w:rsid w:val="00C047A7"/>
    <w:rPr>
      <w:color w:val="FF0000"/>
      <w:lang w:eastAsia="en-US"/>
    </w:rPr>
  </w:style>
  <w:style w:type="character" w:styleId="FootnoteReference">
    <w:name w:val="footnote reference"/>
    <w:basedOn w:val="DefaultParagraphFont"/>
    <w:uiPriority w:val="99"/>
    <w:semiHidden/>
    <w:unhideWhenUsed/>
    <w:rsid w:val="00C047A7"/>
    <w:rPr>
      <w:vertAlign w:val="superscript"/>
    </w:rPr>
  </w:style>
  <w:style w:type="character" w:customStyle="1" w:styleId="Heading1Char">
    <w:name w:val="Heading 1 Char"/>
    <w:basedOn w:val="DefaultParagraphFont"/>
    <w:link w:val="Heading1"/>
    <w:uiPriority w:val="9"/>
    <w:rsid w:val="00452587"/>
    <w:rPr>
      <w:rFonts w:eastAsiaTheme="majorEastAsia" w:cstheme="majorBidi"/>
      <w:b/>
      <w:color w:val="000000" w:themeColor="text1"/>
      <w:sz w:val="28"/>
      <w:szCs w:val="32"/>
      <w:lang w:eastAsia="en-US"/>
    </w:rPr>
  </w:style>
  <w:style w:type="character" w:customStyle="1" w:styleId="Heading2Char">
    <w:name w:val="Heading 2 Char"/>
    <w:basedOn w:val="DefaultParagraphFont"/>
    <w:link w:val="Heading2"/>
    <w:uiPriority w:val="9"/>
    <w:rsid w:val="000E184D"/>
    <w:rPr>
      <w:rFonts w:eastAsiaTheme="majorEastAsia" w:cstheme="majorBidi"/>
      <w:b/>
      <w:color w:val="000000" w:themeColor="text1"/>
      <w:sz w:val="26"/>
      <w:szCs w:val="26"/>
      <w:lang w:eastAsia="en-US"/>
    </w:rPr>
  </w:style>
  <w:style w:type="numbering" w:customStyle="1" w:styleId="CurrentList1">
    <w:name w:val="Current List1"/>
    <w:uiPriority w:val="99"/>
    <w:rsid w:val="00C047A7"/>
    <w:pPr>
      <w:numPr>
        <w:numId w:val="19"/>
      </w:numPr>
    </w:pPr>
  </w:style>
  <w:style w:type="paragraph" w:styleId="Title">
    <w:name w:val="Title"/>
    <w:basedOn w:val="Normal"/>
    <w:next w:val="Normal"/>
    <w:link w:val="TitleChar"/>
    <w:uiPriority w:val="10"/>
    <w:qFormat/>
    <w:rsid w:val="00452587"/>
    <w:pPr>
      <w:spacing w:after="0"/>
      <w:contextualSpacing/>
    </w:pPr>
    <w:rPr>
      <w:rFonts w:asciiTheme="majorHAnsi" w:eastAsiaTheme="majorEastAsia" w:hAnsiTheme="majorHAnsi" w:cstheme="majorBidi"/>
      <w:color w:val="auto"/>
      <w:spacing w:val="-10"/>
      <w:kern w:val="28"/>
      <w:sz w:val="56"/>
      <w:szCs w:val="56"/>
    </w:rPr>
  </w:style>
  <w:style w:type="character" w:customStyle="1" w:styleId="Heading3Char">
    <w:name w:val="Heading 3 Char"/>
    <w:basedOn w:val="DefaultParagraphFont"/>
    <w:link w:val="Heading3"/>
    <w:uiPriority w:val="9"/>
    <w:semiHidden/>
    <w:rsid w:val="000E184D"/>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0E184D"/>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0E184D"/>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0E18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E184D"/>
    <w:rPr>
      <w:rFonts w:asciiTheme="majorHAnsi" w:eastAsiaTheme="majorEastAsia" w:hAnsiTheme="majorHAnsi" w:cstheme="majorBidi"/>
      <w:i/>
      <w:iCs/>
      <w:color w:val="272727" w:themeColor="text1" w:themeTint="D8"/>
      <w:sz w:val="21"/>
      <w:szCs w:val="21"/>
      <w:lang w:eastAsia="en-US"/>
    </w:rPr>
  </w:style>
  <w:style w:type="character" w:customStyle="1" w:styleId="TitleChar">
    <w:name w:val="Title Char"/>
    <w:basedOn w:val="DefaultParagraphFont"/>
    <w:link w:val="Title"/>
    <w:uiPriority w:val="10"/>
    <w:rsid w:val="00452587"/>
    <w:rPr>
      <w:rFonts w:asciiTheme="majorHAnsi" w:eastAsiaTheme="majorEastAsia" w:hAnsiTheme="majorHAnsi" w:cstheme="majorBidi"/>
      <w:spacing w:val="-10"/>
      <w:kern w:val="28"/>
      <w:sz w:val="56"/>
      <w:szCs w:val="56"/>
      <w:lang w:eastAsia="en-US"/>
    </w:rPr>
  </w:style>
  <w:style w:type="numbering" w:customStyle="1" w:styleId="CurrentList2">
    <w:name w:val="Current List2"/>
    <w:uiPriority w:val="99"/>
    <w:rsid w:val="00452587"/>
    <w:pPr>
      <w:numPr>
        <w:numId w:val="25"/>
      </w:numPr>
    </w:pPr>
  </w:style>
  <w:style w:type="character" w:styleId="UnresolvedMention">
    <w:name w:val="Unresolved Mention"/>
    <w:basedOn w:val="DefaultParagraphFont"/>
    <w:uiPriority w:val="99"/>
    <w:semiHidden/>
    <w:unhideWhenUsed/>
    <w:rsid w:val="00135B92"/>
    <w:rPr>
      <w:color w:val="605E5C"/>
      <w:shd w:val="clear" w:color="auto" w:fill="E1DFDD"/>
    </w:rPr>
  </w:style>
  <w:style w:type="paragraph" w:customStyle="1" w:styleId="Normal1">
    <w:name w:val="Normal1"/>
    <w:qFormat/>
    <w:rsid w:val="00350962"/>
    <w:rPr>
      <w:rFonts w:ascii="Calibri" w:eastAsiaTheme="minorEastAsia" w:hAnsi="Calibri" w:cs="Calibri"/>
      <w:sz w:val="24"/>
      <w:szCs w:val="24"/>
    </w:rPr>
  </w:style>
  <w:style w:type="character" w:styleId="FollowedHyperlink">
    <w:name w:val="FollowedHyperlink"/>
    <w:basedOn w:val="DefaultParagraphFont"/>
    <w:uiPriority w:val="99"/>
    <w:semiHidden/>
    <w:unhideWhenUsed/>
    <w:rsid w:val="00F91CF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A1E6E"/>
    <w:rPr>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69">
      <w:bodyDiv w:val="1"/>
      <w:marLeft w:val="0"/>
      <w:marRight w:val="0"/>
      <w:marTop w:val="0"/>
      <w:marBottom w:val="0"/>
      <w:divBdr>
        <w:top w:val="none" w:sz="0" w:space="0" w:color="auto"/>
        <w:left w:val="none" w:sz="0" w:space="0" w:color="auto"/>
        <w:bottom w:val="none" w:sz="0" w:space="0" w:color="auto"/>
        <w:right w:val="none" w:sz="0" w:space="0" w:color="auto"/>
      </w:divBdr>
    </w:div>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31998957">
      <w:bodyDiv w:val="1"/>
      <w:marLeft w:val="0"/>
      <w:marRight w:val="0"/>
      <w:marTop w:val="0"/>
      <w:marBottom w:val="0"/>
      <w:divBdr>
        <w:top w:val="none" w:sz="0" w:space="0" w:color="auto"/>
        <w:left w:val="none" w:sz="0" w:space="0" w:color="auto"/>
        <w:bottom w:val="none" w:sz="0" w:space="0" w:color="auto"/>
        <w:right w:val="none" w:sz="0" w:space="0" w:color="auto"/>
      </w:divBdr>
    </w:div>
    <w:div w:id="57945015">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71006831">
      <w:bodyDiv w:val="1"/>
      <w:marLeft w:val="0"/>
      <w:marRight w:val="0"/>
      <w:marTop w:val="0"/>
      <w:marBottom w:val="0"/>
      <w:divBdr>
        <w:top w:val="none" w:sz="0" w:space="0" w:color="auto"/>
        <w:left w:val="none" w:sz="0" w:space="0" w:color="auto"/>
        <w:bottom w:val="none" w:sz="0" w:space="0" w:color="auto"/>
        <w:right w:val="none" w:sz="0" w:space="0" w:color="auto"/>
      </w:divBdr>
    </w:div>
    <w:div w:id="116072967">
      <w:bodyDiv w:val="1"/>
      <w:marLeft w:val="0"/>
      <w:marRight w:val="0"/>
      <w:marTop w:val="0"/>
      <w:marBottom w:val="0"/>
      <w:divBdr>
        <w:top w:val="none" w:sz="0" w:space="0" w:color="auto"/>
        <w:left w:val="none" w:sz="0" w:space="0" w:color="auto"/>
        <w:bottom w:val="none" w:sz="0" w:space="0" w:color="auto"/>
        <w:right w:val="none" w:sz="0" w:space="0" w:color="auto"/>
      </w:divBdr>
    </w:div>
    <w:div w:id="139732357">
      <w:bodyDiv w:val="1"/>
      <w:marLeft w:val="0"/>
      <w:marRight w:val="0"/>
      <w:marTop w:val="0"/>
      <w:marBottom w:val="0"/>
      <w:divBdr>
        <w:top w:val="none" w:sz="0" w:space="0" w:color="auto"/>
        <w:left w:val="none" w:sz="0" w:space="0" w:color="auto"/>
        <w:bottom w:val="none" w:sz="0" w:space="0" w:color="auto"/>
        <w:right w:val="none" w:sz="0" w:space="0" w:color="auto"/>
      </w:divBdr>
    </w:div>
    <w:div w:id="147018464">
      <w:bodyDiv w:val="1"/>
      <w:marLeft w:val="0"/>
      <w:marRight w:val="0"/>
      <w:marTop w:val="0"/>
      <w:marBottom w:val="0"/>
      <w:divBdr>
        <w:top w:val="none" w:sz="0" w:space="0" w:color="auto"/>
        <w:left w:val="none" w:sz="0" w:space="0" w:color="auto"/>
        <w:bottom w:val="none" w:sz="0" w:space="0" w:color="auto"/>
        <w:right w:val="none" w:sz="0" w:space="0" w:color="auto"/>
      </w:divBdr>
    </w:div>
    <w:div w:id="173346054">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01407148">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31083612">
      <w:bodyDiv w:val="1"/>
      <w:marLeft w:val="0"/>
      <w:marRight w:val="0"/>
      <w:marTop w:val="0"/>
      <w:marBottom w:val="0"/>
      <w:divBdr>
        <w:top w:val="none" w:sz="0" w:space="0" w:color="auto"/>
        <w:left w:val="none" w:sz="0" w:space="0" w:color="auto"/>
        <w:bottom w:val="none" w:sz="0" w:space="0" w:color="auto"/>
        <w:right w:val="none" w:sz="0" w:space="0" w:color="auto"/>
      </w:divBdr>
    </w:div>
    <w:div w:id="264074881">
      <w:bodyDiv w:val="1"/>
      <w:marLeft w:val="0"/>
      <w:marRight w:val="0"/>
      <w:marTop w:val="0"/>
      <w:marBottom w:val="0"/>
      <w:divBdr>
        <w:top w:val="none" w:sz="0" w:space="0" w:color="auto"/>
        <w:left w:val="none" w:sz="0" w:space="0" w:color="auto"/>
        <w:bottom w:val="none" w:sz="0" w:space="0" w:color="auto"/>
        <w:right w:val="none" w:sz="0" w:space="0" w:color="auto"/>
      </w:divBdr>
    </w:div>
    <w:div w:id="290014990">
      <w:bodyDiv w:val="1"/>
      <w:marLeft w:val="0"/>
      <w:marRight w:val="0"/>
      <w:marTop w:val="0"/>
      <w:marBottom w:val="0"/>
      <w:divBdr>
        <w:top w:val="none" w:sz="0" w:space="0" w:color="auto"/>
        <w:left w:val="none" w:sz="0" w:space="0" w:color="auto"/>
        <w:bottom w:val="none" w:sz="0" w:space="0" w:color="auto"/>
        <w:right w:val="none" w:sz="0" w:space="0" w:color="auto"/>
      </w:divBdr>
    </w:div>
    <w:div w:id="300699335">
      <w:bodyDiv w:val="1"/>
      <w:marLeft w:val="0"/>
      <w:marRight w:val="0"/>
      <w:marTop w:val="0"/>
      <w:marBottom w:val="0"/>
      <w:divBdr>
        <w:top w:val="none" w:sz="0" w:space="0" w:color="auto"/>
        <w:left w:val="none" w:sz="0" w:space="0" w:color="auto"/>
        <w:bottom w:val="none" w:sz="0" w:space="0" w:color="auto"/>
        <w:right w:val="none" w:sz="0" w:space="0" w:color="auto"/>
      </w:divBdr>
    </w:div>
    <w:div w:id="306858834">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0597238">
      <w:bodyDiv w:val="1"/>
      <w:marLeft w:val="0"/>
      <w:marRight w:val="0"/>
      <w:marTop w:val="0"/>
      <w:marBottom w:val="0"/>
      <w:divBdr>
        <w:top w:val="none" w:sz="0" w:space="0" w:color="auto"/>
        <w:left w:val="none" w:sz="0" w:space="0" w:color="auto"/>
        <w:bottom w:val="none" w:sz="0" w:space="0" w:color="auto"/>
        <w:right w:val="none" w:sz="0" w:space="0" w:color="auto"/>
      </w:divBdr>
    </w:div>
    <w:div w:id="36078245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30735163">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33426037">
      <w:bodyDiv w:val="1"/>
      <w:marLeft w:val="0"/>
      <w:marRight w:val="0"/>
      <w:marTop w:val="0"/>
      <w:marBottom w:val="0"/>
      <w:divBdr>
        <w:top w:val="none" w:sz="0" w:space="0" w:color="auto"/>
        <w:left w:val="none" w:sz="0" w:space="0" w:color="auto"/>
        <w:bottom w:val="none" w:sz="0" w:space="0" w:color="auto"/>
        <w:right w:val="none" w:sz="0" w:space="0" w:color="auto"/>
      </w:divBdr>
      <w:divsChild>
        <w:div w:id="200364625">
          <w:marLeft w:val="0"/>
          <w:marRight w:val="0"/>
          <w:marTop w:val="0"/>
          <w:marBottom w:val="0"/>
          <w:divBdr>
            <w:top w:val="none" w:sz="0" w:space="0" w:color="auto"/>
            <w:left w:val="none" w:sz="0" w:space="0" w:color="auto"/>
            <w:bottom w:val="none" w:sz="0" w:space="0" w:color="auto"/>
            <w:right w:val="none" w:sz="0" w:space="0" w:color="auto"/>
          </w:divBdr>
          <w:divsChild>
            <w:div w:id="837187696">
              <w:marLeft w:val="0"/>
              <w:marRight w:val="0"/>
              <w:marTop w:val="0"/>
              <w:marBottom w:val="0"/>
              <w:divBdr>
                <w:top w:val="none" w:sz="0" w:space="0" w:color="auto"/>
                <w:left w:val="none" w:sz="0" w:space="0" w:color="auto"/>
                <w:bottom w:val="none" w:sz="0" w:space="0" w:color="auto"/>
                <w:right w:val="none" w:sz="0" w:space="0" w:color="auto"/>
              </w:divBdr>
              <w:divsChild>
                <w:div w:id="122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5155">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564340609">
      <w:bodyDiv w:val="1"/>
      <w:marLeft w:val="0"/>
      <w:marRight w:val="0"/>
      <w:marTop w:val="0"/>
      <w:marBottom w:val="0"/>
      <w:divBdr>
        <w:top w:val="none" w:sz="0" w:space="0" w:color="auto"/>
        <w:left w:val="none" w:sz="0" w:space="0" w:color="auto"/>
        <w:bottom w:val="none" w:sz="0" w:space="0" w:color="auto"/>
        <w:right w:val="none" w:sz="0" w:space="0" w:color="auto"/>
      </w:divBdr>
    </w:div>
    <w:div w:id="574899656">
      <w:bodyDiv w:val="1"/>
      <w:marLeft w:val="0"/>
      <w:marRight w:val="0"/>
      <w:marTop w:val="0"/>
      <w:marBottom w:val="0"/>
      <w:divBdr>
        <w:top w:val="none" w:sz="0" w:space="0" w:color="auto"/>
        <w:left w:val="none" w:sz="0" w:space="0" w:color="auto"/>
        <w:bottom w:val="none" w:sz="0" w:space="0" w:color="auto"/>
        <w:right w:val="none" w:sz="0" w:space="0" w:color="auto"/>
      </w:divBdr>
    </w:div>
    <w:div w:id="611520936">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15142674">
      <w:bodyDiv w:val="1"/>
      <w:marLeft w:val="0"/>
      <w:marRight w:val="0"/>
      <w:marTop w:val="0"/>
      <w:marBottom w:val="0"/>
      <w:divBdr>
        <w:top w:val="none" w:sz="0" w:space="0" w:color="auto"/>
        <w:left w:val="none" w:sz="0" w:space="0" w:color="auto"/>
        <w:bottom w:val="none" w:sz="0" w:space="0" w:color="auto"/>
        <w:right w:val="none" w:sz="0" w:space="0" w:color="auto"/>
      </w:divBdr>
    </w:div>
    <w:div w:id="620264387">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69596900">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686758547">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34813296">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5538699">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893083312">
      <w:bodyDiv w:val="1"/>
      <w:marLeft w:val="0"/>
      <w:marRight w:val="0"/>
      <w:marTop w:val="0"/>
      <w:marBottom w:val="0"/>
      <w:divBdr>
        <w:top w:val="none" w:sz="0" w:space="0" w:color="auto"/>
        <w:left w:val="none" w:sz="0" w:space="0" w:color="auto"/>
        <w:bottom w:val="none" w:sz="0" w:space="0" w:color="auto"/>
        <w:right w:val="none" w:sz="0" w:space="0" w:color="auto"/>
      </w:divBdr>
    </w:div>
    <w:div w:id="909968506">
      <w:bodyDiv w:val="1"/>
      <w:marLeft w:val="0"/>
      <w:marRight w:val="0"/>
      <w:marTop w:val="0"/>
      <w:marBottom w:val="0"/>
      <w:divBdr>
        <w:top w:val="none" w:sz="0" w:space="0" w:color="auto"/>
        <w:left w:val="none" w:sz="0" w:space="0" w:color="auto"/>
        <w:bottom w:val="none" w:sz="0" w:space="0" w:color="auto"/>
        <w:right w:val="none" w:sz="0" w:space="0" w:color="auto"/>
      </w:divBdr>
    </w:div>
    <w:div w:id="921793439">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970356716">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46176282">
      <w:bodyDiv w:val="1"/>
      <w:marLeft w:val="0"/>
      <w:marRight w:val="0"/>
      <w:marTop w:val="0"/>
      <w:marBottom w:val="0"/>
      <w:divBdr>
        <w:top w:val="none" w:sz="0" w:space="0" w:color="auto"/>
        <w:left w:val="none" w:sz="0" w:space="0" w:color="auto"/>
        <w:bottom w:val="none" w:sz="0" w:space="0" w:color="auto"/>
        <w:right w:val="none" w:sz="0" w:space="0" w:color="auto"/>
      </w:divBdr>
    </w:div>
    <w:div w:id="1067998875">
      <w:bodyDiv w:val="1"/>
      <w:marLeft w:val="0"/>
      <w:marRight w:val="0"/>
      <w:marTop w:val="0"/>
      <w:marBottom w:val="0"/>
      <w:divBdr>
        <w:top w:val="none" w:sz="0" w:space="0" w:color="auto"/>
        <w:left w:val="none" w:sz="0" w:space="0" w:color="auto"/>
        <w:bottom w:val="none" w:sz="0" w:space="0" w:color="auto"/>
        <w:right w:val="none" w:sz="0" w:space="0" w:color="auto"/>
      </w:divBdr>
    </w:div>
    <w:div w:id="1074814615">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199852914">
      <w:bodyDiv w:val="1"/>
      <w:marLeft w:val="0"/>
      <w:marRight w:val="0"/>
      <w:marTop w:val="0"/>
      <w:marBottom w:val="0"/>
      <w:divBdr>
        <w:top w:val="none" w:sz="0" w:space="0" w:color="auto"/>
        <w:left w:val="none" w:sz="0" w:space="0" w:color="auto"/>
        <w:bottom w:val="none" w:sz="0" w:space="0" w:color="auto"/>
        <w:right w:val="none" w:sz="0" w:space="0" w:color="auto"/>
      </w:divBdr>
    </w:div>
    <w:div w:id="1205604262">
      <w:bodyDiv w:val="1"/>
      <w:marLeft w:val="0"/>
      <w:marRight w:val="0"/>
      <w:marTop w:val="0"/>
      <w:marBottom w:val="0"/>
      <w:divBdr>
        <w:top w:val="none" w:sz="0" w:space="0" w:color="auto"/>
        <w:left w:val="none" w:sz="0" w:space="0" w:color="auto"/>
        <w:bottom w:val="none" w:sz="0" w:space="0" w:color="auto"/>
        <w:right w:val="none" w:sz="0" w:space="0" w:color="auto"/>
      </w:divBdr>
    </w:div>
    <w:div w:id="1253971504">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60294037">
      <w:bodyDiv w:val="1"/>
      <w:marLeft w:val="0"/>
      <w:marRight w:val="0"/>
      <w:marTop w:val="0"/>
      <w:marBottom w:val="0"/>
      <w:divBdr>
        <w:top w:val="none" w:sz="0" w:space="0" w:color="auto"/>
        <w:left w:val="none" w:sz="0" w:space="0" w:color="auto"/>
        <w:bottom w:val="none" w:sz="0" w:space="0" w:color="auto"/>
        <w:right w:val="none" w:sz="0" w:space="0" w:color="auto"/>
      </w:divBdr>
      <w:divsChild>
        <w:div w:id="656232138">
          <w:marLeft w:val="0"/>
          <w:marRight w:val="0"/>
          <w:marTop w:val="0"/>
          <w:marBottom w:val="0"/>
          <w:divBdr>
            <w:top w:val="none" w:sz="0" w:space="0" w:color="auto"/>
            <w:left w:val="none" w:sz="0" w:space="0" w:color="auto"/>
            <w:bottom w:val="none" w:sz="0" w:space="0" w:color="auto"/>
            <w:right w:val="none" w:sz="0" w:space="0" w:color="auto"/>
          </w:divBdr>
        </w:div>
        <w:div w:id="766121987">
          <w:marLeft w:val="0"/>
          <w:marRight w:val="0"/>
          <w:marTop w:val="0"/>
          <w:marBottom w:val="0"/>
          <w:divBdr>
            <w:top w:val="none" w:sz="0" w:space="0" w:color="auto"/>
            <w:left w:val="none" w:sz="0" w:space="0" w:color="auto"/>
            <w:bottom w:val="none" w:sz="0" w:space="0" w:color="auto"/>
            <w:right w:val="none" w:sz="0" w:space="0" w:color="auto"/>
          </w:divBdr>
        </w:div>
        <w:div w:id="902301532">
          <w:marLeft w:val="0"/>
          <w:marRight w:val="0"/>
          <w:marTop w:val="0"/>
          <w:marBottom w:val="0"/>
          <w:divBdr>
            <w:top w:val="none" w:sz="0" w:space="0" w:color="auto"/>
            <w:left w:val="none" w:sz="0" w:space="0" w:color="auto"/>
            <w:bottom w:val="none" w:sz="0" w:space="0" w:color="auto"/>
            <w:right w:val="none" w:sz="0" w:space="0" w:color="auto"/>
          </w:divBdr>
        </w:div>
        <w:div w:id="1582131433">
          <w:marLeft w:val="0"/>
          <w:marRight w:val="0"/>
          <w:marTop w:val="0"/>
          <w:marBottom w:val="0"/>
          <w:divBdr>
            <w:top w:val="none" w:sz="0" w:space="0" w:color="auto"/>
            <w:left w:val="none" w:sz="0" w:space="0" w:color="auto"/>
            <w:bottom w:val="none" w:sz="0" w:space="0" w:color="auto"/>
            <w:right w:val="none" w:sz="0" w:space="0" w:color="auto"/>
          </w:divBdr>
        </w:div>
      </w:divsChild>
    </w:div>
    <w:div w:id="1465587508">
      <w:bodyDiv w:val="1"/>
      <w:marLeft w:val="0"/>
      <w:marRight w:val="0"/>
      <w:marTop w:val="0"/>
      <w:marBottom w:val="0"/>
      <w:divBdr>
        <w:top w:val="none" w:sz="0" w:space="0" w:color="auto"/>
        <w:left w:val="none" w:sz="0" w:space="0" w:color="auto"/>
        <w:bottom w:val="none" w:sz="0" w:space="0" w:color="auto"/>
        <w:right w:val="none" w:sz="0" w:space="0" w:color="auto"/>
      </w:divBdr>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2211831">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25559238">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458575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685009186">
      <w:bodyDiv w:val="1"/>
      <w:marLeft w:val="0"/>
      <w:marRight w:val="0"/>
      <w:marTop w:val="0"/>
      <w:marBottom w:val="0"/>
      <w:divBdr>
        <w:top w:val="none" w:sz="0" w:space="0" w:color="auto"/>
        <w:left w:val="none" w:sz="0" w:space="0" w:color="auto"/>
        <w:bottom w:val="none" w:sz="0" w:space="0" w:color="auto"/>
        <w:right w:val="none" w:sz="0" w:space="0" w:color="auto"/>
      </w:divBdr>
    </w:div>
    <w:div w:id="1698458148">
      <w:bodyDiv w:val="1"/>
      <w:marLeft w:val="0"/>
      <w:marRight w:val="0"/>
      <w:marTop w:val="0"/>
      <w:marBottom w:val="0"/>
      <w:divBdr>
        <w:top w:val="none" w:sz="0" w:space="0" w:color="auto"/>
        <w:left w:val="none" w:sz="0" w:space="0" w:color="auto"/>
        <w:bottom w:val="none" w:sz="0" w:space="0" w:color="auto"/>
        <w:right w:val="none" w:sz="0" w:space="0" w:color="auto"/>
      </w:divBdr>
    </w:div>
    <w:div w:id="1709329456">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791776008">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588099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875384156">
      <w:bodyDiv w:val="1"/>
      <w:marLeft w:val="0"/>
      <w:marRight w:val="0"/>
      <w:marTop w:val="0"/>
      <w:marBottom w:val="0"/>
      <w:divBdr>
        <w:top w:val="none" w:sz="0" w:space="0" w:color="auto"/>
        <w:left w:val="none" w:sz="0" w:space="0" w:color="auto"/>
        <w:bottom w:val="none" w:sz="0" w:space="0" w:color="auto"/>
        <w:right w:val="none" w:sz="0" w:space="0" w:color="auto"/>
      </w:divBdr>
    </w:div>
    <w:div w:id="1881361101">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18788344">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1980570738">
      <w:bodyDiv w:val="1"/>
      <w:marLeft w:val="0"/>
      <w:marRight w:val="0"/>
      <w:marTop w:val="0"/>
      <w:marBottom w:val="0"/>
      <w:divBdr>
        <w:top w:val="none" w:sz="0" w:space="0" w:color="auto"/>
        <w:left w:val="none" w:sz="0" w:space="0" w:color="auto"/>
        <w:bottom w:val="none" w:sz="0" w:space="0" w:color="auto"/>
        <w:right w:val="none" w:sz="0" w:space="0" w:color="auto"/>
      </w:divBdr>
    </w:div>
    <w:div w:id="200010856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0709065">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00321771">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 w:id="21449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9/01/wdes-factsheet-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19/01/wdes-factsheet-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ndfulemployer.dpt.nhs.uk/our-charter/signing-the-char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collections/disability-confiden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AD048-97AF-4EDE-BE5E-3442CB82D9E4}">
  <ds:schemaRefs>
    <ds:schemaRef ds:uri="http://schemas.openxmlformats.org/officeDocument/2006/bibliography"/>
  </ds:schemaRefs>
</ds:datastoreItem>
</file>

<file path=customXml/itemProps2.xml><?xml version="1.0" encoding="utf-8"?>
<ds:datastoreItem xmlns:ds="http://schemas.openxmlformats.org/officeDocument/2006/customXml" ds:itemID="{333C0F47-94C2-4A83-90CC-5F7E814A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487D4-67C0-4F6B-A38F-DEE24CC40F72}">
  <ds:schemaRefs>
    <ds:schemaRef ds:uri="http://schemas.microsoft.com/sharepoint/v3/contenttype/forms"/>
  </ds:schemaRefs>
</ds:datastoreItem>
</file>

<file path=customXml/itemProps4.xml><?xml version="1.0" encoding="utf-8"?>
<ds:datastoreItem xmlns:ds="http://schemas.openxmlformats.org/officeDocument/2006/customXml" ds:itemID="{E1803777-D6D8-4E16-8D00-603B409C1BF6}">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e628fa83-ef27-4767-a796-3967f1682c78"/>
    <ds:schemaRef ds:uri="http://schemas.microsoft.com/office/infopath/2007/PartnerControls"/>
    <ds:schemaRef ds:uri="http://schemas.openxmlformats.org/package/2006/metadata/core-properties"/>
    <ds:schemaRef ds:uri="6fa53c87-df51-4936-a09f-d0d2ea6d951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2814</Words>
  <Characters>16046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Helen Davis</cp:lastModifiedBy>
  <cp:revision>2</cp:revision>
  <cp:lastPrinted>2019-09-20T08:32:00Z</cp:lastPrinted>
  <dcterms:created xsi:type="dcterms:W3CDTF">2021-09-27T14:23:00Z</dcterms:created>
  <dcterms:modified xsi:type="dcterms:W3CDTF">2021-09-27T14:23:00Z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