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5" w:after="1"/>
        <w:rPr>
          <w:rFonts w:ascii="Times New Roman"/>
          <w:sz w:val="26"/>
        </w:rPr>
      </w:pPr>
    </w:p>
    <w:p>
      <w:pPr>
        <w:pStyle w:val="BodyText"/>
        <w:ind w:left="7330"/>
        <w:rPr>
          <w:rFonts w:ascii="Times New Roman"/>
          <w:sz w:val="20"/>
        </w:rPr>
      </w:pPr>
      <w:r>
        <w:rPr>
          <w:rFonts w:ascii="Times New Roman"/>
          <w:sz w:val="20"/>
        </w:rPr>
        <w:drawing>
          <wp:inline distT="0" distB="0" distL="0" distR="0">
            <wp:extent cx="1636388" cy="624840"/>
            <wp:effectExtent l="0" t="0" r="0" b="0"/>
            <wp:docPr id="1" name="image1.jpeg" descr="NLCC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636388" cy="62484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4"/>
        </w:rPr>
      </w:pPr>
    </w:p>
    <w:p>
      <w:pPr>
        <w:pStyle w:val="Heading2"/>
        <w:spacing w:line="381" w:lineRule="auto" w:before="88"/>
        <w:ind w:left="1810" w:right="1795"/>
        <w:jc w:val="center"/>
      </w:pPr>
      <w:bookmarkStart w:name="CCG Annual Report 2021-22 Final with Acc" w:id="1"/>
      <w:bookmarkEnd w:id="1"/>
      <w:r>
        <w:rPr>
          <w:b w:val="0"/>
        </w:rPr>
      </w:r>
      <w:bookmarkStart w:name="NHS North Lincolnshire Clinical Commissi" w:id="2"/>
      <w:bookmarkEnd w:id="2"/>
      <w:r>
        <w:rPr>
          <w:b w:val="0"/>
        </w:rPr>
      </w:r>
      <w:r>
        <w:rPr>
          <w:color w:val="4F81BB"/>
        </w:rPr>
        <w:t>NHS North Lincolnshire Clinical Commissioning Group</w:t>
      </w:r>
    </w:p>
    <w:p>
      <w:pPr>
        <w:pStyle w:val="BodyText"/>
        <w:spacing w:before="8"/>
        <w:rPr>
          <w:b/>
          <w:sz w:val="62"/>
        </w:rPr>
      </w:pPr>
    </w:p>
    <w:p>
      <w:pPr>
        <w:spacing w:before="1"/>
        <w:ind w:left="1810" w:right="1798" w:firstLine="0"/>
        <w:jc w:val="center"/>
        <w:rPr>
          <w:b/>
          <w:sz w:val="40"/>
        </w:rPr>
      </w:pPr>
      <w:r>
        <w:rPr>
          <w:b/>
          <w:color w:val="4F81BB"/>
          <w:sz w:val="40"/>
        </w:rPr>
        <w:t>Annual Report and Accounts 2021-22</w:t>
      </w:r>
    </w:p>
    <w:p>
      <w:pPr>
        <w:spacing w:after="0"/>
        <w:jc w:val="center"/>
        <w:rPr>
          <w:sz w:val="40"/>
        </w:rPr>
        <w:sectPr>
          <w:footerReference w:type="default" r:id="rId5"/>
          <w:type w:val="continuous"/>
          <w:pgSz w:w="11920" w:h="16850"/>
          <w:pgMar w:footer="363" w:top="1600" w:bottom="560" w:left="760" w:right="420"/>
          <w:pgNumType w:start="1"/>
        </w:sectPr>
      </w:pPr>
    </w:p>
    <w:p>
      <w:pPr>
        <w:pStyle w:val="BodyText"/>
        <w:spacing w:before="1"/>
        <w:rPr>
          <w:b/>
        </w:rPr>
      </w:pPr>
    </w:p>
    <w:p>
      <w:pPr>
        <w:pStyle w:val="BodyText"/>
        <w:spacing w:before="94"/>
        <w:ind w:left="680"/>
      </w:pPr>
      <w:r>
        <w:rPr>
          <w:color w:val="006EC0"/>
        </w:rPr>
        <w:t>Accessibility Statement</w:t>
      </w:r>
    </w:p>
    <w:p>
      <w:pPr>
        <w:pStyle w:val="BodyText"/>
        <w:rPr>
          <w:sz w:val="24"/>
        </w:rPr>
      </w:pPr>
    </w:p>
    <w:p>
      <w:pPr>
        <w:pStyle w:val="BodyText"/>
        <w:spacing w:before="5"/>
        <w:rPr>
          <w:sz w:val="20"/>
        </w:rPr>
      </w:pPr>
    </w:p>
    <w:p>
      <w:pPr>
        <w:spacing w:line="276" w:lineRule="auto" w:before="0"/>
        <w:ind w:left="680" w:right="1137" w:firstLine="0"/>
        <w:jc w:val="left"/>
        <w:rPr>
          <w:sz w:val="28"/>
        </w:rPr>
      </w:pPr>
      <w:r>
        <w:rPr>
          <w:sz w:val="28"/>
        </w:rPr>
        <w:t>If you need this document in an alternative format, such as large print or another language please contact us by:</w:t>
      </w:r>
    </w:p>
    <w:p>
      <w:pPr>
        <w:spacing w:line="422" w:lineRule="auto" w:before="200"/>
        <w:ind w:left="680" w:right="5242" w:firstLine="0"/>
        <w:jc w:val="left"/>
        <w:rPr>
          <w:sz w:val="28"/>
        </w:rPr>
      </w:pPr>
      <w:r>
        <w:rPr>
          <w:sz w:val="28"/>
        </w:rPr>
        <w:t>Emailing: </w:t>
      </w:r>
      <w:hyperlink r:id="rId7">
        <w:r>
          <w:rPr>
            <w:color w:val="0000FF"/>
            <w:sz w:val="28"/>
            <w:u w:val="thick" w:color="0000FF"/>
          </w:rPr>
          <w:t>NLCCG.ContactUs@nhs.net</w:t>
        </w:r>
      </w:hyperlink>
      <w:r>
        <w:rPr>
          <w:color w:val="0000FF"/>
          <w:sz w:val="28"/>
        </w:rPr>
        <w:t> </w:t>
      </w:r>
      <w:r>
        <w:rPr>
          <w:sz w:val="28"/>
        </w:rPr>
        <w:t>Calling us on: 01652 251000 or Tweeting us: @northlincsccg</w:t>
      </w:r>
    </w:p>
    <w:p>
      <w:pPr>
        <w:spacing w:line="278" w:lineRule="auto" w:before="5"/>
        <w:ind w:left="680" w:right="997" w:firstLine="0"/>
        <w:jc w:val="left"/>
        <w:rPr>
          <w:sz w:val="28"/>
        </w:rPr>
      </w:pPr>
      <w:r>
        <w:rPr>
          <w:sz w:val="28"/>
        </w:rPr>
        <w:t>You can also contact us via Facebook messenger, Instagram messenger or by post at:</w:t>
      </w:r>
    </w:p>
    <w:p>
      <w:pPr>
        <w:spacing w:line="278" w:lineRule="auto" w:before="191"/>
        <w:ind w:left="679" w:right="1466" w:firstLine="0"/>
        <w:jc w:val="left"/>
        <w:rPr>
          <w:sz w:val="28"/>
        </w:rPr>
      </w:pPr>
      <w:r>
        <w:rPr>
          <w:sz w:val="28"/>
        </w:rPr>
        <w:t>NHS North Lincolnshire Clinical Commissioning Group, Health Place, Wrawby Road, Brigg, North Lincolnshire, DN20 8GS</w:t>
      </w:r>
    </w:p>
    <w:p>
      <w:pPr>
        <w:pStyle w:val="BodyText"/>
        <w:rPr>
          <w:sz w:val="30"/>
        </w:rPr>
      </w:pPr>
    </w:p>
    <w:p>
      <w:pPr>
        <w:pStyle w:val="BodyText"/>
        <w:spacing w:before="8"/>
        <w:rPr>
          <w:sz w:val="29"/>
        </w:rPr>
      </w:pPr>
    </w:p>
    <w:p>
      <w:pPr>
        <w:pStyle w:val="BodyText"/>
        <w:spacing w:line="278" w:lineRule="auto"/>
        <w:ind w:left="680" w:right="1835"/>
      </w:pPr>
      <w:r>
        <w:rPr/>
        <w:t>NHS North Lincolnshire Clinical Commissioning Group. All rights reserved. Not to be reproduced in whole or in part without the prior permission of the copyright owner.</w:t>
      </w:r>
    </w:p>
    <w:p>
      <w:pPr>
        <w:pStyle w:val="BodyText"/>
        <w:spacing w:line="276" w:lineRule="auto" w:before="194"/>
        <w:ind w:left="680" w:right="721"/>
      </w:pPr>
      <w:r>
        <w:rPr/>
        <w:t>The accounts for the year ended March 31, 2022 have been prepared by NHS North Lincolnshire Clinical Commissioning Group under section 232 (schedule 15,2(1)) of the National Health Service Act 2006 in the form which the Secretary of State has, within the approval of the Treasury, directed.</w:t>
      </w:r>
    </w:p>
    <w:p>
      <w:pPr>
        <w:spacing w:after="0" w:line="276" w:lineRule="auto"/>
        <w:sectPr>
          <w:pgSz w:w="11920" w:h="16850"/>
          <w:pgMar w:header="0" w:footer="363" w:top="1600" w:bottom="640" w:left="760" w:right="420"/>
        </w:sectPr>
      </w:pPr>
    </w:p>
    <w:p>
      <w:pPr>
        <w:pStyle w:val="Heading3"/>
      </w:pPr>
      <w:bookmarkStart w:name="We are NHS North Lincolnshire CCG" w:id="3"/>
      <w:bookmarkEnd w:id="3"/>
      <w:r>
        <w:rPr>
          <w:b w:val="0"/>
        </w:rPr>
      </w:r>
      <w:r>
        <w:rPr>
          <w:color w:val="4F81BB"/>
        </w:rPr>
        <w:t>We are NHS North Lincolnshire CCG</w:t>
      </w:r>
    </w:p>
    <w:p>
      <w:pPr>
        <w:pStyle w:val="BodyText"/>
        <w:spacing w:before="162"/>
        <w:ind w:left="680" w:right="783"/>
      </w:pPr>
      <w:r>
        <w:rPr/>
        <w:t>NHS North Lincolnshire Clinical Commissioning Group (CCG) is responsible for planning and paying for healthcare services in the area. This is what we call ‘commissioning’. Our ambition is to help local people live healthier lives and to make sure that when people do require health treatment they receive the best possible standard of care.</w:t>
      </w:r>
    </w:p>
    <w:p>
      <w:pPr>
        <w:pStyle w:val="BodyText"/>
        <w:spacing w:line="242" w:lineRule="auto" w:before="202"/>
        <w:ind w:left="680" w:right="868"/>
      </w:pPr>
      <w:r>
        <w:rPr/>
        <w:t>If you are registered with a North Lincolnshire GP practice, we are responsible for commissioning most of your healthcare. This includes mental health care, maternity services, treatments you receive in hospital, urgent and emergency care and some community services.</w:t>
      </w:r>
    </w:p>
    <w:p>
      <w:pPr>
        <w:pStyle w:val="BodyText"/>
        <w:spacing w:before="191"/>
        <w:ind w:left="680" w:right="746"/>
      </w:pPr>
      <w:r>
        <w:rPr/>
        <w:t>We are clinically led, which means that local doctors, nurses and other healthcare professionals have a central role in the work of the CGG. Our clinicians see North Lincolnshire patients every day and understand what our local population needs, making them ideally placed to make decisions about local care.</w:t>
      </w:r>
    </w:p>
    <w:p>
      <w:pPr>
        <w:pStyle w:val="BodyText"/>
        <w:spacing w:before="200"/>
        <w:ind w:left="680" w:right="856"/>
      </w:pPr>
      <w:r>
        <w:rPr/>
        <w:t>Our CCG brings together all 19 local practices and other health professionals to plan and design services to meet the needs of local patients. The number of patients registered with our GP practices is around 183,500. For a full breakdown of our member practices, branch sites, patient list sizes and locality, please turn to the Accountability section of this report.</w:t>
      </w:r>
    </w:p>
    <w:p>
      <w:pPr>
        <w:pStyle w:val="BodyText"/>
        <w:spacing w:before="200"/>
        <w:ind w:left="680" w:right="1260"/>
      </w:pPr>
      <w:r>
        <w:rPr/>
        <w:t>Where appropriate, we will jointly commission services with partners such as neighbouring North East Lincolnshire CCG or North Lincolnshire Council. The main health provider organisations that we have contractual arrangements for services are:</w:t>
      </w:r>
    </w:p>
    <w:p>
      <w:pPr>
        <w:pStyle w:val="ListParagraph"/>
        <w:numPr>
          <w:ilvl w:val="0"/>
          <w:numId w:val="1"/>
        </w:numPr>
        <w:tabs>
          <w:tab w:pos="1400" w:val="left" w:leader="none"/>
          <w:tab w:pos="1401" w:val="left" w:leader="none"/>
        </w:tabs>
        <w:spacing w:line="240" w:lineRule="auto" w:before="200" w:after="0"/>
        <w:ind w:left="1400" w:right="0" w:hanging="364"/>
        <w:jc w:val="left"/>
        <w:rPr>
          <w:sz w:val="22"/>
        </w:rPr>
      </w:pPr>
      <w:r>
        <w:rPr>
          <w:sz w:val="22"/>
        </w:rPr>
        <w:t>Northern Lincolnshire and Goole NHS Foundation</w:t>
      </w:r>
      <w:r>
        <w:rPr>
          <w:spacing w:val="-9"/>
          <w:sz w:val="22"/>
        </w:rPr>
        <w:t> </w:t>
      </w:r>
      <w:r>
        <w:rPr>
          <w:sz w:val="22"/>
        </w:rPr>
        <w:t>Trust</w:t>
      </w:r>
    </w:p>
    <w:p>
      <w:pPr>
        <w:pStyle w:val="ListParagraph"/>
        <w:numPr>
          <w:ilvl w:val="0"/>
          <w:numId w:val="1"/>
        </w:numPr>
        <w:tabs>
          <w:tab w:pos="1400" w:val="left" w:leader="none"/>
          <w:tab w:pos="1401" w:val="left" w:leader="none"/>
        </w:tabs>
        <w:spacing w:line="240" w:lineRule="auto" w:before="16" w:after="0"/>
        <w:ind w:left="1400" w:right="0" w:hanging="361"/>
        <w:jc w:val="left"/>
        <w:rPr>
          <w:sz w:val="22"/>
        </w:rPr>
      </w:pPr>
      <w:r>
        <w:rPr>
          <w:sz w:val="22"/>
        </w:rPr>
        <w:t>Rotherham, Doncaster and South Humber NHS Foundation</w:t>
      </w:r>
      <w:r>
        <w:rPr>
          <w:spacing w:val="-8"/>
          <w:sz w:val="22"/>
        </w:rPr>
        <w:t> </w:t>
      </w:r>
      <w:r>
        <w:rPr>
          <w:sz w:val="22"/>
        </w:rPr>
        <w:t>Trust</w:t>
      </w:r>
    </w:p>
    <w:p>
      <w:pPr>
        <w:pStyle w:val="ListParagraph"/>
        <w:numPr>
          <w:ilvl w:val="0"/>
          <w:numId w:val="1"/>
        </w:numPr>
        <w:tabs>
          <w:tab w:pos="1400" w:val="left" w:leader="none"/>
          <w:tab w:pos="1401" w:val="left" w:leader="none"/>
        </w:tabs>
        <w:spacing w:line="240" w:lineRule="auto" w:before="16" w:after="0"/>
        <w:ind w:left="1400" w:right="0" w:hanging="361"/>
        <w:jc w:val="left"/>
        <w:rPr>
          <w:sz w:val="22"/>
        </w:rPr>
      </w:pPr>
      <w:r>
        <w:rPr>
          <w:sz w:val="22"/>
        </w:rPr>
        <w:t>East Midlands Ambulance Service NHS</w:t>
      </w:r>
      <w:r>
        <w:rPr>
          <w:spacing w:val="-3"/>
          <w:sz w:val="22"/>
        </w:rPr>
        <w:t> </w:t>
      </w:r>
      <w:r>
        <w:rPr>
          <w:sz w:val="22"/>
        </w:rPr>
        <w:t>Trust</w:t>
      </w:r>
    </w:p>
    <w:p>
      <w:pPr>
        <w:pStyle w:val="ListParagraph"/>
        <w:numPr>
          <w:ilvl w:val="0"/>
          <w:numId w:val="1"/>
        </w:numPr>
        <w:tabs>
          <w:tab w:pos="1400" w:val="left" w:leader="none"/>
          <w:tab w:pos="1401" w:val="left" w:leader="none"/>
        </w:tabs>
        <w:spacing w:line="240" w:lineRule="auto" w:before="18" w:after="0"/>
        <w:ind w:left="1400" w:right="0" w:hanging="361"/>
        <w:jc w:val="left"/>
        <w:rPr>
          <w:sz w:val="22"/>
        </w:rPr>
      </w:pPr>
      <w:r>
        <w:rPr>
          <w:sz w:val="22"/>
        </w:rPr>
        <w:t>Yorkshire Ambulance Service NHS Trust</w:t>
      </w:r>
    </w:p>
    <w:p>
      <w:pPr>
        <w:pStyle w:val="BodyText"/>
        <w:spacing w:before="173"/>
        <w:ind w:left="681" w:right="842"/>
      </w:pPr>
      <w:r>
        <w:rPr/>
        <w:t>We also work closely with Healthwatch North Lincolnshire, the independent champion for local people who use health and social care services. We hold six Governing Body meetings and an Annual General Meeting each year, all of which are open to the public. For dates, times and venues, please contact us via the details below or visit our website:</w:t>
      </w:r>
    </w:p>
    <w:p>
      <w:pPr>
        <w:pStyle w:val="BodyText"/>
        <w:spacing w:line="280" w:lineRule="auto" w:before="198"/>
        <w:ind w:left="681" w:right="1442"/>
      </w:pPr>
      <w:r>
        <w:rPr/>
        <w:t>We will cease to exist as an organisation from 1 July 2022, but in the meantime, you can contact us at:</w:t>
      </w:r>
    </w:p>
    <w:p>
      <w:pPr>
        <w:pStyle w:val="BodyText"/>
        <w:spacing w:before="190"/>
        <w:ind w:left="681"/>
      </w:pPr>
      <w:r>
        <w:rPr/>
        <w:t>NHS North Lincolnshire Clinical Commissioning Group,</w:t>
      </w:r>
    </w:p>
    <w:p>
      <w:pPr>
        <w:pStyle w:val="BodyText"/>
        <w:spacing w:before="10"/>
        <w:rPr>
          <w:sz w:val="20"/>
        </w:rPr>
      </w:pPr>
    </w:p>
    <w:p>
      <w:pPr>
        <w:pStyle w:val="BodyText"/>
        <w:spacing w:line="465" w:lineRule="auto"/>
        <w:ind w:left="680" w:right="3571"/>
      </w:pPr>
      <w:r>
        <w:rPr/>
        <w:t>Health Place, Wrawby Road, Brigg, North Lincolnshire, DN20 8GS Tel: 01652 251000</w:t>
      </w:r>
    </w:p>
    <w:p>
      <w:pPr>
        <w:pStyle w:val="BodyText"/>
        <w:spacing w:line="465" w:lineRule="auto"/>
        <w:ind w:left="680" w:right="5931"/>
      </w:pPr>
      <w:r>
        <w:rPr/>
        <w:t>Email: </w:t>
      </w:r>
      <w:hyperlink r:id="rId7">
        <w:r>
          <w:rPr>
            <w:color w:val="0000FF"/>
            <w:u w:val="single" w:color="0000FF"/>
          </w:rPr>
          <w:t>NLCCG.ContactUs@nhs.net</w:t>
        </w:r>
      </w:hyperlink>
      <w:r>
        <w:rPr>
          <w:color w:val="0000FF"/>
        </w:rPr>
        <w:t> </w:t>
      </w:r>
      <w:r>
        <w:rPr/>
        <w:t>Website: </w:t>
      </w:r>
      <w:hyperlink r:id="rId8">
        <w:r>
          <w:rPr>
            <w:color w:val="0000FF"/>
            <w:u w:val="single" w:color="0000FF"/>
          </w:rPr>
          <w:t>www.northlincolnshireccg.nhs.uk</w:t>
        </w:r>
      </w:hyperlink>
      <w:r>
        <w:rPr>
          <w:color w:val="0000FF"/>
        </w:rPr>
        <w:t> </w:t>
      </w:r>
      <w:r>
        <w:rPr/>
        <w:t>Twitter: @northlincsccg</w:t>
      </w:r>
    </w:p>
    <w:p>
      <w:pPr>
        <w:spacing w:after="0" w:line="465" w:lineRule="auto"/>
        <w:sectPr>
          <w:pgSz w:w="11920" w:h="16850"/>
          <w:pgMar w:header="0" w:footer="363" w:top="1320" w:bottom="640" w:left="760" w:right="420"/>
        </w:sectPr>
      </w:pPr>
    </w:p>
    <w:p>
      <w:pPr>
        <w:spacing w:before="60"/>
        <w:ind w:left="680" w:right="0" w:firstLine="0"/>
        <w:jc w:val="left"/>
        <w:rPr>
          <w:b/>
          <w:sz w:val="32"/>
        </w:rPr>
      </w:pPr>
      <w:r>
        <w:rPr>
          <w:b/>
          <w:color w:val="4F81BB"/>
          <w:sz w:val="32"/>
        </w:rPr>
        <w:t>A warm welcome from our Accountable Officer and Chair</w:t>
      </w:r>
    </w:p>
    <w:p>
      <w:pPr>
        <w:pStyle w:val="BodyText"/>
        <w:spacing w:line="280" w:lineRule="auto" w:before="252"/>
        <w:ind w:left="680" w:right="1333"/>
      </w:pPr>
      <w:r>
        <w:rPr/>
        <w:t>Welcome to the 2021-22 Annual Report and Accounts for NHS North Lincolnshire Clinical Commissioning Group (CCG).</w:t>
      </w:r>
    </w:p>
    <w:p>
      <w:pPr>
        <w:pStyle w:val="BodyText"/>
        <w:spacing w:line="278" w:lineRule="auto" w:before="190"/>
        <w:ind w:left="680" w:right="941"/>
      </w:pPr>
      <w:r>
        <w:rPr/>
        <w:t>We hope this will provide an overview of our progress and performance during what has been another extremely challenging year for our National Health Service.</w:t>
      </w:r>
    </w:p>
    <w:p>
      <w:pPr>
        <w:pStyle w:val="BodyText"/>
        <w:spacing w:line="278" w:lineRule="auto" w:before="193"/>
        <w:ind w:left="680" w:right="782"/>
      </w:pPr>
      <w:r>
        <w:rPr/>
        <w:t>Sadly, we have lost many more people to Coronavirus and on behalf of the CCG, we would like to offer our sincere condolences to all those who have lost loved ones.</w:t>
      </w:r>
    </w:p>
    <w:p>
      <w:pPr>
        <w:pStyle w:val="BodyText"/>
        <w:spacing w:line="276" w:lineRule="auto" w:before="196"/>
        <w:ind w:left="680" w:right="818"/>
      </w:pPr>
      <w:r>
        <w:rPr/>
        <w:t>Across the country, health and care workers have worked harder than ever to continue the unabated fight against Coronavirus, often working during leave and through fatigue to keep our patients as safe as possible.</w:t>
      </w:r>
    </w:p>
    <w:p>
      <w:pPr>
        <w:pStyle w:val="BodyText"/>
        <w:spacing w:line="276" w:lineRule="auto" w:before="202"/>
        <w:ind w:left="680" w:right="941"/>
      </w:pPr>
      <w:r>
        <w:rPr/>
        <w:t>As a result of the pandemic, demand on the system has never been so high. As expected, we are seeing huge pressures in our hospitals, GP practices, ambulance services, mental health services, community teams and care homes. But while the year has been tough, North Lincolnshire can be proud of its response under the most severe pressure.</w:t>
      </w:r>
    </w:p>
    <w:p>
      <w:pPr>
        <w:pStyle w:val="BodyText"/>
        <w:spacing w:line="276" w:lineRule="auto" w:before="197"/>
        <w:ind w:left="680" w:right="734"/>
      </w:pPr>
      <w:r>
        <w:rPr/>
        <w:t>Working alongside our partners has been pivotal and we have seen some excellent collaboration between our local healthcare providers, all four Humber CCGs, our Integrated Care System at Humber and North Yorkshire level and with North Lincolnshire Council. We have worked extremely closely with our acute and community care providers, Northern Lincolnshire and Goole NHS Foundation Trust (NLaG) and mental health provider, Rotherham, Doncaster and South Humber NHS Foundation Trust (RDaSH), to ensure patients are receiving the best and most timely care possible.</w:t>
      </w:r>
    </w:p>
    <w:p>
      <w:pPr>
        <w:pStyle w:val="BodyText"/>
        <w:spacing w:line="280" w:lineRule="auto" w:before="198"/>
        <w:ind w:left="680" w:right="721"/>
      </w:pPr>
      <w:r>
        <w:rPr/>
        <w:t>Like last year, our CCG staff have been working tirelessly, often long hours into the evenings, to do everything they can to help. We thank them for that.</w:t>
      </w:r>
    </w:p>
    <w:p>
      <w:pPr>
        <w:pStyle w:val="BodyText"/>
        <w:spacing w:line="276" w:lineRule="auto" w:before="190"/>
        <w:ind w:left="680" w:right="794"/>
      </w:pPr>
      <w:r>
        <w:rPr/>
        <w:t>GP practices have done an incredible job during the pandemic – and continue to do so as we, hopefully, make our way out of it. GPs are giving record breaking numbers of appointments every month to patients in North Lincolnshire. We have seen an increase in consultations by telephone, video or online, which has meant patients who don’t always need to make a trip to see their GP, have not needed to. More than 100,000 GP appointments are given most months in North Lincolnshire, with around 75% of these being face to face and almost half given on the same day the patient contacts their surgery.</w:t>
      </w:r>
    </w:p>
    <w:p>
      <w:pPr>
        <w:pStyle w:val="BodyText"/>
        <w:spacing w:line="276" w:lineRule="auto" w:before="203"/>
        <w:ind w:left="680" w:right="721"/>
      </w:pPr>
      <w:r>
        <w:rPr/>
        <w:t>These are welcome figures but demand still exceeds the capacity within these teams. As a result, our 19 GP surgeries came together to launch a new urgent access hub in the heart of Scunthorpe at the start of 2022. Now, for those patients who have an urgent need but can’t be seen by their local practice that day due to staffing issues, they are referred to a hub where they will be seen because GPs from across North Lincolnshire are coming in on their days off or during their holiday time to help out. The hub is open four days a week and can see up to 200 patients each week. Feedback from patients on this new service has been extremely positive and we would like to thank everyone who has been involved in this great initiative.</w:t>
      </w:r>
    </w:p>
    <w:p>
      <w:pPr>
        <w:spacing w:after="0" w:line="276" w:lineRule="auto"/>
        <w:sectPr>
          <w:pgSz w:w="11920" w:h="16850"/>
          <w:pgMar w:header="0" w:footer="363" w:top="1340" w:bottom="640" w:left="760" w:right="420"/>
        </w:sectPr>
      </w:pPr>
    </w:p>
    <w:p>
      <w:pPr>
        <w:pStyle w:val="BodyText"/>
        <w:spacing w:line="276" w:lineRule="auto" w:before="81"/>
        <w:ind w:left="680" w:right="1222"/>
      </w:pPr>
      <w:r>
        <w:rPr/>
        <w:t>Thousands of lives have been saved thanks to Coronavirus vaccines this year. North Lincolnshire’s booster programme has been one of the most successful in the country and, again, this is down to a sterling effort from a host of our partners.</w:t>
      </w:r>
    </w:p>
    <w:p>
      <w:pPr>
        <w:pStyle w:val="BodyText"/>
        <w:spacing w:line="276" w:lineRule="auto" w:before="199"/>
        <w:ind w:left="679" w:right="709"/>
      </w:pPr>
      <w:r>
        <w:rPr/>
        <w:t>At time of writing, more than 105,000 boosters have been administered in North Lincolnshire – with more than 85% of our overall population having at least one dose. Our primary care networks, pharmacies, outreach team and Scunthorpe Vaccination Centre, run by Safecare Network, have all played significant roles in the programme. The latter celebrated its one-year anniversary on 19 March and in that time delivered more than 100,000 doses of the vaccination. That is an incredible effort.</w:t>
      </w:r>
    </w:p>
    <w:p>
      <w:pPr>
        <w:pStyle w:val="BodyText"/>
        <w:spacing w:line="276" w:lineRule="auto" w:before="199"/>
        <w:ind w:left="679" w:right="747"/>
      </w:pPr>
      <w:r>
        <w:rPr/>
        <w:t>Our outreach programme has been recognised at both a regional and national level. The pandemic has highlighted health inequalities as an issue across the country. Here in North Lincolnshire, we have adopted a pro-active approach with our wonderfully diverse communities. We have taken vaccines to people who may otherwise have been hesitant to have the jab. We have set up vaccination clinics in mosques, temples, with the homeless and in remote locations where accessibility is a challenge. Impressively, this initiative has seen more than 5,000 doses administered, to people who would not have otherwise sought a vaccination due to a host of reasons.</w:t>
      </w:r>
    </w:p>
    <w:p>
      <w:pPr>
        <w:pStyle w:val="BodyText"/>
        <w:spacing w:line="278" w:lineRule="auto" w:before="197"/>
        <w:ind w:left="679" w:right="1028"/>
      </w:pPr>
      <w:r>
        <w:rPr/>
        <w:t>Despite the difficult year, we have achieved a great deal. There are too many to list them all here so please do visit our ‘highlights of the year’ section later in the report for further details.</w:t>
      </w:r>
    </w:p>
    <w:p>
      <w:pPr>
        <w:pStyle w:val="BodyText"/>
        <w:spacing w:line="276" w:lineRule="auto" w:before="195"/>
        <w:ind w:left="679" w:right="783"/>
      </w:pPr>
      <w:r>
        <w:rPr/>
        <w:t>We expect things will look different next year. The Health and Care Bill which has gone through Parliament sets out plans to put Integrated Care Systems on a statutory footing, empowering them to better join up health and care services, improve population health and reduce health inequalities.</w:t>
      </w:r>
    </w:p>
    <w:p>
      <w:pPr>
        <w:pStyle w:val="BodyText"/>
        <w:spacing w:line="276" w:lineRule="auto" w:before="199"/>
        <w:ind w:left="679" w:right="858"/>
      </w:pPr>
      <w:r>
        <w:rPr/>
        <w:t>The proposals within this Bill mean that each ICS will be led by an NHS Integrated Care Board (ICB), an organisation with responsibility for NHS functions and budgets, and an Integrated Care Partnership (ICP), a statutory committee bringing together all system partners to produce a health and care strategy. When ICBs are legally established on 1 July 2022, Clinical Commissioning Groups (CCGs) will be dissolved.</w:t>
      </w:r>
    </w:p>
    <w:p>
      <w:pPr>
        <w:pStyle w:val="BodyText"/>
        <w:spacing w:line="278" w:lineRule="auto" w:before="199"/>
        <w:ind w:left="679" w:right="1050"/>
        <w:jc w:val="both"/>
      </w:pPr>
      <w:r>
        <w:rPr/>
        <w:t>We are building on some of the fantastic collaborations we have seen through the pandemic within our workforce, governing bodies and system partners as we begin to operate later this year as an Integrated Care Board.</w:t>
      </w:r>
    </w:p>
    <w:p>
      <w:pPr>
        <w:spacing w:after="0" w:line="278" w:lineRule="auto"/>
        <w:jc w:val="both"/>
        <w:sectPr>
          <w:pgSz w:w="11920" w:h="16850"/>
          <w:pgMar w:header="0" w:footer="363" w:top="1320" w:bottom="640" w:left="760" w:right="420"/>
        </w:sectPr>
      </w:pPr>
    </w:p>
    <w:p>
      <w:pPr>
        <w:pStyle w:val="BodyText"/>
        <w:spacing w:line="276" w:lineRule="auto" w:before="81"/>
        <w:ind w:left="679" w:right="795"/>
      </w:pPr>
      <w:r>
        <w:rPr/>
        <w:t>Even when the CCG ceases to exist as a statutory body, it is imperative to stress our Place will be paramount. North Lincolnshire has come too far for it not to be. Work has been under way throughout the year with the Health and Wellbeing Board, and other partners, to develop partnership arrangements. A baseline maturity assessment has been undertaken, showing movement to a ‘maturing’ partnership’. We already have strong partnerships, governance and underpinning strategies and plans and working arrangements so the foundations have certainly been built for a bright future.</w:t>
      </w:r>
    </w:p>
    <w:p>
      <w:pPr>
        <w:pStyle w:val="BodyText"/>
        <w:spacing w:line="276" w:lineRule="auto" w:before="200"/>
        <w:ind w:left="679" w:right="747"/>
      </w:pPr>
      <w:r>
        <w:rPr/>
        <w:t>We held an initial shadow Place Partnership meeting in January and key outcomes included a review of terms of reference and an agreement on values and principles for operation of the partnership. There was a positive commitment to the partnership from local authority executives and members, our primary care networks, NHS Providers, voluntary care sector and ICS/NHS leaders.</w:t>
      </w:r>
    </w:p>
    <w:p>
      <w:pPr>
        <w:pStyle w:val="BodyText"/>
        <w:spacing w:line="276" w:lineRule="auto" w:before="196"/>
        <w:ind w:left="680" w:right="904"/>
      </w:pPr>
      <w:r>
        <w:rPr/>
        <w:t>We would like to thank our CCG Governing Body members who have been critical in not only North Lincolnshire CCG’s response to the pandemic but also the growth and development of the organisation and to our incredible team who have been unwavering in their commitment to the people of Northern Lincolnshire.</w:t>
      </w:r>
    </w:p>
    <w:p>
      <w:pPr>
        <w:pStyle w:val="BodyText"/>
        <w:spacing w:line="280" w:lineRule="auto" w:before="199"/>
        <w:ind w:left="680" w:right="905"/>
      </w:pPr>
      <w:r>
        <w:rPr/>
        <w:t>We want to thank all partners with a specific mention to our Governing Body lay members and the local voluntary sector for all the hard work they are doing.</w:t>
      </w:r>
    </w:p>
    <w:p>
      <w:pPr>
        <w:pStyle w:val="BodyText"/>
        <w:spacing w:line="276" w:lineRule="auto" w:before="191"/>
        <w:ind w:left="680" w:right="892"/>
      </w:pPr>
      <w:r>
        <w:rPr/>
        <w:t>A huge thanks must go to the public as well. And to those who continue to engage with our community groups. There has been a relaunch of the organisation’s Patient and Community Assurance Group in a bid to make it more representative of the diverse population we serve in North Lincolnshire. We are delighted to see a number of new recruits join – including the chairman of the North Lincolnshire Multi-Faith Partnership.</w:t>
      </w:r>
    </w:p>
    <w:p>
      <w:pPr>
        <w:pStyle w:val="BodyText"/>
        <w:spacing w:line="276" w:lineRule="auto" w:before="201"/>
        <w:ind w:left="680" w:right="758"/>
      </w:pPr>
      <w:r>
        <w:rPr/>
        <w:t>This year has been another huge challenge for us all, so thank you to our patients for their sacrifices. Once again, you have been adhering to national guidelines in a bid to keep the Coronavirus infection rate in North Lincolnshire as low as possible. The patient is at the heart of everything we do so don’t underestimate the role you have played in our region’s response.</w:t>
      </w:r>
    </w:p>
    <w:p>
      <w:pPr>
        <w:pStyle w:val="BodyText"/>
        <w:spacing w:before="202"/>
        <w:ind w:left="680"/>
      </w:pPr>
      <w:r>
        <w:rPr/>
        <w:t>Thank you for taking the time to read our report.</w:t>
      </w:r>
    </w:p>
    <w:p>
      <w:pPr>
        <w:pStyle w:val="BodyText"/>
        <w:rPr>
          <w:sz w:val="20"/>
        </w:rPr>
      </w:pPr>
    </w:p>
    <w:p>
      <w:pPr>
        <w:pStyle w:val="BodyText"/>
        <w:spacing w:before="1"/>
        <w:rPr>
          <w:sz w:val="19"/>
        </w:rPr>
      </w:pPr>
      <w:r>
        <w:rPr/>
        <w:drawing>
          <wp:anchor distT="0" distB="0" distL="0" distR="0" allowOverlap="1" layoutInCell="1" locked="0" behindDoc="0" simplePos="0" relativeHeight="0">
            <wp:simplePos x="0" y="0"/>
            <wp:positionH relativeFrom="page">
              <wp:posOffset>914400</wp:posOffset>
            </wp:positionH>
            <wp:positionV relativeFrom="paragraph">
              <wp:posOffset>164197</wp:posOffset>
            </wp:positionV>
            <wp:extent cx="718475" cy="934593"/>
            <wp:effectExtent l="0" t="0" r="0" b="0"/>
            <wp:wrapTopAndBottom/>
            <wp:docPr id="3" name="image2.jpeg" descr="A person wearing glasses  Description automatically generated with medium confidence"/>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718475" cy="934593"/>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2286000</wp:posOffset>
            </wp:positionH>
            <wp:positionV relativeFrom="paragraph">
              <wp:posOffset>175627</wp:posOffset>
            </wp:positionV>
            <wp:extent cx="973734" cy="930401"/>
            <wp:effectExtent l="0" t="0" r="0" b="0"/>
            <wp:wrapTopAndBottom/>
            <wp:docPr id="5" name="image3.jpeg" descr="See the source image"/>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973734" cy="930401"/>
                    </a:xfrm>
                    <a:prstGeom prst="rect">
                      <a:avLst/>
                    </a:prstGeom>
                  </pic:spPr>
                </pic:pic>
              </a:graphicData>
            </a:graphic>
          </wp:anchor>
        </w:drawing>
      </w:r>
    </w:p>
    <w:p>
      <w:pPr>
        <w:pStyle w:val="BodyText"/>
        <w:rPr>
          <w:sz w:val="24"/>
        </w:rPr>
      </w:pPr>
    </w:p>
    <w:p>
      <w:pPr>
        <w:pStyle w:val="BodyText"/>
        <w:spacing w:before="157"/>
        <w:ind w:left="680"/>
      </w:pPr>
      <w:r>
        <w:rPr/>
        <w:t>Emma Latimer, Accountable Officer, and Dr Faisel Baig, Chair.</w:t>
      </w:r>
    </w:p>
    <w:p>
      <w:pPr>
        <w:spacing w:after="0"/>
        <w:sectPr>
          <w:pgSz w:w="11920" w:h="16850"/>
          <w:pgMar w:header="0" w:footer="363" w:top="1320" w:bottom="640" w:left="760" w:right="420"/>
        </w:sectPr>
      </w:pPr>
    </w:p>
    <w:p>
      <w:pPr>
        <w:pStyle w:val="Heading2"/>
      </w:pPr>
      <w:bookmarkStart w:name="Contents" w:id="4"/>
      <w:bookmarkEnd w:id="4"/>
      <w:r>
        <w:rPr>
          <w:b w:val="0"/>
        </w:rPr>
      </w:r>
      <w:r>
        <w:rPr>
          <w:color w:val="006EC0"/>
        </w:rPr>
        <w:t>Contents</w:t>
      </w:r>
    </w:p>
    <w:p>
      <w:pPr>
        <w:pStyle w:val="ListParagraph"/>
        <w:numPr>
          <w:ilvl w:val="0"/>
          <w:numId w:val="2"/>
        </w:numPr>
        <w:tabs>
          <w:tab w:pos="679" w:val="left" w:leader="none"/>
          <w:tab w:pos="680" w:val="left" w:leader="none"/>
        </w:tabs>
        <w:spacing w:line="240" w:lineRule="auto" w:before="232" w:after="0"/>
        <w:ind w:left="680" w:right="0" w:hanging="567"/>
        <w:jc w:val="left"/>
        <w:rPr>
          <w:b/>
          <w:sz w:val="32"/>
        </w:rPr>
      </w:pPr>
      <w:r>
        <w:rPr>
          <w:b/>
          <w:color w:val="4F81BB"/>
          <w:sz w:val="32"/>
        </w:rPr>
        <w:t>Part one: Introduction and Performance</w:t>
      </w:r>
      <w:r>
        <w:rPr>
          <w:b/>
          <w:color w:val="4F81BB"/>
          <w:spacing w:val="-14"/>
          <w:sz w:val="32"/>
        </w:rPr>
        <w:t> </w:t>
      </w:r>
      <w:r>
        <w:rPr>
          <w:b/>
          <w:color w:val="4F81BB"/>
          <w:sz w:val="32"/>
        </w:rPr>
        <w:t>Report</w:t>
      </w:r>
    </w:p>
    <w:sdt>
      <w:sdtPr>
        <w:docPartObj>
          <w:docPartGallery w:val="Table of Contents"/>
          <w:docPartUnique/>
        </w:docPartObj>
      </w:sdtPr>
      <w:sdtEndPr/>
      <w:sdtContent>
        <w:p>
          <w:pPr>
            <w:pStyle w:val="TOC2"/>
            <w:tabs>
              <w:tab w:pos="9862" w:val="right" w:leader="dot"/>
            </w:tabs>
            <w:spacing w:before="215"/>
            <w:ind w:left="680"/>
          </w:pPr>
          <w:r>
            <w:rPr/>
            <w:t>We are North</w:t>
          </w:r>
          <w:r>
            <w:rPr>
              <w:spacing w:val="-3"/>
            </w:rPr>
            <w:t> </w:t>
          </w:r>
          <w:r>
            <w:rPr/>
            <w:t>Lincolnshire CCG</w:t>
            <w:tab/>
            <w:t>3</w:t>
          </w:r>
        </w:p>
        <w:p>
          <w:pPr>
            <w:pStyle w:val="TOC2"/>
            <w:tabs>
              <w:tab w:pos="9901" w:val="right" w:leader="dot"/>
            </w:tabs>
            <w:ind w:left="680"/>
          </w:pPr>
          <w:r>
            <w:rPr/>
            <w:t>Welcome from our Accountable Officer</w:t>
          </w:r>
          <w:r>
            <w:rPr>
              <w:spacing w:val="-8"/>
            </w:rPr>
            <w:t> </w:t>
          </w:r>
          <w:r>
            <w:rPr/>
            <w:t>and</w:t>
          </w:r>
          <w:r>
            <w:rPr>
              <w:spacing w:val="-2"/>
            </w:rPr>
            <w:t> </w:t>
          </w:r>
          <w:r>
            <w:rPr/>
            <w:t>Chair</w:t>
            <w:tab/>
            <w:t>4</w:t>
          </w:r>
        </w:p>
        <w:p>
          <w:pPr>
            <w:pStyle w:val="TOC2"/>
            <w:tabs>
              <w:tab w:pos="9915" w:val="right" w:leader="dot"/>
            </w:tabs>
            <w:spacing w:before="124"/>
            <w:ind w:left="680"/>
          </w:pPr>
          <w:r>
            <w:rPr/>
            <w:t>Performance overview from Emma Latimer,</w:t>
          </w:r>
          <w:r>
            <w:rPr>
              <w:spacing w:val="-5"/>
            </w:rPr>
            <w:t> </w:t>
          </w:r>
          <w:r>
            <w:rPr/>
            <w:t>Accountable</w:t>
          </w:r>
          <w:r>
            <w:rPr>
              <w:spacing w:val="-1"/>
            </w:rPr>
            <w:t> </w:t>
          </w:r>
          <w:r>
            <w:rPr/>
            <w:t>Officer</w:t>
            <w:tab/>
            <w:t>8</w:t>
          </w:r>
        </w:p>
        <w:p>
          <w:pPr>
            <w:pStyle w:val="TOC2"/>
            <w:tabs>
              <w:tab w:pos="9898" w:val="right" w:leader="dot"/>
            </w:tabs>
            <w:ind w:left="680"/>
          </w:pPr>
          <w:hyperlink w:history="true" w:anchor="_bookmark0">
            <w:r>
              <w:rPr/>
              <w:t>Engaging</w:t>
            </w:r>
            <w:r>
              <w:rPr>
                <w:spacing w:val="-1"/>
              </w:rPr>
              <w:t> </w:t>
            </w:r>
            <w:r>
              <w:rPr/>
              <w:t>communities</w:t>
              <w:tab/>
              <w:t>12</w:t>
            </w:r>
          </w:hyperlink>
        </w:p>
        <w:p>
          <w:pPr>
            <w:pStyle w:val="TOC2"/>
            <w:tabs>
              <w:tab w:pos="9900" w:val="right" w:leader="dot"/>
            </w:tabs>
            <w:ind w:left="680"/>
          </w:pPr>
          <w:hyperlink w:history="true" w:anchor="_bookmark1">
            <w:r>
              <w:rPr/>
              <w:t>Improving</w:t>
            </w:r>
            <w:r>
              <w:rPr>
                <w:spacing w:val="-1"/>
              </w:rPr>
              <w:t> </w:t>
            </w:r>
            <w:r>
              <w:rPr/>
              <w:t>quality</w:t>
              <w:tab/>
              <w:t>19</w:t>
            </w:r>
          </w:hyperlink>
        </w:p>
        <w:p>
          <w:pPr>
            <w:pStyle w:val="TOC2"/>
            <w:tabs>
              <w:tab w:pos="9962" w:val="right" w:leader="dot"/>
            </w:tabs>
            <w:ind w:left="680"/>
          </w:pPr>
          <w:hyperlink w:history="true" w:anchor="_bookmark2">
            <w:r>
              <w:rPr/>
              <w:t>Action to reduce</w:t>
            </w:r>
            <w:r>
              <w:rPr>
                <w:spacing w:val="-5"/>
              </w:rPr>
              <w:t> </w:t>
            </w:r>
            <w:r>
              <w:rPr/>
              <w:t>health</w:t>
            </w:r>
            <w:r>
              <w:rPr>
                <w:spacing w:val="-2"/>
              </w:rPr>
              <w:t> </w:t>
            </w:r>
            <w:r>
              <w:rPr/>
              <w:t>inequalities</w:t>
              <w:tab/>
              <w:t>25</w:t>
            </w:r>
          </w:hyperlink>
        </w:p>
        <w:p>
          <w:pPr>
            <w:pStyle w:val="TOC2"/>
            <w:tabs>
              <w:tab w:pos="9960" w:val="right" w:leader="dot"/>
            </w:tabs>
          </w:pPr>
          <w:hyperlink w:history="true" w:anchor="_bookmark3">
            <w:r>
              <w:rPr/>
              <w:t>Health and</w:t>
            </w:r>
            <w:r>
              <w:rPr>
                <w:spacing w:val="-5"/>
              </w:rPr>
              <w:t> </w:t>
            </w:r>
            <w:r>
              <w:rPr/>
              <w:t>Wellbeing Strategy</w:t>
              <w:tab/>
              <w:t>27</w:t>
            </w:r>
          </w:hyperlink>
        </w:p>
        <w:p>
          <w:pPr>
            <w:pStyle w:val="TOC2"/>
            <w:tabs>
              <w:tab w:pos="9984" w:val="right" w:leader="dot"/>
            </w:tabs>
            <w:spacing w:before="129"/>
          </w:pPr>
          <w:hyperlink w:history="true" w:anchor="_bookmark4">
            <w:r>
              <w:rPr/>
              <w:t>Health and</w:t>
            </w:r>
            <w:r>
              <w:rPr>
                <w:spacing w:val="-3"/>
              </w:rPr>
              <w:t> </w:t>
            </w:r>
            <w:r>
              <w:rPr/>
              <w:t>Place Plan</w:t>
              <w:tab/>
              <w:t>27</w:t>
            </w:r>
          </w:hyperlink>
        </w:p>
        <w:p>
          <w:pPr>
            <w:pStyle w:val="TOC2"/>
            <w:tabs>
              <w:tab w:pos="9998" w:val="right" w:leader="dot"/>
            </w:tabs>
          </w:pPr>
          <w:hyperlink w:history="true" w:anchor="_bookmark5">
            <w:r>
              <w:rPr/>
              <w:t>Integrated</w:t>
            </w:r>
            <w:r>
              <w:rPr>
                <w:spacing w:val="-5"/>
              </w:rPr>
              <w:t> </w:t>
            </w:r>
            <w:r>
              <w:rPr/>
              <w:t>commissioning</w:t>
              <w:tab/>
              <w:t>27</w:t>
            </w:r>
          </w:hyperlink>
        </w:p>
        <w:p>
          <w:pPr>
            <w:pStyle w:val="TOC2"/>
            <w:tabs>
              <w:tab w:pos="9957" w:val="right" w:leader="dot"/>
            </w:tabs>
          </w:pPr>
          <w:hyperlink w:history="true" w:anchor="_bookmark6">
            <w:r>
              <w:rPr/>
              <w:t>Unplanned</w:t>
            </w:r>
            <w:r>
              <w:rPr>
                <w:spacing w:val="-1"/>
              </w:rPr>
              <w:t> </w:t>
            </w:r>
            <w:r>
              <w:rPr/>
              <w:t>care</w:t>
              <w:tab/>
              <w:t>28</w:t>
            </w:r>
          </w:hyperlink>
        </w:p>
        <w:p>
          <w:pPr>
            <w:pStyle w:val="TOC2"/>
            <w:tabs>
              <w:tab w:pos="9984" w:val="right" w:leader="dot"/>
            </w:tabs>
          </w:pPr>
          <w:hyperlink w:history="true" w:anchor="_bookmark7">
            <w:r>
              <w:rPr/>
              <w:t>Planned</w:t>
            </w:r>
            <w:r>
              <w:rPr>
                <w:spacing w:val="-1"/>
              </w:rPr>
              <w:t> </w:t>
            </w:r>
            <w:r>
              <w:rPr/>
              <w:t>care</w:t>
              <w:tab/>
              <w:t>28</w:t>
            </w:r>
          </w:hyperlink>
        </w:p>
        <w:p>
          <w:pPr>
            <w:pStyle w:val="TOC2"/>
            <w:tabs>
              <w:tab w:pos="9960" w:val="right" w:leader="dot"/>
            </w:tabs>
            <w:spacing w:before="127"/>
          </w:pPr>
          <w:hyperlink w:history="true" w:anchor="_bookmark8">
            <w:r>
              <w:rPr/>
              <w:t>Cancer</w:t>
              <w:tab/>
              <w:t>28</w:t>
            </w:r>
          </w:hyperlink>
        </w:p>
        <w:p>
          <w:pPr>
            <w:pStyle w:val="TOC2"/>
            <w:tabs>
              <w:tab w:pos="9969" w:val="right" w:leader="dot"/>
            </w:tabs>
          </w:pPr>
          <w:hyperlink w:history="true" w:anchor="_bookmark9">
            <w:r>
              <w:rPr/>
              <w:t>Maternity</w:t>
              <w:tab/>
              <w:t>29</w:t>
            </w:r>
          </w:hyperlink>
        </w:p>
        <w:p>
          <w:pPr>
            <w:pStyle w:val="TOC2"/>
            <w:tabs>
              <w:tab w:pos="9962" w:val="right" w:leader="dot"/>
            </w:tabs>
          </w:pPr>
          <w:hyperlink w:history="true" w:anchor="_bookmark10">
            <w:r>
              <w:rPr/>
              <w:t>Mental health and</w:t>
            </w:r>
            <w:r>
              <w:rPr>
                <w:spacing w:val="-5"/>
              </w:rPr>
              <w:t> </w:t>
            </w:r>
            <w:r>
              <w:rPr/>
              <w:t>learning disabilities</w:t>
              <w:tab/>
              <w:t>29</w:t>
            </w:r>
          </w:hyperlink>
        </w:p>
        <w:p>
          <w:pPr>
            <w:pStyle w:val="TOC2"/>
            <w:tabs>
              <w:tab w:pos="9945" w:val="right" w:leader="dot"/>
            </w:tabs>
          </w:pPr>
          <w:hyperlink w:history="true" w:anchor="_bookmark11">
            <w:r>
              <w:rPr/>
              <w:t>Frailty</w:t>
              <w:tab/>
              <w:t>30</w:t>
            </w:r>
          </w:hyperlink>
        </w:p>
        <w:p>
          <w:pPr>
            <w:pStyle w:val="TOC2"/>
            <w:tabs>
              <w:tab w:pos="9993" w:val="right" w:leader="dot"/>
            </w:tabs>
          </w:pPr>
          <w:hyperlink w:history="true" w:anchor="_bookmark12">
            <w:r>
              <w:rPr/>
              <w:t>Primary</w:t>
            </w:r>
            <w:r>
              <w:rPr>
                <w:spacing w:val="-5"/>
              </w:rPr>
              <w:t> </w:t>
            </w:r>
            <w:r>
              <w:rPr/>
              <w:t>care</w:t>
              <w:tab/>
              <w:t>32</w:t>
            </w:r>
          </w:hyperlink>
        </w:p>
        <w:p>
          <w:pPr>
            <w:pStyle w:val="TOC2"/>
            <w:tabs>
              <w:tab w:pos="9960" w:val="right" w:leader="dot"/>
            </w:tabs>
            <w:spacing w:before="129"/>
          </w:pPr>
          <w:hyperlink w:history="true" w:anchor="_bookmark13">
            <w:r>
              <w:rPr/>
              <w:t>Highlights of the</w:t>
            </w:r>
            <w:r>
              <w:rPr>
                <w:spacing w:val="-2"/>
              </w:rPr>
              <w:t> </w:t>
            </w:r>
            <w:r>
              <w:rPr/>
              <w:t>Year</w:t>
            </w:r>
            <w:r>
              <w:rPr>
                <w:spacing w:val="2"/>
              </w:rPr>
              <w:t> </w:t>
            </w:r>
            <w:r>
              <w:rPr/>
              <w:t>2021-22</w:t>
              <w:tab/>
              <w:t>36</w:t>
            </w:r>
          </w:hyperlink>
        </w:p>
        <w:p>
          <w:pPr>
            <w:pStyle w:val="TOC2"/>
            <w:tabs>
              <w:tab w:pos="9933" w:val="right" w:leader="dot"/>
            </w:tabs>
          </w:pPr>
          <w:hyperlink w:history="true" w:anchor="_bookmark14">
            <w:r>
              <w:rPr/>
              <w:t>Performance analysis – how are</w:t>
            </w:r>
            <w:r>
              <w:rPr>
                <w:spacing w:val="-13"/>
              </w:rPr>
              <w:t> </w:t>
            </w:r>
            <w:r>
              <w:rPr/>
              <w:t>we</w:t>
            </w:r>
            <w:r>
              <w:rPr>
                <w:spacing w:val="-2"/>
              </w:rPr>
              <w:t> </w:t>
            </w:r>
            <w:r>
              <w:rPr/>
              <w:t>doing?</w:t>
              <w:tab/>
              <w:t>39</w:t>
            </w:r>
          </w:hyperlink>
        </w:p>
        <w:p>
          <w:pPr>
            <w:pStyle w:val="TOC2"/>
            <w:tabs>
              <w:tab w:pos="9960" w:val="right" w:leader="dot"/>
            </w:tabs>
          </w:pPr>
          <w:hyperlink w:history="true" w:anchor="_bookmark15">
            <w:r>
              <w:rPr/>
              <w:t>Sustainable</w:t>
            </w:r>
            <w:r>
              <w:rPr>
                <w:spacing w:val="-1"/>
              </w:rPr>
              <w:t> </w:t>
            </w:r>
            <w:r>
              <w:rPr/>
              <w:t>development</w:t>
              <w:tab/>
              <w:t>46</w:t>
            </w:r>
          </w:hyperlink>
        </w:p>
        <w:p>
          <w:pPr>
            <w:pStyle w:val="TOC1"/>
            <w:numPr>
              <w:ilvl w:val="0"/>
              <w:numId w:val="2"/>
            </w:numPr>
            <w:tabs>
              <w:tab w:pos="679" w:val="left" w:leader="none"/>
              <w:tab w:pos="680" w:val="left" w:leader="none"/>
            </w:tabs>
            <w:spacing w:line="240" w:lineRule="auto" w:before="127" w:after="0"/>
            <w:ind w:left="680" w:right="0" w:hanging="567"/>
            <w:jc w:val="left"/>
          </w:pPr>
          <w:r>
            <w:rPr>
              <w:color w:val="4F81BB"/>
            </w:rPr>
            <w:t>Part two: Accountability</w:t>
          </w:r>
          <w:r>
            <w:rPr>
              <w:color w:val="4F81BB"/>
              <w:spacing w:val="1"/>
            </w:rPr>
            <w:t> </w:t>
          </w:r>
          <w:r>
            <w:rPr>
              <w:color w:val="4F81BB"/>
            </w:rPr>
            <w:t>Report</w:t>
          </w:r>
        </w:p>
        <w:p>
          <w:pPr>
            <w:pStyle w:val="TOC2"/>
            <w:tabs>
              <w:tab w:pos="9922" w:val="right" w:leader="dot"/>
            </w:tabs>
            <w:spacing w:before="212"/>
            <w:ind w:left="680"/>
          </w:pPr>
          <w:hyperlink w:history="true" w:anchor="_bookmark16">
            <w:r>
              <w:rPr/>
              <w:t>Accountability report</w:t>
              <w:tab/>
              <w:t>47</w:t>
            </w:r>
          </w:hyperlink>
        </w:p>
        <w:p>
          <w:pPr>
            <w:pStyle w:val="TOC2"/>
            <w:tabs>
              <w:tab w:pos="9972" w:val="right" w:leader="dot"/>
            </w:tabs>
            <w:spacing w:before="129"/>
            <w:ind w:left="680"/>
          </w:pPr>
          <w:hyperlink w:history="true" w:anchor="_bookmark17">
            <w:r>
              <w:rPr/>
              <w:t>Corporate</w:t>
            </w:r>
            <w:r>
              <w:rPr>
                <w:spacing w:val="-5"/>
              </w:rPr>
              <w:t> </w:t>
            </w:r>
            <w:r>
              <w:rPr/>
              <w:t>governance</w:t>
            </w:r>
            <w:r>
              <w:rPr>
                <w:spacing w:val="-4"/>
              </w:rPr>
              <w:t> </w:t>
            </w:r>
            <w:r>
              <w:rPr/>
              <w:t>report</w:t>
              <w:tab/>
              <w:t>48</w:t>
            </w:r>
          </w:hyperlink>
        </w:p>
        <w:p>
          <w:pPr>
            <w:pStyle w:val="TOC2"/>
            <w:tabs>
              <w:tab w:pos="9965" w:val="right" w:leader="dot"/>
            </w:tabs>
            <w:ind w:left="680"/>
          </w:pPr>
          <w:hyperlink w:history="true" w:anchor="_bookmark18">
            <w:r>
              <w:rPr/>
              <w:t>Statement of Accountable</w:t>
            </w:r>
            <w:r>
              <w:rPr>
                <w:spacing w:val="-4"/>
              </w:rPr>
              <w:t> </w:t>
            </w:r>
            <w:r>
              <w:rPr/>
              <w:t>Officer’s</w:t>
            </w:r>
            <w:r>
              <w:rPr>
                <w:spacing w:val="-3"/>
              </w:rPr>
              <w:t> </w:t>
            </w:r>
            <w:r>
              <w:rPr/>
              <w:t>responsibilities</w:t>
              <w:tab/>
              <w:t>54</w:t>
            </w:r>
          </w:hyperlink>
        </w:p>
        <w:p>
          <w:pPr>
            <w:pStyle w:val="TOC2"/>
            <w:tabs>
              <w:tab w:pos="9996" w:val="right" w:leader="dot"/>
            </w:tabs>
          </w:pPr>
          <w:r>
            <w:rPr/>
            <w:t>Annual</w:t>
          </w:r>
          <w:r>
            <w:rPr>
              <w:spacing w:val="-1"/>
            </w:rPr>
            <w:t> </w:t>
          </w:r>
          <w:r>
            <w:rPr/>
            <w:t>Governance</w:t>
          </w:r>
          <w:r>
            <w:rPr>
              <w:spacing w:val="-2"/>
            </w:rPr>
            <w:t> </w:t>
          </w:r>
          <w:r>
            <w:rPr/>
            <w:t>Statement</w:t>
            <w:tab/>
            <w:t>56</w:t>
          </w:r>
        </w:p>
        <w:p>
          <w:pPr>
            <w:pStyle w:val="TOC2"/>
            <w:tabs>
              <w:tab w:pos="9984" w:val="right" w:leader="dot"/>
            </w:tabs>
            <w:spacing w:before="129"/>
            <w:ind w:left="680"/>
          </w:pPr>
          <w:r>
            <w:rPr/>
            <w:t>Parliamentary and</w:t>
          </w:r>
          <w:r>
            <w:rPr>
              <w:spacing w:val="-9"/>
            </w:rPr>
            <w:t> </w:t>
          </w:r>
          <w:r>
            <w:rPr/>
            <w:t>Accountabilities</w:t>
          </w:r>
          <w:r>
            <w:rPr>
              <w:spacing w:val="1"/>
            </w:rPr>
            <w:t> </w:t>
          </w:r>
          <w:r>
            <w:rPr/>
            <w:t>Report</w:t>
            <w:tab/>
            <w:t>104</w:t>
          </w:r>
        </w:p>
        <w:p>
          <w:pPr>
            <w:pStyle w:val="TOC1"/>
            <w:numPr>
              <w:ilvl w:val="0"/>
              <w:numId w:val="2"/>
            </w:numPr>
            <w:tabs>
              <w:tab w:pos="679" w:val="left" w:leader="none"/>
              <w:tab w:pos="680" w:val="left" w:leader="none"/>
            </w:tabs>
            <w:spacing w:line="240" w:lineRule="auto" w:before="505" w:after="0"/>
            <w:ind w:left="680" w:right="0" w:hanging="567"/>
            <w:jc w:val="left"/>
          </w:pPr>
          <w:r>
            <w:rPr>
              <w:color w:val="4F81BB"/>
            </w:rPr>
            <w:t>Part three: Annual</w:t>
          </w:r>
          <w:r>
            <w:rPr>
              <w:color w:val="4F81BB"/>
              <w:spacing w:val="-9"/>
            </w:rPr>
            <w:t> </w:t>
          </w:r>
          <w:r>
            <w:rPr>
              <w:color w:val="4F81BB"/>
            </w:rPr>
            <w:t>accounts</w:t>
          </w:r>
        </w:p>
        <w:p>
          <w:pPr>
            <w:pStyle w:val="TOC2"/>
            <w:tabs>
              <w:tab w:pos="10008" w:val="right" w:leader="dot"/>
            </w:tabs>
            <w:spacing w:before="215"/>
            <w:ind w:left="680"/>
          </w:pPr>
          <w:hyperlink w:history="true" w:anchor="_bookmark19">
            <w:r>
              <w:rPr/>
              <w:t>Annual</w:t>
            </w:r>
            <w:r>
              <w:rPr>
                <w:spacing w:val="-1"/>
              </w:rPr>
              <w:t> </w:t>
            </w:r>
            <w:r>
              <w:rPr/>
              <w:t>Accounts</w:t>
              <w:tab/>
              <w:t>105</w:t>
            </w:r>
          </w:hyperlink>
        </w:p>
      </w:sdtContent>
    </w:sdt>
    <w:p>
      <w:pPr>
        <w:spacing w:after="0"/>
        <w:sectPr>
          <w:pgSz w:w="11920" w:h="16850"/>
          <w:pgMar w:header="0" w:footer="363" w:top="1320" w:bottom="640" w:left="760" w:right="420"/>
        </w:sectPr>
      </w:pPr>
    </w:p>
    <w:p>
      <w:pPr>
        <w:pStyle w:val="Heading3"/>
        <w:spacing w:before="79"/>
      </w:pPr>
      <w:bookmarkStart w:name="Performance Overview 2021-22" w:id="5"/>
      <w:bookmarkEnd w:id="5"/>
      <w:r>
        <w:rPr>
          <w:b w:val="0"/>
        </w:rPr>
      </w:r>
      <w:bookmarkStart w:name="From Emma Latimer, Accountable Officer" w:id="6"/>
      <w:bookmarkEnd w:id="6"/>
      <w:r>
        <w:rPr>
          <w:b w:val="0"/>
        </w:rPr>
      </w:r>
      <w:r>
        <w:rPr>
          <w:color w:val="4F81BB"/>
        </w:rPr>
        <w:t>Performance Overview 2021-22</w:t>
      </w:r>
    </w:p>
    <w:p>
      <w:pPr>
        <w:pStyle w:val="Heading6"/>
        <w:spacing w:before="251"/>
      </w:pPr>
      <w:r>
        <w:rPr>
          <w:color w:val="4F81BB"/>
        </w:rPr>
        <w:t>From Emma Latimer, Accountable Officer</w:t>
      </w:r>
    </w:p>
    <w:p>
      <w:pPr>
        <w:pStyle w:val="BodyText"/>
        <w:spacing w:before="6"/>
        <w:rPr>
          <w:b/>
          <w:sz w:val="20"/>
        </w:rPr>
      </w:pPr>
    </w:p>
    <w:p>
      <w:pPr>
        <w:pStyle w:val="BodyText"/>
        <w:spacing w:line="276" w:lineRule="auto"/>
        <w:ind w:left="680" w:right="721"/>
      </w:pPr>
      <w:r>
        <w:rPr/>
        <w:t>The Accountable Officer’s Performance Overview highlights our key programmes of work, service transformation during 2021-22 and explains how we are working – with our partners and the residents of North Lincolnshire – to improve health outcomes.</w:t>
      </w:r>
    </w:p>
    <w:p>
      <w:pPr>
        <w:pStyle w:val="BodyText"/>
        <w:spacing w:before="203"/>
        <w:ind w:left="680"/>
      </w:pPr>
      <w:r>
        <w:rPr/>
        <w:t>This section includes key updates on:</w:t>
      </w:r>
    </w:p>
    <w:p>
      <w:pPr>
        <w:pStyle w:val="BodyText"/>
        <w:spacing w:before="6"/>
        <w:rPr>
          <w:sz w:val="20"/>
        </w:rPr>
      </w:pPr>
    </w:p>
    <w:p>
      <w:pPr>
        <w:pStyle w:val="ListParagraph"/>
        <w:numPr>
          <w:ilvl w:val="1"/>
          <w:numId w:val="2"/>
        </w:numPr>
        <w:tabs>
          <w:tab w:pos="1400" w:val="left" w:leader="none"/>
          <w:tab w:pos="1401" w:val="left" w:leader="none"/>
        </w:tabs>
        <w:spacing w:line="240" w:lineRule="auto" w:before="0" w:after="0"/>
        <w:ind w:left="1400" w:right="0" w:hanging="361"/>
        <w:jc w:val="left"/>
        <w:rPr>
          <w:sz w:val="22"/>
        </w:rPr>
      </w:pPr>
      <w:r>
        <w:rPr>
          <w:sz w:val="22"/>
        </w:rPr>
        <w:t>Joint strategic</w:t>
      </w:r>
      <w:r>
        <w:rPr>
          <w:spacing w:val="4"/>
          <w:sz w:val="22"/>
        </w:rPr>
        <w:t> </w:t>
      </w:r>
      <w:r>
        <w:rPr>
          <w:sz w:val="22"/>
        </w:rPr>
        <w:t>programmes</w:t>
      </w:r>
    </w:p>
    <w:p>
      <w:pPr>
        <w:pStyle w:val="ListParagraph"/>
        <w:numPr>
          <w:ilvl w:val="1"/>
          <w:numId w:val="2"/>
        </w:numPr>
        <w:tabs>
          <w:tab w:pos="1400" w:val="left" w:leader="none"/>
          <w:tab w:pos="1401" w:val="left" w:leader="none"/>
        </w:tabs>
        <w:spacing w:line="254" w:lineRule="auto" w:before="14" w:after="0"/>
        <w:ind w:left="1400" w:right="1114" w:hanging="361"/>
        <w:jc w:val="left"/>
        <w:rPr>
          <w:sz w:val="22"/>
        </w:rPr>
      </w:pPr>
      <w:r>
        <w:rPr>
          <w:sz w:val="22"/>
        </w:rPr>
        <w:t>Commissioning programme areas (unplanned care, planned care, cancer, maternity, children and young people and mental</w:t>
      </w:r>
      <w:r>
        <w:rPr>
          <w:spacing w:val="-8"/>
          <w:sz w:val="22"/>
        </w:rPr>
        <w:t> </w:t>
      </w:r>
      <w:r>
        <w:rPr>
          <w:sz w:val="22"/>
        </w:rPr>
        <w:t>health)</w:t>
      </w:r>
    </w:p>
    <w:p>
      <w:pPr>
        <w:pStyle w:val="ListParagraph"/>
        <w:numPr>
          <w:ilvl w:val="1"/>
          <w:numId w:val="2"/>
        </w:numPr>
        <w:tabs>
          <w:tab w:pos="1400" w:val="left" w:leader="none"/>
          <w:tab w:pos="1401" w:val="left" w:leader="none"/>
        </w:tabs>
        <w:spacing w:line="240" w:lineRule="auto" w:before="5" w:after="0"/>
        <w:ind w:left="1400" w:right="0" w:hanging="361"/>
        <w:jc w:val="left"/>
        <w:rPr>
          <w:sz w:val="22"/>
        </w:rPr>
      </w:pPr>
      <w:r>
        <w:rPr>
          <w:sz w:val="22"/>
        </w:rPr>
        <w:t>Integrated care in North</w:t>
      </w:r>
      <w:r>
        <w:rPr>
          <w:spacing w:val="-14"/>
          <w:sz w:val="22"/>
        </w:rPr>
        <w:t> </w:t>
      </w:r>
      <w:r>
        <w:rPr>
          <w:sz w:val="22"/>
        </w:rPr>
        <w:t>Lincolnshire</w:t>
      </w:r>
    </w:p>
    <w:p>
      <w:pPr>
        <w:pStyle w:val="ListParagraph"/>
        <w:numPr>
          <w:ilvl w:val="1"/>
          <w:numId w:val="2"/>
        </w:numPr>
        <w:tabs>
          <w:tab w:pos="1400" w:val="left" w:leader="none"/>
          <w:tab w:pos="1401" w:val="left" w:leader="none"/>
        </w:tabs>
        <w:spacing w:line="240" w:lineRule="auto" w:before="16" w:after="0"/>
        <w:ind w:left="1400" w:right="0" w:hanging="361"/>
        <w:jc w:val="left"/>
        <w:rPr>
          <w:sz w:val="22"/>
        </w:rPr>
      </w:pPr>
      <w:r>
        <w:rPr>
          <w:sz w:val="22"/>
        </w:rPr>
        <w:t>Primary</w:t>
      </w:r>
      <w:r>
        <w:rPr>
          <w:spacing w:val="-4"/>
          <w:sz w:val="22"/>
        </w:rPr>
        <w:t> </w:t>
      </w:r>
      <w:r>
        <w:rPr>
          <w:sz w:val="22"/>
        </w:rPr>
        <w:t>care</w:t>
      </w:r>
    </w:p>
    <w:p>
      <w:pPr>
        <w:pStyle w:val="ListParagraph"/>
        <w:numPr>
          <w:ilvl w:val="1"/>
          <w:numId w:val="2"/>
        </w:numPr>
        <w:tabs>
          <w:tab w:pos="1400" w:val="left" w:leader="none"/>
          <w:tab w:pos="1401" w:val="left" w:leader="none"/>
        </w:tabs>
        <w:spacing w:line="240" w:lineRule="auto" w:before="16" w:after="0"/>
        <w:ind w:left="1400" w:right="0" w:hanging="361"/>
        <w:jc w:val="left"/>
        <w:rPr>
          <w:sz w:val="22"/>
        </w:rPr>
      </w:pPr>
      <w:r>
        <w:rPr>
          <w:sz w:val="22"/>
        </w:rPr>
        <w:t>Engaging with people and communities</w:t>
      </w:r>
    </w:p>
    <w:p>
      <w:pPr>
        <w:pStyle w:val="ListParagraph"/>
        <w:numPr>
          <w:ilvl w:val="1"/>
          <w:numId w:val="2"/>
        </w:numPr>
        <w:tabs>
          <w:tab w:pos="1400" w:val="left" w:leader="none"/>
          <w:tab w:pos="1401" w:val="left" w:leader="none"/>
        </w:tabs>
        <w:spacing w:line="240" w:lineRule="auto" w:before="16" w:after="0"/>
        <w:ind w:left="1400" w:right="0" w:hanging="361"/>
        <w:jc w:val="left"/>
        <w:rPr>
          <w:sz w:val="22"/>
        </w:rPr>
      </w:pPr>
      <w:r>
        <w:rPr>
          <w:sz w:val="22"/>
        </w:rPr>
        <w:t>Delivering safe, high quality services</w:t>
      </w:r>
    </w:p>
    <w:p>
      <w:pPr>
        <w:pStyle w:val="ListParagraph"/>
        <w:numPr>
          <w:ilvl w:val="1"/>
          <w:numId w:val="2"/>
        </w:numPr>
        <w:tabs>
          <w:tab w:pos="1403" w:val="left" w:leader="none"/>
          <w:tab w:pos="1404" w:val="left" w:leader="none"/>
        </w:tabs>
        <w:spacing w:line="386" w:lineRule="auto" w:before="18" w:after="0"/>
        <w:ind w:left="683" w:right="1336" w:firstLine="357"/>
        <w:jc w:val="left"/>
        <w:rPr>
          <w:sz w:val="22"/>
        </w:rPr>
      </w:pPr>
      <w:r>
        <w:rPr>
          <w:sz w:val="22"/>
        </w:rPr>
        <w:t>Taking action on health inequalities and the local strategy for health and wellbeing A detailed financial and performance analysis, and thesustainability report, will follow</w:t>
      </w:r>
      <w:r>
        <w:rPr>
          <w:spacing w:val="-29"/>
          <w:sz w:val="22"/>
        </w:rPr>
        <w:t> </w:t>
      </w:r>
      <w:r>
        <w:rPr>
          <w:sz w:val="22"/>
        </w:rPr>
        <w:t>this.</w:t>
      </w:r>
    </w:p>
    <w:p>
      <w:pPr>
        <w:spacing w:after="0" w:line="386" w:lineRule="auto"/>
        <w:jc w:val="left"/>
        <w:rPr>
          <w:sz w:val="22"/>
        </w:rPr>
        <w:sectPr>
          <w:pgSz w:w="11920" w:h="16850"/>
          <w:pgMar w:header="0" w:footer="363" w:top="1320" w:bottom="640" w:left="760" w:right="420"/>
        </w:sectPr>
      </w:pPr>
    </w:p>
    <w:p>
      <w:pPr>
        <w:pStyle w:val="Heading3"/>
        <w:spacing w:before="79"/>
      </w:pPr>
      <w:bookmarkStart w:name="Humber, Coast and Vale Health and Care P" w:id="7"/>
      <w:bookmarkEnd w:id="7"/>
      <w:r>
        <w:rPr>
          <w:b w:val="0"/>
        </w:rPr>
      </w:r>
      <w:r>
        <w:rPr>
          <w:color w:val="4F81BB"/>
        </w:rPr>
        <w:t>Humber, Coast and Vale Health and Care Partnership 2021-22</w:t>
      </w:r>
    </w:p>
    <w:p>
      <w:pPr>
        <w:pStyle w:val="BodyText"/>
        <w:spacing w:before="2"/>
        <w:rPr>
          <w:b/>
          <w:sz w:val="31"/>
        </w:rPr>
      </w:pPr>
    </w:p>
    <w:p>
      <w:pPr>
        <w:pStyle w:val="BodyText"/>
        <w:spacing w:line="242" w:lineRule="auto"/>
        <w:ind w:left="680" w:right="795"/>
      </w:pPr>
      <w:r>
        <w:rPr/>
        <w:t>The Humber, Coast and Vale Health and Care Partnership was established in 2016 comprising of 28 organisations from the NHS, local councils, health and care providers and voluntary, community and social enterprise (VCSE) organisations. In April 2020, Integrated Care System (ICS) status was secured, a year ahead of the requirement set out in the NHS Long Term Plan.</w:t>
      </w:r>
    </w:p>
    <w:p>
      <w:pPr>
        <w:pStyle w:val="BodyText"/>
        <w:rPr>
          <w:sz w:val="24"/>
        </w:rPr>
      </w:pPr>
    </w:p>
    <w:p>
      <w:pPr>
        <w:pStyle w:val="BodyText"/>
        <w:spacing w:before="166"/>
        <w:ind w:left="680" w:right="917"/>
      </w:pPr>
      <w:r>
        <w:rPr/>
        <w:t>The Humber, Coast and Vale (HCV) Partnership serves a population of 1.7 million people and spans across a geographical area of more than 1,500 square miles which includes cities, market towns and many different rural and coastal communities. The area stretches along the east coast of England from Scarborough to Cleethorpes and along both banks of the Humber. Humber, Coast and Vale incorporates the cities of Hull and York and large rural areas across East Yorkshire, North Yorkshire and Northern Lincolnshire.</w:t>
      </w:r>
    </w:p>
    <w:p>
      <w:pPr>
        <w:pStyle w:val="BodyText"/>
        <w:rPr>
          <w:sz w:val="24"/>
        </w:rPr>
      </w:pPr>
    </w:p>
    <w:p>
      <w:pPr>
        <w:pStyle w:val="BodyText"/>
        <w:spacing w:before="179"/>
        <w:ind w:left="680" w:right="832"/>
      </w:pPr>
      <w:r>
        <w:rPr/>
        <w:t>A significant focus for the Partnership this year has been the Health and Care Bill currently going through Parliament to set out plans to put ICSs on a statutory footing, empowering them to better join up health and care services, improve population health and reduce health inequalities. The proposals within this Bill will mean that from 1 July 2022 NHS Integrated Care Boards (ICBs) will be established as organisations with responsibility for NHS functions and budgets.</w:t>
      </w:r>
    </w:p>
    <w:p>
      <w:pPr>
        <w:pStyle w:val="BodyText"/>
        <w:rPr>
          <w:sz w:val="24"/>
        </w:rPr>
      </w:pPr>
    </w:p>
    <w:p>
      <w:pPr>
        <w:pStyle w:val="BodyText"/>
        <w:spacing w:before="174"/>
        <w:ind w:left="680" w:right="1075"/>
      </w:pPr>
      <w:r>
        <w:rPr/>
        <w:t>As part of the arrangements being put in place to prepare to implement this legislation, each ICS has been required to appoint a Chair and Chief Executive for the anticipated ICB. In Humber, Coast and Vale, Sue Symington has been appointed Designate Chair and Stephen Eames CBE Designate Chief Executive.</w:t>
      </w:r>
    </w:p>
    <w:p>
      <w:pPr>
        <w:pStyle w:val="BodyText"/>
        <w:rPr>
          <w:sz w:val="24"/>
        </w:rPr>
      </w:pPr>
    </w:p>
    <w:p>
      <w:pPr>
        <w:pStyle w:val="BodyText"/>
        <w:spacing w:before="181"/>
        <w:ind w:left="680" w:right="869"/>
      </w:pPr>
      <w:r>
        <w:rPr/>
        <w:t>Once established, each ICB should have a name which reflects the geographical area that it covers, and in Humber, Coast and Vale, this will be the NHS Humber and North Yorkshire Integrated Care Board (ICB). To align with this, the Partnership will become known as Humber and North Yorkshire Health and Care Partnership.</w:t>
      </w:r>
    </w:p>
    <w:p>
      <w:pPr>
        <w:pStyle w:val="BodyText"/>
        <w:rPr>
          <w:sz w:val="24"/>
        </w:rPr>
      </w:pPr>
    </w:p>
    <w:p>
      <w:pPr>
        <w:pStyle w:val="BodyText"/>
        <w:spacing w:line="242" w:lineRule="auto" w:before="176"/>
        <w:ind w:left="680" w:right="978"/>
      </w:pPr>
      <w:r>
        <w:rPr/>
        <w:t>Whilst much work has been ongoing in anticipation of the passing of the Health and Care Bill, other programmes of work have continued and some of the key achievements undertaken in partnership across Humber, Coast and Vale over the year are:</w:t>
      </w:r>
    </w:p>
    <w:p>
      <w:pPr>
        <w:pStyle w:val="ListParagraph"/>
        <w:numPr>
          <w:ilvl w:val="0"/>
          <w:numId w:val="3"/>
        </w:numPr>
        <w:tabs>
          <w:tab w:pos="1399" w:val="left" w:leader="none"/>
          <w:tab w:pos="1401" w:val="left" w:leader="none"/>
        </w:tabs>
        <w:spacing w:line="240" w:lineRule="auto" w:before="189" w:after="0"/>
        <w:ind w:left="680" w:right="912" w:firstLine="0"/>
        <w:jc w:val="left"/>
        <w:rPr>
          <w:sz w:val="22"/>
        </w:rPr>
      </w:pPr>
      <w:r>
        <w:rPr>
          <w:sz w:val="22"/>
        </w:rPr>
        <w:t>The Covid-19 vaccination programme continued to be rolled out with first, second and booster doses being offered in line with national guidance. To date over 3.5million doses have been delivered across Humber, Coast and</w:t>
      </w:r>
      <w:r>
        <w:rPr>
          <w:spacing w:val="-3"/>
          <w:sz w:val="22"/>
        </w:rPr>
        <w:t> </w:t>
      </w:r>
      <w:r>
        <w:rPr>
          <w:sz w:val="22"/>
        </w:rPr>
        <w:t>Vale.</w:t>
      </w:r>
    </w:p>
    <w:p>
      <w:pPr>
        <w:pStyle w:val="ListParagraph"/>
        <w:numPr>
          <w:ilvl w:val="0"/>
          <w:numId w:val="3"/>
        </w:numPr>
        <w:tabs>
          <w:tab w:pos="1399" w:val="left" w:leader="none"/>
          <w:tab w:pos="1401" w:val="left" w:leader="none"/>
        </w:tabs>
        <w:spacing w:line="240" w:lineRule="auto" w:before="201" w:after="0"/>
        <w:ind w:left="680" w:right="1180" w:firstLine="0"/>
        <w:jc w:val="both"/>
        <w:rPr>
          <w:sz w:val="22"/>
        </w:rPr>
      </w:pPr>
      <w:r>
        <w:rPr>
          <w:sz w:val="22"/>
        </w:rPr>
        <w:t>Humber, Coast and Vale became one of the first areas in England to develop a pilot maternal mental health service, helping women in the region who have previously not been eligible for specialist mental health</w:t>
      </w:r>
      <w:r>
        <w:rPr>
          <w:spacing w:val="-4"/>
          <w:sz w:val="22"/>
        </w:rPr>
        <w:t> </w:t>
      </w:r>
      <w:r>
        <w:rPr>
          <w:sz w:val="22"/>
        </w:rPr>
        <w:t>support.</w:t>
      </w:r>
    </w:p>
    <w:p>
      <w:pPr>
        <w:pStyle w:val="ListParagraph"/>
        <w:numPr>
          <w:ilvl w:val="0"/>
          <w:numId w:val="3"/>
        </w:numPr>
        <w:tabs>
          <w:tab w:pos="1400" w:val="left" w:leader="none"/>
          <w:tab w:pos="1401" w:val="left" w:leader="none"/>
        </w:tabs>
        <w:spacing w:line="240" w:lineRule="auto" w:before="199" w:after="0"/>
        <w:ind w:left="680" w:right="1319" w:firstLine="0"/>
        <w:jc w:val="left"/>
        <w:rPr>
          <w:sz w:val="22"/>
        </w:rPr>
      </w:pPr>
      <w:r>
        <w:rPr>
          <w:sz w:val="22"/>
        </w:rPr>
        <w:t>Three of the regions hospital trusts received funding worth more than £66million to support work to reduce carbon emissions at their</w:t>
      </w:r>
      <w:r>
        <w:rPr>
          <w:spacing w:val="-16"/>
          <w:sz w:val="22"/>
        </w:rPr>
        <w:t> </w:t>
      </w:r>
      <w:r>
        <w:rPr>
          <w:sz w:val="22"/>
        </w:rPr>
        <w:t>hospitals.</w:t>
      </w:r>
    </w:p>
    <w:p>
      <w:pPr>
        <w:pStyle w:val="ListParagraph"/>
        <w:numPr>
          <w:ilvl w:val="0"/>
          <w:numId w:val="3"/>
        </w:numPr>
        <w:tabs>
          <w:tab w:pos="1400" w:val="left" w:leader="none"/>
          <w:tab w:pos="1401" w:val="left" w:leader="none"/>
        </w:tabs>
        <w:spacing w:line="240" w:lineRule="auto" w:before="199" w:after="0"/>
        <w:ind w:left="680" w:right="751" w:firstLine="0"/>
        <w:jc w:val="left"/>
        <w:rPr>
          <w:sz w:val="22"/>
        </w:rPr>
      </w:pPr>
      <w:r>
        <w:rPr>
          <w:sz w:val="22"/>
        </w:rPr>
        <w:t>Humber, Coast and Vale Cancer Alliance worked with partners to support the use of microscopic images alongside urgent skin cancer referrals. The Alliance provided 60 iPhones and dermatoscopes to GP practices across Hull and East Yorkshire to help rule out or diagnose skin cancer</w:t>
      </w:r>
      <w:r>
        <w:rPr>
          <w:spacing w:val="-4"/>
          <w:sz w:val="22"/>
        </w:rPr>
        <w:t> </w:t>
      </w:r>
      <w:r>
        <w:rPr>
          <w:sz w:val="22"/>
        </w:rPr>
        <w:t>earlier.</w:t>
      </w:r>
    </w:p>
    <w:p>
      <w:pPr>
        <w:spacing w:after="0" w:line="240" w:lineRule="auto"/>
        <w:jc w:val="left"/>
        <w:rPr>
          <w:sz w:val="22"/>
        </w:rPr>
        <w:sectPr>
          <w:pgSz w:w="11920" w:h="16850"/>
          <w:pgMar w:header="0" w:footer="363" w:top="1320" w:bottom="640" w:left="760" w:right="420"/>
        </w:sectPr>
      </w:pPr>
    </w:p>
    <w:p>
      <w:pPr>
        <w:pStyle w:val="ListParagraph"/>
        <w:numPr>
          <w:ilvl w:val="0"/>
          <w:numId w:val="3"/>
        </w:numPr>
        <w:tabs>
          <w:tab w:pos="1399" w:val="left" w:leader="none"/>
          <w:tab w:pos="1401" w:val="left" w:leader="none"/>
        </w:tabs>
        <w:spacing w:line="240" w:lineRule="auto" w:before="81" w:after="0"/>
        <w:ind w:left="680" w:right="781" w:firstLine="0"/>
        <w:jc w:val="left"/>
        <w:rPr>
          <w:sz w:val="22"/>
        </w:rPr>
      </w:pPr>
      <w:r>
        <w:rPr>
          <w:sz w:val="22"/>
        </w:rPr>
        <w:t>The Partnership secured £8.6million of Government funding to support the development of new models of community diagnostic provision, with investment in new mobile MRI and CT scanning</w:t>
      </w:r>
      <w:r>
        <w:rPr>
          <w:spacing w:val="-1"/>
          <w:sz w:val="22"/>
        </w:rPr>
        <w:t> </w:t>
      </w:r>
      <w:r>
        <w:rPr>
          <w:sz w:val="22"/>
        </w:rPr>
        <w:t>facilities.</w:t>
      </w:r>
    </w:p>
    <w:p>
      <w:pPr>
        <w:pStyle w:val="ListParagraph"/>
        <w:numPr>
          <w:ilvl w:val="0"/>
          <w:numId w:val="3"/>
        </w:numPr>
        <w:tabs>
          <w:tab w:pos="1399" w:val="left" w:leader="none"/>
          <w:tab w:pos="1401" w:val="left" w:leader="none"/>
        </w:tabs>
        <w:spacing w:line="244" w:lineRule="auto" w:before="196" w:after="0"/>
        <w:ind w:left="680" w:right="1025" w:firstLine="0"/>
        <w:jc w:val="left"/>
        <w:rPr>
          <w:sz w:val="22"/>
        </w:rPr>
      </w:pPr>
      <w:r>
        <w:rPr>
          <w:sz w:val="22"/>
        </w:rPr>
        <w:t>The Humber Neurology Service launched in October 2021, to provide a Humber-wide service that will help reduce delays and waiting times for</w:t>
      </w:r>
      <w:r>
        <w:rPr>
          <w:spacing w:val="-27"/>
          <w:sz w:val="22"/>
        </w:rPr>
        <w:t> </w:t>
      </w:r>
      <w:r>
        <w:rPr>
          <w:sz w:val="22"/>
        </w:rPr>
        <w:t>patients.</w:t>
      </w:r>
    </w:p>
    <w:p>
      <w:pPr>
        <w:pStyle w:val="ListParagraph"/>
        <w:numPr>
          <w:ilvl w:val="0"/>
          <w:numId w:val="3"/>
        </w:numPr>
        <w:tabs>
          <w:tab w:pos="1399" w:val="left" w:leader="none"/>
          <w:tab w:pos="1401" w:val="left" w:leader="none"/>
        </w:tabs>
        <w:spacing w:line="240" w:lineRule="auto" w:before="189" w:after="0"/>
        <w:ind w:left="680" w:right="776" w:firstLine="0"/>
        <w:jc w:val="left"/>
        <w:rPr>
          <w:sz w:val="22"/>
        </w:rPr>
      </w:pPr>
      <w:r>
        <w:rPr>
          <w:sz w:val="22"/>
        </w:rPr>
        <w:t>A wide-reaching communications plan to help general practices talk to patients about the routes to accessing their care, and to build patient understanding of triage, has been piloted across 69 GP practices in Humber, Coast and Vale. Materials include photography, infographics and messaging those practices will use to explain how patients can request care by phone, using an online form or by visiting</w:t>
      </w:r>
      <w:r>
        <w:rPr>
          <w:spacing w:val="-16"/>
          <w:sz w:val="22"/>
        </w:rPr>
        <w:t> </w:t>
      </w:r>
      <w:r>
        <w:rPr>
          <w:sz w:val="22"/>
        </w:rPr>
        <w:t>them.</w:t>
      </w:r>
    </w:p>
    <w:p>
      <w:pPr>
        <w:pStyle w:val="BodyText"/>
        <w:rPr>
          <w:sz w:val="24"/>
        </w:rPr>
      </w:pPr>
    </w:p>
    <w:p>
      <w:pPr>
        <w:pStyle w:val="BodyText"/>
        <w:spacing w:line="244" w:lineRule="auto" w:before="175"/>
        <w:ind w:left="680" w:right="770"/>
      </w:pPr>
      <w:r>
        <w:rPr/>
        <w:t>Further information about the Humber and North Yorkshire Health and Care Partnership can be found at </w:t>
      </w:r>
      <w:hyperlink r:id="rId11">
        <w:r>
          <w:rPr/>
          <w:t>www.humberandnorthyorkshire.org.uk</w:t>
        </w:r>
      </w:hyperlink>
    </w:p>
    <w:p>
      <w:pPr>
        <w:spacing w:after="0" w:line="244" w:lineRule="auto"/>
        <w:sectPr>
          <w:pgSz w:w="11920" w:h="16850"/>
          <w:pgMar w:header="0" w:footer="363" w:top="1320" w:bottom="640" w:left="760" w:right="420"/>
        </w:sectPr>
      </w:pPr>
    </w:p>
    <w:p>
      <w:pPr>
        <w:pStyle w:val="Heading2"/>
      </w:pPr>
      <w:bookmarkStart w:name="Performance Report 2021-22" w:id="8"/>
      <w:bookmarkEnd w:id="8"/>
      <w:r>
        <w:rPr>
          <w:b w:val="0"/>
        </w:rPr>
      </w:r>
      <w:r>
        <w:rPr>
          <w:color w:val="4F81BB"/>
        </w:rPr>
        <w:t>Performance Report 2021-22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3"/>
        </w:rPr>
      </w:pPr>
      <w:r>
        <w:rPr/>
        <w:drawing>
          <wp:anchor distT="0" distB="0" distL="0" distR="0" allowOverlap="1" layoutInCell="1" locked="0" behindDoc="0" simplePos="0" relativeHeight="2">
            <wp:simplePos x="0" y="0"/>
            <wp:positionH relativeFrom="page">
              <wp:posOffset>933283</wp:posOffset>
            </wp:positionH>
            <wp:positionV relativeFrom="paragraph">
              <wp:posOffset>122810</wp:posOffset>
            </wp:positionV>
            <wp:extent cx="1518609" cy="381000"/>
            <wp:effectExtent l="0" t="0" r="0" b="0"/>
            <wp:wrapTopAndBottom/>
            <wp:docPr id="7" name="image4.png" descr="cid:image001.jpg@01D23C15.E085F1A0"/>
            <wp:cNvGraphicFramePr>
              <a:graphicFrameLocks noChangeAspect="1"/>
            </wp:cNvGraphicFramePr>
            <a:graphic>
              <a:graphicData uri="http://schemas.openxmlformats.org/drawingml/2006/picture">
                <pic:pic>
                  <pic:nvPicPr>
                    <pic:cNvPr id="8" name="image4.png"/>
                    <pic:cNvPicPr/>
                  </pic:nvPicPr>
                  <pic:blipFill>
                    <a:blip r:embed="rId12" cstate="print"/>
                    <a:stretch>
                      <a:fillRect/>
                    </a:stretch>
                  </pic:blipFill>
                  <pic:spPr>
                    <a:xfrm>
                      <a:off x="0" y="0"/>
                      <a:ext cx="1518609" cy="381000"/>
                    </a:xfrm>
                    <a:prstGeom prst="rect">
                      <a:avLst/>
                    </a:prstGeom>
                  </pic:spPr>
                </pic:pic>
              </a:graphicData>
            </a:graphic>
          </wp:anchor>
        </w:drawing>
      </w:r>
    </w:p>
    <w:p>
      <w:pPr>
        <w:spacing w:line="535" w:lineRule="auto" w:before="241"/>
        <w:ind w:left="680" w:right="7945" w:firstLine="0"/>
        <w:jc w:val="left"/>
        <w:rPr>
          <w:sz w:val="24"/>
        </w:rPr>
      </w:pPr>
      <w:r>
        <w:rPr>
          <w:b/>
          <w:sz w:val="24"/>
        </w:rPr>
        <w:t>Emma Latimer </w:t>
      </w:r>
      <w:r>
        <w:rPr>
          <w:sz w:val="24"/>
        </w:rPr>
        <w:t>Accountable Officer 20 June 2022</w:t>
      </w:r>
    </w:p>
    <w:p>
      <w:pPr>
        <w:spacing w:after="0" w:line="535" w:lineRule="auto"/>
        <w:jc w:val="left"/>
        <w:rPr>
          <w:sz w:val="24"/>
        </w:rPr>
        <w:sectPr>
          <w:pgSz w:w="11920" w:h="16850"/>
          <w:pgMar w:header="0" w:footer="363" w:top="1320" w:bottom="640" w:left="760" w:right="420"/>
        </w:sectPr>
      </w:pPr>
    </w:p>
    <w:p>
      <w:pPr>
        <w:pStyle w:val="Heading3"/>
        <w:spacing w:before="79"/>
      </w:pPr>
      <w:bookmarkStart w:name="Engaging communities" w:id="9"/>
      <w:bookmarkEnd w:id="9"/>
      <w:r>
        <w:rPr>
          <w:b w:val="0"/>
        </w:rPr>
      </w:r>
      <w:bookmarkStart w:name="_bookmark0" w:id="10"/>
      <w:bookmarkEnd w:id="10"/>
      <w:r>
        <w:rPr>
          <w:b w:val="0"/>
        </w:rPr>
      </w:r>
      <w:r>
        <w:rPr>
          <w:color w:val="4F81BB"/>
        </w:rPr>
        <w:t>Engaging communities</w:t>
      </w:r>
    </w:p>
    <w:p>
      <w:pPr>
        <w:pStyle w:val="BodyText"/>
        <w:spacing w:before="248"/>
        <w:ind w:left="680" w:right="855"/>
      </w:pPr>
      <w:r>
        <w:rPr/>
        <w:t>We adhere to the statutory guidance set out by NHS England for “patient and public participation in commissioning health and care” and this is embedded into the methodology we use to deliver engagement.</w:t>
      </w:r>
    </w:p>
    <w:p>
      <w:pPr>
        <w:pStyle w:val="BodyText"/>
        <w:spacing w:before="204"/>
        <w:ind w:left="680"/>
      </w:pPr>
      <w:r>
        <w:rPr/>
        <w:t>This requires us to:</w:t>
      </w:r>
    </w:p>
    <w:p>
      <w:pPr>
        <w:pStyle w:val="ListParagraph"/>
        <w:numPr>
          <w:ilvl w:val="0"/>
          <w:numId w:val="4"/>
        </w:numPr>
        <w:tabs>
          <w:tab w:pos="1399" w:val="left" w:leader="none"/>
          <w:tab w:pos="1400" w:val="left" w:leader="none"/>
        </w:tabs>
        <w:spacing w:line="252" w:lineRule="exact" w:before="191" w:after="0"/>
        <w:ind w:left="1399" w:right="0" w:hanging="363"/>
        <w:jc w:val="left"/>
        <w:rPr>
          <w:sz w:val="22"/>
        </w:rPr>
      </w:pPr>
      <w:r>
        <w:rPr>
          <w:sz w:val="22"/>
        </w:rPr>
        <w:t>Involve the public in</w:t>
      </w:r>
      <w:r>
        <w:rPr>
          <w:spacing w:val="-3"/>
          <w:sz w:val="22"/>
        </w:rPr>
        <w:t> </w:t>
      </w:r>
      <w:r>
        <w:rPr>
          <w:sz w:val="22"/>
        </w:rPr>
        <w:t>governance</w:t>
      </w:r>
    </w:p>
    <w:p>
      <w:pPr>
        <w:pStyle w:val="ListParagraph"/>
        <w:numPr>
          <w:ilvl w:val="0"/>
          <w:numId w:val="4"/>
        </w:numPr>
        <w:tabs>
          <w:tab w:pos="1399" w:val="left" w:leader="none"/>
          <w:tab w:pos="1400" w:val="left" w:leader="none"/>
        </w:tabs>
        <w:spacing w:line="252" w:lineRule="exact" w:before="0" w:after="0"/>
        <w:ind w:left="1399" w:right="0" w:hanging="363"/>
        <w:jc w:val="left"/>
        <w:rPr>
          <w:sz w:val="22"/>
        </w:rPr>
      </w:pPr>
      <w:r>
        <w:rPr>
          <w:sz w:val="22"/>
        </w:rPr>
        <w:t>Explain public involvement in commissioning plans/business</w:t>
      </w:r>
      <w:r>
        <w:rPr>
          <w:spacing w:val="-1"/>
          <w:sz w:val="22"/>
        </w:rPr>
        <w:t> </w:t>
      </w:r>
      <w:r>
        <w:rPr>
          <w:sz w:val="22"/>
        </w:rPr>
        <w:t>plans</w:t>
      </w:r>
    </w:p>
    <w:p>
      <w:pPr>
        <w:pStyle w:val="ListParagraph"/>
        <w:numPr>
          <w:ilvl w:val="0"/>
          <w:numId w:val="4"/>
        </w:numPr>
        <w:tabs>
          <w:tab w:pos="1399" w:val="left" w:leader="none"/>
          <w:tab w:pos="1400" w:val="left" w:leader="none"/>
        </w:tabs>
        <w:spacing w:line="252" w:lineRule="exact" w:before="0" w:after="0"/>
        <w:ind w:left="1399" w:right="0" w:hanging="363"/>
        <w:jc w:val="left"/>
        <w:rPr>
          <w:sz w:val="22"/>
        </w:rPr>
      </w:pPr>
      <w:r>
        <w:rPr>
          <w:sz w:val="22"/>
        </w:rPr>
        <w:t>Demonstrate public involvement in annual</w:t>
      </w:r>
      <w:r>
        <w:rPr>
          <w:spacing w:val="-13"/>
          <w:sz w:val="22"/>
        </w:rPr>
        <w:t> </w:t>
      </w:r>
      <w:r>
        <w:rPr>
          <w:sz w:val="22"/>
        </w:rPr>
        <w:t>reports</w:t>
      </w:r>
    </w:p>
    <w:p>
      <w:pPr>
        <w:pStyle w:val="ListParagraph"/>
        <w:numPr>
          <w:ilvl w:val="0"/>
          <w:numId w:val="4"/>
        </w:numPr>
        <w:tabs>
          <w:tab w:pos="1399" w:val="left" w:leader="none"/>
          <w:tab w:pos="1400" w:val="left" w:leader="none"/>
        </w:tabs>
        <w:spacing w:line="252" w:lineRule="exact" w:before="1" w:after="0"/>
        <w:ind w:left="1399" w:right="0" w:hanging="363"/>
        <w:jc w:val="left"/>
        <w:rPr>
          <w:sz w:val="22"/>
        </w:rPr>
      </w:pPr>
      <w:r>
        <w:rPr>
          <w:sz w:val="22"/>
        </w:rPr>
        <w:t>Promote and publicise public</w:t>
      </w:r>
      <w:r>
        <w:rPr>
          <w:spacing w:val="-4"/>
          <w:sz w:val="22"/>
        </w:rPr>
        <w:t> </w:t>
      </w:r>
      <w:r>
        <w:rPr>
          <w:sz w:val="22"/>
        </w:rPr>
        <w:t>involvement</w:t>
      </w:r>
    </w:p>
    <w:p>
      <w:pPr>
        <w:pStyle w:val="ListParagraph"/>
        <w:numPr>
          <w:ilvl w:val="0"/>
          <w:numId w:val="4"/>
        </w:numPr>
        <w:tabs>
          <w:tab w:pos="1399" w:val="left" w:leader="none"/>
          <w:tab w:pos="1400" w:val="left" w:leader="none"/>
        </w:tabs>
        <w:spacing w:line="252" w:lineRule="exact" w:before="0" w:after="0"/>
        <w:ind w:left="1399" w:right="0" w:hanging="363"/>
        <w:jc w:val="left"/>
        <w:rPr>
          <w:sz w:val="22"/>
        </w:rPr>
      </w:pPr>
      <w:r>
        <w:rPr>
          <w:sz w:val="22"/>
        </w:rPr>
        <w:t>Assess, plan and take action to</w:t>
      </w:r>
      <w:r>
        <w:rPr>
          <w:spacing w:val="-13"/>
          <w:sz w:val="22"/>
        </w:rPr>
        <w:t> </w:t>
      </w:r>
      <w:r>
        <w:rPr>
          <w:sz w:val="22"/>
        </w:rPr>
        <w:t>involve</w:t>
      </w:r>
    </w:p>
    <w:p>
      <w:pPr>
        <w:pStyle w:val="ListParagraph"/>
        <w:numPr>
          <w:ilvl w:val="0"/>
          <w:numId w:val="4"/>
        </w:numPr>
        <w:tabs>
          <w:tab w:pos="1399" w:val="left" w:leader="none"/>
          <w:tab w:pos="1400" w:val="left" w:leader="none"/>
        </w:tabs>
        <w:spacing w:line="252" w:lineRule="exact" w:before="0" w:after="0"/>
        <w:ind w:left="1399" w:right="0" w:hanging="363"/>
        <w:jc w:val="left"/>
        <w:rPr>
          <w:sz w:val="22"/>
        </w:rPr>
      </w:pPr>
      <w:r>
        <w:rPr>
          <w:sz w:val="22"/>
        </w:rPr>
        <w:t>Feedback and</w:t>
      </w:r>
      <w:r>
        <w:rPr>
          <w:spacing w:val="-2"/>
          <w:sz w:val="22"/>
        </w:rPr>
        <w:t> </w:t>
      </w:r>
      <w:r>
        <w:rPr>
          <w:sz w:val="22"/>
        </w:rPr>
        <w:t>evaluate</w:t>
      </w:r>
    </w:p>
    <w:p>
      <w:pPr>
        <w:pStyle w:val="ListParagraph"/>
        <w:numPr>
          <w:ilvl w:val="0"/>
          <w:numId w:val="4"/>
        </w:numPr>
        <w:tabs>
          <w:tab w:pos="1399" w:val="left" w:leader="none"/>
          <w:tab w:pos="1400" w:val="left" w:leader="none"/>
        </w:tabs>
        <w:spacing w:line="252" w:lineRule="exact" w:before="0" w:after="0"/>
        <w:ind w:left="1399" w:right="0" w:hanging="363"/>
        <w:jc w:val="left"/>
        <w:rPr>
          <w:sz w:val="22"/>
        </w:rPr>
      </w:pPr>
      <w:r>
        <w:rPr>
          <w:sz w:val="22"/>
        </w:rPr>
        <w:t>Implement assurance and improvement</w:t>
      </w:r>
      <w:r>
        <w:rPr>
          <w:spacing w:val="2"/>
          <w:sz w:val="22"/>
        </w:rPr>
        <w:t> </w:t>
      </w:r>
      <w:r>
        <w:rPr>
          <w:sz w:val="22"/>
        </w:rPr>
        <w:t>systems</w:t>
      </w:r>
    </w:p>
    <w:p>
      <w:pPr>
        <w:pStyle w:val="ListParagraph"/>
        <w:numPr>
          <w:ilvl w:val="0"/>
          <w:numId w:val="4"/>
        </w:numPr>
        <w:tabs>
          <w:tab w:pos="1399" w:val="left" w:leader="none"/>
          <w:tab w:pos="1400" w:val="left" w:leader="none"/>
        </w:tabs>
        <w:spacing w:line="252" w:lineRule="exact" w:before="0" w:after="0"/>
        <w:ind w:left="1399" w:right="0" w:hanging="363"/>
        <w:jc w:val="left"/>
        <w:rPr>
          <w:sz w:val="22"/>
        </w:rPr>
      </w:pPr>
      <w:r>
        <w:rPr>
          <w:sz w:val="22"/>
        </w:rPr>
        <w:t>Advance equality and reduce health</w:t>
      </w:r>
      <w:r>
        <w:rPr>
          <w:spacing w:val="-6"/>
          <w:sz w:val="22"/>
        </w:rPr>
        <w:t> </w:t>
      </w:r>
      <w:r>
        <w:rPr>
          <w:sz w:val="22"/>
        </w:rPr>
        <w:t>inequalities</w:t>
      </w:r>
    </w:p>
    <w:p>
      <w:pPr>
        <w:pStyle w:val="ListParagraph"/>
        <w:numPr>
          <w:ilvl w:val="0"/>
          <w:numId w:val="4"/>
        </w:numPr>
        <w:tabs>
          <w:tab w:pos="1399" w:val="left" w:leader="none"/>
          <w:tab w:pos="1400" w:val="left" w:leader="none"/>
        </w:tabs>
        <w:spacing w:line="240" w:lineRule="auto" w:before="1" w:after="0"/>
        <w:ind w:left="1399" w:right="0" w:hanging="363"/>
        <w:jc w:val="left"/>
        <w:rPr>
          <w:sz w:val="22"/>
        </w:rPr>
      </w:pPr>
      <w:r>
        <w:rPr>
          <w:sz w:val="22"/>
        </w:rPr>
        <w:t>Provide support for effective</w:t>
      </w:r>
      <w:r>
        <w:rPr>
          <w:spacing w:val="-4"/>
          <w:sz w:val="22"/>
        </w:rPr>
        <w:t> </w:t>
      </w:r>
      <w:r>
        <w:rPr>
          <w:sz w:val="22"/>
        </w:rPr>
        <w:t>involvement</w:t>
      </w:r>
    </w:p>
    <w:p>
      <w:pPr>
        <w:pStyle w:val="ListParagraph"/>
        <w:numPr>
          <w:ilvl w:val="0"/>
          <w:numId w:val="4"/>
        </w:numPr>
        <w:tabs>
          <w:tab w:pos="1399" w:val="left" w:leader="none"/>
          <w:tab w:pos="1400" w:val="left" w:leader="none"/>
        </w:tabs>
        <w:spacing w:line="240" w:lineRule="auto" w:before="7" w:after="0"/>
        <w:ind w:left="1399" w:right="0" w:hanging="363"/>
        <w:jc w:val="left"/>
        <w:rPr>
          <w:sz w:val="22"/>
        </w:rPr>
      </w:pPr>
      <w:r>
        <w:rPr>
          <w:sz w:val="22"/>
        </w:rPr>
        <w:t>Hold providers to</w:t>
      </w:r>
      <w:r>
        <w:rPr>
          <w:spacing w:val="-9"/>
          <w:sz w:val="22"/>
        </w:rPr>
        <w:t> </w:t>
      </w:r>
      <w:r>
        <w:rPr>
          <w:sz w:val="22"/>
        </w:rPr>
        <w:t>account</w:t>
      </w:r>
    </w:p>
    <w:p>
      <w:pPr>
        <w:pStyle w:val="BodyText"/>
        <w:spacing w:line="244" w:lineRule="auto" w:before="198"/>
        <w:ind w:left="679" w:right="917"/>
      </w:pPr>
      <w:r>
        <w:rPr/>
        <w:t>In addition to being a statutory duty we believe that meaningful patient and public participation can help us to develop and deliver services that are safe, effective and efficient.</w:t>
      </w:r>
    </w:p>
    <w:p>
      <w:pPr>
        <w:pStyle w:val="BodyText"/>
        <w:spacing w:line="427" w:lineRule="auto" w:before="189"/>
        <w:ind w:left="679" w:right="1284"/>
      </w:pPr>
      <w:r>
        <w:rPr/>
        <w:t>Our Engagement and Public Involvement Strategy sets out our principles for engagement. North Lincolnshire CCG:</w:t>
      </w:r>
    </w:p>
    <w:p>
      <w:pPr>
        <w:pStyle w:val="ListParagraph"/>
        <w:numPr>
          <w:ilvl w:val="0"/>
          <w:numId w:val="5"/>
        </w:numPr>
        <w:tabs>
          <w:tab w:pos="843" w:val="left" w:leader="none"/>
        </w:tabs>
        <w:spacing w:line="240" w:lineRule="auto" w:before="4" w:after="0"/>
        <w:ind w:left="842" w:right="0" w:hanging="164"/>
        <w:jc w:val="left"/>
        <w:rPr>
          <w:sz w:val="22"/>
        </w:rPr>
      </w:pPr>
      <w:r>
        <w:rPr>
          <w:sz w:val="22"/>
        </w:rPr>
        <w:t>Will meet its statutory duties to involve, engage and consult the</w:t>
      </w:r>
      <w:r>
        <w:rPr>
          <w:spacing w:val="-22"/>
          <w:sz w:val="22"/>
        </w:rPr>
        <w:t> </w:t>
      </w:r>
      <w:r>
        <w:rPr>
          <w:sz w:val="22"/>
        </w:rPr>
        <w:t>public</w:t>
      </w:r>
    </w:p>
    <w:p>
      <w:pPr>
        <w:pStyle w:val="ListParagraph"/>
        <w:numPr>
          <w:ilvl w:val="0"/>
          <w:numId w:val="5"/>
        </w:numPr>
        <w:tabs>
          <w:tab w:pos="843" w:val="left" w:leader="none"/>
        </w:tabs>
        <w:spacing w:line="240" w:lineRule="auto" w:before="199" w:after="0"/>
        <w:ind w:left="842" w:right="0" w:hanging="164"/>
        <w:jc w:val="left"/>
        <w:rPr>
          <w:sz w:val="22"/>
        </w:rPr>
      </w:pPr>
      <w:r>
        <w:rPr>
          <w:sz w:val="22"/>
        </w:rPr>
        <w:t>Will communicate via clear and concise means and</w:t>
      </w:r>
      <w:r>
        <w:rPr>
          <w:spacing w:val="-20"/>
          <w:sz w:val="22"/>
        </w:rPr>
        <w:t> </w:t>
      </w:r>
      <w:r>
        <w:rPr>
          <w:sz w:val="22"/>
        </w:rPr>
        <w:t>transparently</w:t>
      </w:r>
    </w:p>
    <w:p>
      <w:pPr>
        <w:pStyle w:val="ListParagraph"/>
        <w:numPr>
          <w:ilvl w:val="0"/>
          <w:numId w:val="5"/>
        </w:numPr>
        <w:tabs>
          <w:tab w:pos="844" w:val="left" w:leader="none"/>
        </w:tabs>
        <w:spacing w:line="240" w:lineRule="auto" w:before="198" w:after="0"/>
        <w:ind w:left="843" w:right="0" w:hanging="165"/>
        <w:jc w:val="left"/>
        <w:rPr>
          <w:sz w:val="22"/>
        </w:rPr>
      </w:pPr>
      <w:r>
        <w:rPr>
          <w:sz w:val="22"/>
        </w:rPr>
        <w:t>Expects to be accountable for the way in which it involves, engages and</w:t>
      </w:r>
      <w:r>
        <w:rPr>
          <w:spacing w:val="-31"/>
          <w:sz w:val="22"/>
        </w:rPr>
        <w:t> </w:t>
      </w:r>
      <w:r>
        <w:rPr>
          <w:sz w:val="22"/>
        </w:rPr>
        <w:t>consults</w:t>
      </w:r>
    </w:p>
    <w:p>
      <w:pPr>
        <w:pStyle w:val="ListParagraph"/>
        <w:numPr>
          <w:ilvl w:val="0"/>
          <w:numId w:val="5"/>
        </w:numPr>
        <w:tabs>
          <w:tab w:pos="844" w:val="left" w:leader="none"/>
        </w:tabs>
        <w:spacing w:line="240" w:lineRule="auto" w:before="199" w:after="0"/>
        <w:ind w:left="843" w:right="0" w:hanging="167"/>
        <w:jc w:val="left"/>
        <w:rPr>
          <w:sz w:val="22"/>
        </w:rPr>
      </w:pPr>
      <w:r>
        <w:rPr>
          <w:sz w:val="22"/>
        </w:rPr>
        <w:t>Believes responding to feedback from the public is as important as receiving</w:t>
      </w:r>
      <w:r>
        <w:rPr>
          <w:spacing w:val="-30"/>
          <w:sz w:val="22"/>
        </w:rPr>
        <w:t> </w:t>
      </w:r>
      <w:r>
        <w:rPr>
          <w:sz w:val="22"/>
        </w:rPr>
        <w:t>it</w:t>
      </w:r>
    </w:p>
    <w:p>
      <w:pPr>
        <w:pStyle w:val="ListParagraph"/>
        <w:numPr>
          <w:ilvl w:val="0"/>
          <w:numId w:val="5"/>
        </w:numPr>
        <w:tabs>
          <w:tab w:pos="846" w:val="left" w:leader="none"/>
        </w:tabs>
        <w:spacing w:line="242" w:lineRule="auto" w:before="194" w:after="0"/>
        <w:ind w:left="679" w:right="1116" w:firstLine="0"/>
        <w:jc w:val="left"/>
        <w:rPr>
          <w:sz w:val="22"/>
        </w:rPr>
      </w:pPr>
      <w:r>
        <w:rPr>
          <w:sz w:val="22"/>
        </w:rPr>
        <w:t>Believes in consistency and coherence in engagement and communication but will vary its approach to reflect local circumstances and</w:t>
      </w:r>
      <w:r>
        <w:rPr>
          <w:spacing w:val="-18"/>
          <w:sz w:val="22"/>
        </w:rPr>
        <w:t> </w:t>
      </w:r>
      <w:r>
        <w:rPr>
          <w:sz w:val="22"/>
        </w:rPr>
        <w:t>sensitivities</w:t>
      </w:r>
    </w:p>
    <w:p>
      <w:pPr>
        <w:pStyle w:val="ListParagraph"/>
        <w:numPr>
          <w:ilvl w:val="0"/>
          <w:numId w:val="5"/>
        </w:numPr>
        <w:tabs>
          <w:tab w:pos="844" w:val="left" w:leader="none"/>
        </w:tabs>
        <w:spacing w:line="240" w:lineRule="auto" w:before="194" w:after="0"/>
        <w:ind w:left="843" w:right="0" w:hanging="165"/>
        <w:jc w:val="left"/>
        <w:rPr>
          <w:sz w:val="22"/>
        </w:rPr>
      </w:pPr>
      <w:r>
        <w:rPr>
          <w:sz w:val="22"/>
        </w:rPr>
        <w:t>Will learn lessons from </w:t>
      </w:r>
      <w:r>
        <w:rPr>
          <w:spacing w:val="-2"/>
          <w:sz w:val="22"/>
        </w:rPr>
        <w:t>its </w:t>
      </w:r>
      <w:r>
        <w:rPr>
          <w:sz w:val="22"/>
        </w:rPr>
        <w:t>engagement and communication activity and respond</w:t>
      </w:r>
      <w:r>
        <w:rPr>
          <w:spacing w:val="-39"/>
          <w:sz w:val="22"/>
        </w:rPr>
        <w:t> </w:t>
      </w:r>
      <w:r>
        <w:rPr>
          <w:sz w:val="22"/>
        </w:rPr>
        <w:t>accordingly</w:t>
      </w:r>
    </w:p>
    <w:p>
      <w:pPr>
        <w:pStyle w:val="ListParagraph"/>
        <w:numPr>
          <w:ilvl w:val="0"/>
          <w:numId w:val="5"/>
        </w:numPr>
        <w:tabs>
          <w:tab w:pos="846" w:val="left" w:leader="none"/>
        </w:tabs>
        <w:spacing w:line="240" w:lineRule="auto" w:before="197" w:after="0"/>
        <w:ind w:left="679" w:right="723" w:firstLine="0"/>
        <w:jc w:val="left"/>
        <w:rPr>
          <w:sz w:val="22"/>
        </w:rPr>
      </w:pPr>
      <w:r>
        <w:rPr>
          <w:sz w:val="22"/>
        </w:rPr>
        <w:t>Believes engagement and communication must be authentic by operating within the context of financial and operational</w:t>
      </w:r>
      <w:r>
        <w:rPr>
          <w:spacing w:val="-5"/>
          <w:sz w:val="22"/>
        </w:rPr>
        <w:t> </w:t>
      </w:r>
      <w:r>
        <w:rPr>
          <w:sz w:val="22"/>
        </w:rPr>
        <w:t>realities</w:t>
      </w:r>
    </w:p>
    <w:p>
      <w:pPr>
        <w:pStyle w:val="ListParagraph"/>
        <w:numPr>
          <w:ilvl w:val="0"/>
          <w:numId w:val="5"/>
        </w:numPr>
        <w:tabs>
          <w:tab w:pos="846" w:val="left" w:leader="none"/>
        </w:tabs>
        <w:spacing w:line="240" w:lineRule="auto" w:before="199" w:after="0"/>
        <w:ind w:left="845" w:right="0" w:hanging="167"/>
        <w:jc w:val="left"/>
        <w:rPr>
          <w:sz w:val="22"/>
        </w:rPr>
      </w:pPr>
      <w:r>
        <w:rPr>
          <w:sz w:val="22"/>
        </w:rPr>
        <w:t>Will ensure effective links to tap into wider networks and groups – beyond just</w:t>
      </w:r>
      <w:r>
        <w:rPr>
          <w:spacing w:val="-33"/>
          <w:sz w:val="22"/>
        </w:rPr>
        <w:t> </w:t>
      </w:r>
      <w:r>
        <w:rPr>
          <w:sz w:val="22"/>
        </w:rPr>
        <w:t>health</w:t>
      </w:r>
    </w:p>
    <w:p>
      <w:pPr>
        <w:pStyle w:val="ListParagraph"/>
        <w:numPr>
          <w:ilvl w:val="0"/>
          <w:numId w:val="5"/>
        </w:numPr>
        <w:tabs>
          <w:tab w:pos="847" w:val="left" w:leader="none"/>
        </w:tabs>
        <w:spacing w:line="240" w:lineRule="auto" w:before="199" w:after="0"/>
        <w:ind w:left="846" w:right="0" w:hanging="167"/>
        <w:jc w:val="left"/>
        <w:rPr>
          <w:sz w:val="22"/>
        </w:rPr>
      </w:pPr>
      <w:r>
        <w:rPr>
          <w:sz w:val="22"/>
        </w:rPr>
        <w:t>Will ensure that people who engage with us are fully supported to do</w:t>
      </w:r>
      <w:r>
        <w:rPr>
          <w:spacing w:val="-31"/>
          <w:sz w:val="22"/>
        </w:rPr>
        <w:t> </w:t>
      </w:r>
      <w:r>
        <w:rPr>
          <w:sz w:val="22"/>
        </w:rPr>
        <w:t>so</w:t>
      </w:r>
    </w:p>
    <w:p>
      <w:pPr>
        <w:pStyle w:val="BodyText"/>
        <w:rPr>
          <w:sz w:val="26"/>
        </w:rPr>
      </w:pPr>
    </w:p>
    <w:p>
      <w:pPr>
        <w:pStyle w:val="Heading4"/>
        <w:spacing w:before="152"/>
      </w:pPr>
      <w:bookmarkStart w:name="Developing our approach to involving com" w:id="11"/>
      <w:bookmarkEnd w:id="11"/>
      <w:r>
        <w:rPr>
          <w:b w:val="0"/>
        </w:rPr>
      </w:r>
      <w:r>
        <w:rPr>
          <w:color w:val="4F81BB"/>
        </w:rPr>
        <w:t>Developing our approach to involving communities</w:t>
      </w:r>
    </w:p>
    <w:p>
      <w:pPr>
        <w:pStyle w:val="BodyText"/>
        <w:spacing w:before="199"/>
        <w:ind w:left="680" w:right="855"/>
      </w:pPr>
      <w:r>
        <w:rPr/>
        <w:t>The communications and engagement team, while responding to the continued pandemic, has continued to work hard to improve not only public involvement, but the internal process that underpins strong public involvement.</w:t>
      </w:r>
    </w:p>
    <w:p>
      <w:pPr>
        <w:pStyle w:val="BodyText"/>
        <w:spacing w:before="160"/>
        <w:ind w:left="680" w:right="844"/>
      </w:pPr>
      <w:r>
        <w:rPr/>
        <w:t>We have a number of ways in which patients and the public can get more involved in our work. We are committed to working with the voluntary, community and faith sector to ensure that we hear from and respond to the most vulnerable members of our community. We consider these groups when planning patient and public involvement and go out to hear their views in a way that is most suited to them.</w:t>
      </w:r>
    </w:p>
    <w:p>
      <w:pPr>
        <w:pStyle w:val="BodyText"/>
        <w:spacing w:before="202"/>
        <w:ind w:left="680"/>
      </w:pPr>
      <w:r>
        <w:rPr/>
        <w:t>Ways that people get involved include:</w:t>
      </w:r>
    </w:p>
    <w:p>
      <w:pPr>
        <w:spacing w:after="0"/>
        <w:sectPr>
          <w:pgSz w:w="11920" w:h="16850"/>
          <w:pgMar w:header="0" w:footer="363" w:top="1320" w:bottom="640" w:left="760" w:right="420"/>
        </w:sectPr>
      </w:pPr>
    </w:p>
    <w:p>
      <w:pPr>
        <w:pStyle w:val="ListParagraph"/>
        <w:numPr>
          <w:ilvl w:val="0"/>
          <w:numId w:val="3"/>
        </w:numPr>
        <w:tabs>
          <w:tab w:pos="882" w:val="left" w:leader="none"/>
        </w:tabs>
        <w:spacing w:line="240" w:lineRule="auto" w:before="81" w:after="0"/>
        <w:ind w:left="680" w:right="1150" w:firstLine="62"/>
        <w:jc w:val="left"/>
        <w:rPr>
          <w:sz w:val="22"/>
        </w:rPr>
      </w:pPr>
      <w:r>
        <w:rPr>
          <w:b/>
          <w:sz w:val="22"/>
        </w:rPr>
        <w:t>Our Lay Member for Patient and Public Involvement </w:t>
      </w:r>
      <w:r>
        <w:rPr>
          <w:sz w:val="22"/>
        </w:rPr>
        <w:t>– Our lay member represents the patient voice on the </w:t>
      </w:r>
      <w:r>
        <w:rPr>
          <w:spacing w:val="-3"/>
          <w:sz w:val="22"/>
        </w:rPr>
        <w:t>CCG </w:t>
      </w:r>
      <w:r>
        <w:rPr>
          <w:sz w:val="22"/>
        </w:rPr>
        <w:t>Governing</w:t>
      </w:r>
      <w:r>
        <w:rPr>
          <w:spacing w:val="-7"/>
          <w:sz w:val="22"/>
        </w:rPr>
        <w:t> </w:t>
      </w:r>
      <w:r>
        <w:rPr>
          <w:sz w:val="22"/>
        </w:rPr>
        <w:t>Body.</w:t>
      </w:r>
    </w:p>
    <w:p>
      <w:pPr>
        <w:pStyle w:val="ListParagraph"/>
        <w:numPr>
          <w:ilvl w:val="0"/>
          <w:numId w:val="3"/>
        </w:numPr>
        <w:tabs>
          <w:tab w:pos="822" w:val="left" w:leader="none"/>
        </w:tabs>
        <w:spacing w:line="240" w:lineRule="auto" w:before="197" w:after="0"/>
        <w:ind w:left="680" w:right="871" w:firstLine="0"/>
        <w:jc w:val="left"/>
        <w:rPr>
          <w:sz w:val="22"/>
        </w:rPr>
      </w:pPr>
      <w:r>
        <w:rPr>
          <w:b/>
          <w:sz w:val="22"/>
        </w:rPr>
        <w:t>Healthwatch </w:t>
      </w:r>
      <w:r>
        <w:rPr>
          <w:sz w:val="22"/>
        </w:rPr>
        <w:t>– we regularly engage with Healthwatch North Lincolnshire and involve them in our work. We use insight provided by Healthwatch to inform our programmes of</w:t>
      </w:r>
      <w:r>
        <w:rPr>
          <w:spacing w:val="-38"/>
          <w:sz w:val="22"/>
        </w:rPr>
        <w:t> </w:t>
      </w:r>
      <w:r>
        <w:rPr>
          <w:sz w:val="22"/>
        </w:rPr>
        <w:t>work.</w:t>
      </w:r>
    </w:p>
    <w:p>
      <w:pPr>
        <w:pStyle w:val="ListParagraph"/>
        <w:numPr>
          <w:ilvl w:val="0"/>
          <w:numId w:val="3"/>
        </w:numPr>
        <w:tabs>
          <w:tab w:pos="822" w:val="left" w:leader="none"/>
        </w:tabs>
        <w:spacing w:line="240" w:lineRule="auto" w:before="202" w:after="0"/>
        <w:ind w:left="680" w:right="826" w:firstLine="0"/>
        <w:jc w:val="left"/>
        <w:rPr>
          <w:sz w:val="22"/>
        </w:rPr>
      </w:pPr>
      <w:r>
        <w:rPr/>
        <w:pict>
          <v:rect style="position:absolute;margin-left:489.119995pt;margin-top:59.417889pt;width:3pt;height:.84pt;mso-position-horizontal-relative:page;mso-position-vertical-relative:paragraph;z-index:-269548544" filled="true" fillcolor="#0000ff" stroked="false">
            <v:fill type="solid"/>
            <w10:wrap type="none"/>
          </v:rect>
        </w:pict>
      </w:r>
      <w:r>
        <w:rPr>
          <w:b/>
          <w:sz w:val="22"/>
        </w:rPr>
        <w:t>Embrace Patient Network </w:t>
      </w:r>
      <w:r>
        <w:rPr>
          <w:sz w:val="22"/>
        </w:rPr>
        <w:t>– This initiative enables local people to sign up to be involved in shaping the future of local healthcare in a number of ways, such as taking part in focus groups, reviewing information before it goes to the general public, as well as receiving regular communication from the CCG. To join Embrace, please contact us or visit our website</w:t>
      </w:r>
      <w:r>
        <w:rPr>
          <w:color w:val="0000FF"/>
          <w:sz w:val="22"/>
          <w:u w:val="single" w:color="0000FF"/>
        </w:rPr>
        <w:t> </w:t>
      </w:r>
      <w:hyperlink r:id="rId13">
        <w:r>
          <w:rPr>
            <w:color w:val="0000FF"/>
            <w:sz w:val="22"/>
            <w:u w:val="single" w:color="0000FF"/>
          </w:rPr>
          <w:t>https://northlincolnshireccg.nhs.uk/tell-us-what-you-</w:t>
        </w:r>
      </w:hyperlink>
      <w:hyperlink r:id="rId13">
        <w:r>
          <w:rPr>
            <w:color w:val="0000FF"/>
            <w:sz w:val="22"/>
            <w:u w:val="single" w:color="0000FF"/>
          </w:rPr>
          <w:t>think/embrace/</w:t>
        </w:r>
      </w:hyperlink>
    </w:p>
    <w:p>
      <w:pPr>
        <w:pStyle w:val="ListParagraph"/>
        <w:numPr>
          <w:ilvl w:val="0"/>
          <w:numId w:val="3"/>
        </w:numPr>
        <w:tabs>
          <w:tab w:pos="822" w:val="left" w:leader="none"/>
        </w:tabs>
        <w:spacing w:line="240" w:lineRule="auto" w:before="201" w:after="0"/>
        <w:ind w:left="679" w:right="903" w:firstLine="0"/>
        <w:jc w:val="left"/>
        <w:rPr>
          <w:sz w:val="22"/>
        </w:rPr>
      </w:pPr>
      <w:r>
        <w:rPr>
          <w:b/>
          <w:sz w:val="22"/>
        </w:rPr>
        <w:t>The CCG website </w:t>
      </w:r>
      <w:r>
        <w:rPr>
          <w:sz w:val="22"/>
        </w:rPr>
        <w:t>– The “Tell us what you think” section of the website offers information on different ways patients can get involved with our</w:t>
      </w:r>
      <w:r>
        <w:rPr>
          <w:spacing w:val="-13"/>
          <w:sz w:val="22"/>
        </w:rPr>
        <w:t> </w:t>
      </w:r>
      <w:r>
        <w:rPr>
          <w:sz w:val="22"/>
        </w:rPr>
        <w:t>work.</w:t>
      </w:r>
    </w:p>
    <w:p>
      <w:pPr>
        <w:pStyle w:val="ListParagraph"/>
        <w:numPr>
          <w:ilvl w:val="0"/>
          <w:numId w:val="3"/>
        </w:numPr>
        <w:tabs>
          <w:tab w:pos="819" w:val="left" w:leader="none"/>
        </w:tabs>
        <w:spacing w:line="240" w:lineRule="auto" w:before="197" w:after="0"/>
        <w:ind w:left="679" w:right="1158" w:firstLine="0"/>
        <w:jc w:val="left"/>
        <w:rPr>
          <w:sz w:val="22"/>
        </w:rPr>
      </w:pPr>
      <w:r>
        <w:rPr>
          <w:b/>
          <w:sz w:val="22"/>
        </w:rPr>
        <w:t>Programme-specific involvement </w:t>
      </w:r>
      <w:r>
        <w:rPr>
          <w:sz w:val="22"/>
        </w:rPr>
        <w:t>– We use local intelligence and relationships with the community and voluntary sector to ensure we speak with and involve the right people in our commissioning decisions, for example speaking to parents about their views on a proposed shared care pathway for neurodiversity</w:t>
      </w:r>
      <w:r>
        <w:rPr>
          <w:spacing w:val="-9"/>
          <w:sz w:val="22"/>
        </w:rPr>
        <w:t> </w:t>
      </w:r>
      <w:r>
        <w:rPr>
          <w:sz w:val="22"/>
        </w:rPr>
        <w:t>needs.</w:t>
      </w:r>
    </w:p>
    <w:p>
      <w:pPr>
        <w:pStyle w:val="BodyText"/>
        <w:rPr>
          <w:sz w:val="24"/>
        </w:rPr>
      </w:pPr>
    </w:p>
    <w:p>
      <w:pPr>
        <w:pStyle w:val="Heading4"/>
        <w:spacing w:before="180"/>
      </w:pPr>
      <w:bookmarkStart w:name="Partnerships and networks" w:id="12"/>
      <w:bookmarkEnd w:id="12"/>
      <w:r>
        <w:rPr>
          <w:b w:val="0"/>
        </w:rPr>
      </w:r>
      <w:r>
        <w:rPr>
          <w:color w:val="4F81BB"/>
        </w:rPr>
        <w:t>Partnerships and networks</w:t>
      </w:r>
    </w:p>
    <w:p>
      <w:pPr>
        <w:pStyle w:val="BodyText"/>
        <w:spacing w:before="2"/>
        <w:rPr>
          <w:b/>
          <w:sz w:val="21"/>
        </w:rPr>
      </w:pPr>
    </w:p>
    <w:p>
      <w:pPr>
        <w:pStyle w:val="Heading6"/>
      </w:pPr>
      <w:bookmarkStart w:name="Local Authority" w:id="13"/>
      <w:bookmarkEnd w:id="13"/>
      <w:r>
        <w:rPr>
          <w:b w:val="0"/>
        </w:rPr>
      </w:r>
      <w:r>
        <w:rPr>
          <w:color w:val="4F81BB"/>
        </w:rPr>
        <w:t>Local Authority</w:t>
      </w:r>
    </w:p>
    <w:p>
      <w:pPr>
        <w:pStyle w:val="BodyText"/>
        <w:spacing w:before="2"/>
        <w:rPr>
          <w:b/>
          <w:sz w:val="20"/>
        </w:rPr>
      </w:pPr>
    </w:p>
    <w:p>
      <w:pPr>
        <w:pStyle w:val="BodyText"/>
        <w:spacing w:line="244" w:lineRule="auto"/>
        <w:ind w:left="680" w:right="1296"/>
      </w:pPr>
      <w:r>
        <w:rPr/>
        <w:t>We continue to work in partnership with North Lincolnshire Council, and their public health team.</w:t>
      </w:r>
    </w:p>
    <w:p>
      <w:pPr>
        <w:pStyle w:val="BodyText"/>
        <w:rPr>
          <w:sz w:val="24"/>
        </w:rPr>
      </w:pPr>
    </w:p>
    <w:p>
      <w:pPr>
        <w:pStyle w:val="Heading6"/>
        <w:spacing w:before="171"/>
      </w:pPr>
      <w:bookmarkStart w:name="Humber Coast and Vale Health and Care Pa" w:id="14"/>
      <w:bookmarkEnd w:id="14"/>
      <w:r>
        <w:rPr>
          <w:b w:val="0"/>
        </w:rPr>
      </w:r>
      <w:r>
        <w:rPr>
          <w:color w:val="4F81BB"/>
        </w:rPr>
        <w:t>Humber Coast and Vale Health and Care Partnership</w:t>
      </w:r>
    </w:p>
    <w:p>
      <w:pPr>
        <w:pStyle w:val="BodyText"/>
        <w:spacing w:before="196"/>
        <w:ind w:left="680" w:right="729"/>
      </w:pPr>
      <w:r>
        <w:rPr/>
        <w:t>We are an integral part of the Humber Coast and Vale Health and Care Partnership, which aims to help meet the challenges set out in the NHS Five Year Forward View – better health, transformed quality of care, and sustainable finances. We all want to provide the best services for local people, to help them live well and enjoy life, and we know no individual organisation can do this on its own. We are working with our partners to facilitate public involvement in the work of the Partnership across North</w:t>
      </w:r>
      <w:r>
        <w:rPr>
          <w:spacing w:val="-10"/>
        </w:rPr>
        <w:t> </w:t>
      </w:r>
      <w:r>
        <w:rPr/>
        <w:t>Lincolnshire.</w:t>
      </w:r>
    </w:p>
    <w:p>
      <w:pPr>
        <w:pStyle w:val="BodyText"/>
        <w:rPr>
          <w:sz w:val="24"/>
        </w:rPr>
      </w:pPr>
    </w:p>
    <w:p>
      <w:pPr>
        <w:pStyle w:val="Heading4"/>
        <w:spacing w:before="179"/>
      </w:pPr>
      <w:bookmarkStart w:name="Providers" w:id="15"/>
      <w:bookmarkEnd w:id="15"/>
      <w:r>
        <w:rPr>
          <w:b w:val="0"/>
        </w:rPr>
      </w:r>
      <w:r>
        <w:rPr>
          <w:color w:val="4F81BB"/>
        </w:rPr>
        <w:t>Providers</w:t>
      </w:r>
    </w:p>
    <w:p>
      <w:pPr>
        <w:pStyle w:val="BodyText"/>
        <w:spacing w:before="199"/>
        <w:ind w:left="680" w:right="722"/>
      </w:pPr>
      <w:r>
        <w:rPr/>
        <w:t>We work in partnership with our providers to deliver engagement across North Lincolnshire. Our providers include Northern Lincolnshire and Goole Hospitals NHS Foundation Trust and Rotherham, Doncaster and South Humber NHS Foundation Trust.</w:t>
      </w:r>
    </w:p>
    <w:p>
      <w:pPr>
        <w:pStyle w:val="BodyText"/>
        <w:rPr>
          <w:sz w:val="24"/>
        </w:rPr>
      </w:pPr>
    </w:p>
    <w:p>
      <w:pPr>
        <w:pStyle w:val="Heading4"/>
        <w:spacing w:before="175"/>
      </w:pPr>
      <w:bookmarkStart w:name="Community outreach" w:id="16"/>
      <w:bookmarkEnd w:id="16"/>
      <w:r>
        <w:rPr>
          <w:b w:val="0"/>
        </w:rPr>
      </w:r>
      <w:r>
        <w:rPr>
          <w:color w:val="4F81BB"/>
        </w:rPr>
        <w:t>Community outreach</w:t>
      </w:r>
    </w:p>
    <w:p>
      <w:pPr>
        <w:pStyle w:val="BodyText"/>
        <w:spacing w:before="199"/>
        <w:ind w:left="680" w:right="757"/>
      </w:pPr>
      <w:r>
        <w:rPr/>
        <w:t>As part of the continued response to the pandemic, the team conducted an ‘on the street’ engagement exercise when delivering more than 2,000 leaflets to central Scunthorpe residents. Driven by uptake data and local intelligence, these leaflets were produced in a variety of the area’s most commonly spoken languages alongside English including Polish, Slovakian, Romanian and Bengali.</w:t>
      </w:r>
    </w:p>
    <w:p>
      <w:pPr>
        <w:pStyle w:val="BodyText"/>
        <w:spacing w:before="5"/>
        <w:rPr>
          <w:sz w:val="25"/>
        </w:rPr>
      </w:pPr>
    </w:p>
    <w:p>
      <w:pPr>
        <w:pStyle w:val="BodyText"/>
        <w:ind w:left="680" w:right="795"/>
      </w:pPr>
      <w:r>
        <w:rPr/>
        <w:t>Crucially, this piece of work has helped us build contacts in the community who we can engage with, not just about the pandemic and vaccinations, but for all relevant projects of engagement work moving forward. It has helped us understand which methods of communication work best for our diverse communities.</w:t>
      </w:r>
    </w:p>
    <w:p>
      <w:pPr>
        <w:spacing w:after="0"/>
        <w:sectPr>
          <w:pgSz w:w="11920" w:h="16850"/>
          <w:pgMar w:header="0" w:footer="363" w:top="1320" w:bottom="640" w:left="760" w:right="420"/>
        </w:sectPr>
      </w:pPr>
    </w:p>
    <w:p>
      <w:pPr>
        <w:pStyle w:val="BodyText"/>
        <w:spacing w:before="81"/>
        <w:ind w:left="680" w:right="1345"/>
      </w:pPr>
      <w:r>
        <w:rPr/>
        <w:t>The CCG has continued to meet with other public sector bodies on the North Lincolnshire Equality and Inclusion Forum virtually, to share best practice of engaging with those who experience the worst health outcomes. To help understand how well we are supporting or providing services fairly to all groups of people, the CCG continues to carry out equality monitoring of our membership of PCAG and Embrace and participation in our surveys.</w:t>
      </w:r>
    </w:p>
    <w:p>
      <w:pPr>
        <w:pStyle w:val="BodyText"/>
        <w:rPr>
          <w:sz w:val="24"/>
        </w:rPr>
      </w:pPr>
    </w:p>
    <w:p>
      <w:pPr>
        <w:pStyle w:val="Heading4"/>
        <w:spacing w:before="175"/>
      </w:pPr>
      <w:bookmarkStart w:name="Working with local people" w:id="17"/>
      <w:bookmarkEnd w:id="17"/>
      <w:r>
        <w:rPr>
          <w:b w:val="0"/>
        </w:rPr>
      </w:r>
      <w:r>
        <w:rPr>
          <w:color w:val="4F81BB"/>
        </w:rPr>
        <w:t>Working with local people</w:t>
      </w:r>
    </w:p>
    <w:p>
      <w:pPr>
        <w:pStyle w:val="BodyText"/>
        <w:spacing w:before="10"/>
        <w:rPr>
          <w:b/>
          <w:sz w:val="20"/>
        </w:rPr>
      </w:pPr>
    </w:p>
    <w:p>
      <w:pPr>
        <w:pStyle w:val="BodyText"/>
        <w:ind w:left="680" w:right="1026"/>
      </w:pPr>
      <w:r>
        <w:rPr/>
        <w:t>Our goal is to put patients at the heart of everything we do, learning from their lived experiences, listening to their ideas and thoughts and designing and commissioning services which meet the needs of our diverse population.</w:t>
      </w:r>
    </w:p>
    <w:p>
      <w:pPr>
        <w:pStyle w:val="BodyText"/>
        <w:spacing w:before="201"/>
        <w:ind w:left="679" w:right="869"/>
      </w:pPr>
      <w:r>
        <w:rPr/>
        <w:t>On a wider system footprint, we continue to support engagement for various workstreams as a part of the Humber Acute Services Review, including engagement on maternity services and ophthalmology. The Humber Acute Services programme considers how our hospital services will be provided in the future, and we have continued to facilitate the involvement of North Lincolnshire representatives in the Citizen’s Panel. More information about the review can be found </w:t>
      </w:r>
      <w:hyperlink r:id="rId14">
        <w:r>
          <w:rPr>
            <w:color w:val="0000FF"/>
            <w:u w:val="single" w:color="0000FF"/>
          </w:rPr>
          <w:t>here</w:t>
        </w:r>
      </w:hyperlink>
    </w:p>
    <w:p>
      <w:pPr>
        <w:pStyle w:val="BodyText"/>
        <w:spacing w:before="203"/>
        <w:ind w:left="680" w:right="856"/>
      </w:pPr>
      <w:r>
        <w:rPr/>
        <w:t>From 1 April 2015 it has been a contractual requirement for all GP practices across England to establish and maintain a Patient Participation Group (PPG). Patient Participation Groups are the building blocks for engagement at GP practice level. Each GP practice has set up a group of patients interested in engaging with their work.</w:t>
      </w:r>
    </w:p>
    <w:p>
      <w:pPr>
        <w:pStyle w:val="BodyText"/>
        <w:spacing w:before="197"/>
        <w:ind w:left="680" w:right="1126" w:hanging="1"/>
      </w:pPr>
      <w:r>
        <w:rPr/>
        <w:t>We have continued to see a strong attendance of our quarterly PPG Chairs Forum meeting, despite still doing it virtually for members’ safety and convenience.</w:t>
      </w:r>
    </w:p>
    <w:p>
      <w:pPr>
        <w:pStyle w:val="BodyText"/>
        <w:spacing w:before="11"/>
        <w:rPr>
          <w:sz w:val="21"/>
        </w:rPr>
      </w:pPr>
    </w:p>
    <w:p>
      <w:pPr>
        <w:pStyle w:val="BodyText"/>
        <w:ind w:left="680" w:right="807"/>
      </w:pPr>
      <w:r>
        <w:rPr/>
        <w:t>We have refocused these meetings to give members the chance to question a panel of CCG representatives about one or two subjects per meeting. Such subjects in the meetings this year have focused on primary care and general NHS access and promoting the vaccination programme. The meeting also provides an opportunity for members to talk about issues or promote work going on in their local practice or Primary Care Network.</w:t>
      </w:r>
    </w:p>
    <w:p>
      <w:pPr>
        <w:pStyle w:val="BodyText"/>
        <w:rPr>
          <w:sz w:val="24"/>
        </w:rPr>
      </w:pPr>
    </w:p>
    <w:p>
      <w:pPr>
        <w:pStyle w:val="Heading4"/>
        <w:spacing w:before="214"/>
      </w:pPr>
      <w:bookmarkStart w:name="How we have listened and responded" w:id="18"/>
      <w:bookmarkEnd w:id="18"/>
      <w:r>
        <w:rPr>
          <w:b w:val="0"/>
        </w:rPr>
      </w:r>
      <w:r>
        <w:rPr>
          <w:color w:val="4F81BB"/>
        </w:rPr>
        <w:t>How we have listened and responded</w:t>
      </w:r>
    </w:p>
    <w:p>
      <w:pPr>
        <w:pStyle w:val="BodyText"/>
        <w:spacing w:before="1"/>
        <w:rPr>
          <w:b/>
          <w:sz w:val="21"/>
        </w:rPr>
      </w:pPr>
    </w:p>
    <w:p>
      <w:pPr>
        <w:pStyle w:val="BodyText"/>
        <w:ind w:left="680" w:right="1271"/>
      </w:pPr>
      <w:r>
        <w:rPr/>
        <w:t>We have listened to views on a variety of services during 2021-22, and used this insight to inform service development. Some of this engagement includes:</w:t>
      </w:r>
    </w:p>
    <w:p>
      <w:pPr>
        <w:pStyle w:val="ListParagraph"/>
        <w:numPr>
          <w:ilvl w:val="1"/>
          <w:numId w:val="3"/>
        </w:numPr>
        <w:tabs>
          <w:tab w:pos="1399" w:val="left" w:leader="none"/>
          <w:tab w:pos="1401" w:val="left" w:leader="none"/>
        </w:tabs>
        <w:spacing w:line="237" w:lineRule="auto" w:before="204" w:after="0"/>
        <w:ind w:left="1400" w:right="862" w:hanging="361"/>
        <w:jc w:val="left"/>
        <w:rPr>
          <w:rFonts w:ascii="Symbol" w:hAnsi="Symbol"/>
          <w:sz w:val="22"/>
        </w:rPr>
      </w:pPr>
      <w:r>
        <w:rPr>
          <w:sz w:val="22"/>
        </w:rPr>
        <w:t>Engagement on a neurodiversity pathway which involved in-depth telephone interviews with North Lincolnshire parents to understand their views on proposals for shared care. Crucially, feedback from the engagement led to a change in the proposal for shared care.</w:t>
      </w:r>
    </w:p>
    <w:p>
      <w:pPr>
        <w:pStyle w:val="BodyText"/>
        <w:spacing w:before="5"/>
      </w:pPr>
    </w:p>
    <w:p>
      <w:pPr>
        <w:pStyle w:val="ListParagraph"/>
        <w:numPr>
          <w:ilvl w:val="1"/>
          <w:numId w:val="3"/>
        </w:numPr>
        <w:tabs>
          <w:tab w:pos="1400" w:val="left" w:leader="none"/>
          <w:tab w:pos="1401" w:val="left" w:leader="none"/>
        </w:tabs>
        <w:spacing w:line="237" w:lineRule="auto" w:before="0" w:after="0"/>
        <w:ind w:left="1400" w:right="975" w:hanging="361"/>
        <w:jc w:val="left"/>
        <w:rPr>
          <w:rFonts w:ascii="Symbol" w:hAnsi="Symbol"/>
          <w:sz w:val="22"/>
        </w:rPr>
      </w:pPr>
      <w:r>
        <w:rPr>
          <w:sz w:val="22"/>
        </w:rPr>
        <w:t>Working with Healthwatch North Lincolnshire to engage those with lived experience of mental health to understand what outcomes patients might expect from a proposed mental health crisis house. It is planned to use the findings of focus groups to develop an outcome measure for the new</w:t>
      </w:r>
      <w:r>
        <w:rPr>
          <w:spacing w:val="-19"/>
          <w:sz w:val="22"/>
        </w:rPr>
        <w:t> </w:t>
      </w:r>
      <w:r>
        <w:rPr>
          <w:sz w:val="22"/>
        </w:rPr>
        <w:t>service.</w:t>
      </w:r>
    </w:p>
    <w:p>
      <w:pPr>
        <w:pStyle w:val="BodyText"/>
        <w:spacing w:before="7"/>
        <w:rPr>
          <w:sz w:val="25"/>
        </w:rPr>
      </w:pPr>
    </w:p>
    <w:p>
      <w:pPr>
        <w:pStyle w:val="ListParagraph"/>
        <w:numPr>
          <w:ilvl w:val="1"/>
          <w:numId w:val="3"/>
        </w:numPr>
        <w:tabs>
          <w:tab w:pos="1400" w:val="left" w:leader="none"/>
          <w:tab w:pos="1401" w:val="left" w:leader="none"/>
        </w:tabs>
        <w:spacing w:line="240" w:lineRule="auto" w:before="1" w:after="0"/>
        <w:ind w:left="1400" w:right="806" w:hanging="361"/>
        <w:jc w:val="left"/>
        <w:rPr>
          <w:rFonts w:ascii="Symbol" w:hAnsi="Symbol"/>
          <w:sz w:val="22"/>
        </w:rPr>
      </w:pPr>
      <w:r>
        <w:rPr>
          <w:sz w:val="22"/>
        </w:rPr>
        <w:t>We are increasingly working jointly with our partners on collaborative engagement exercises across North Lincolnshire. Engagement to gather views on current services for autistic children and adults in North Lincolnshire has taken place, and the findings will be used to help improve services and shape a refresh of the All Age Autism Plan for people with autism living in North Lincolnshire. The plan will outline the key priorities within North Lincolnshire as part of the ambition to make North Lincolnshire an autism friendly place to live well, be safe and</w:t>
      </w:r>
      <w:r>
        <w:rPr>
          <w:spacing w:val="-10"/>
          <w:sz w:val="22"/>
        </w:rPr>
        <w:t> </w:t>
      </w:r>
      <w:r>
        <w:rPr>
          <w:sz w:val="22"/>
        </w:rPr>
        <w:t>prosperous.</w:t>
      </w:r>
    </w:p>
    <w:p>
      <w:pPr>
        <w:spacing w:after="0" w:line="240" w:lineRule="auto"/>
        <w:jc w:val="left"/>
        <w:rPr>
          <w:rFonts w:ascii="Symbol" w:hAnsi="Symbol"/>
          <w:sz w:val="22"/>
        </w:rPr>
        <w:sectPr>
          <w:pgSz w:w="11920" w:h="16850"/>
          <w:pgMar w:header="0" w:footer="363" w:top="1320" w:bottom="640" w:left="760" w:right="420"/>
        </w:sectPr>
      </w:pPr>
    </w:p>
    <w:p>
      <w:pPr>
        <w:pStyle w:val="Heading4"/>
        <w:spacing w:before="79"/>
      </w:pPr>
      <w:bookmarkStart w:name="Assuring our engagement plans" w:id="19"/>
      <w:bookmarkEnd w:id="19"/>
      <w:r>
        <w:rPr>
          <w:b w:val="0"/>
        </w:rPr>
      </w:r>
      <w:r>
        <w:rPr>
          <w:color w:val="4F81BB"/>
        </w:rPr>
        <w:t>Assuring our engagement plans</w:t>
      </w:r>
    </w:p>
    <w:p>
      <w:pPr>
        <w:pStyle w:val="BodyText"/>
        <w:spacing w:before="9"/>
        <w:rPr>
          <w:b/>
          <w:sz w:val="20"/>
        </w:rPr>
      </w:pPr>
    </w:p>
    <w:p>
      <w:pPr>
        <w:pStyle w:val="BodyText"/>
        <w:spacing w:line="242" w:lineRule="auto"/>
        <w:ind w:left="680" w:right="941"/>
      </w:pPr>
      <w:r>
        <w:rPr/>
        <w:t>Our Patient and Community Assurance Group (PCAG) is responsible for overseeing our engagement work and assuring not only that we are carrying out our statutory duties to a high standard, but that we are responding effectively to the feedback we receive and using this to inform and influence our commissioning.</w:t>
      </w:r>
    </w:p>
    <w:p>
      <w:pPr>
        <w:pStyle w:val="BodyText"/>
        <w:spacing w:before="190"/>
        <w:ind w:left="680" w:right="942"/>
      </w:pPr>
      <w:r>
        <w:rPr/>
        <w:t>PCAG group members were recruited via our Embrace patient network and nominations from the local voluntary and community sector. In addition to Embrace members, we have representation on the group from Healthwatch North Lincolnshire, Cloverleaf Advocacy, North Lincolnshire Youth Council, Westcliff Community Works and the Humber and Wolds Rural Action group. Meetings are chaired by our CCG Lay Member for Patient and Public Involvement.</w:t>
      </w:r>
    </w:p>
    <w:p>
      <w:pPr>
        <w:pStyle w:val="BodyText"/>
        <w:spacing w:before="200"/>
        <w:ind w:left="680" w:right="745"/>
      </w:pPr>
      <w:r>
        <w:rPr/>
        <w:t>During this year, we have worked hard to make the group more representative of the population we serve and have successfully recruited some new members. These include the chair of the North Lincolnshire Mult-Faith Partnership and a college student, with both already making invaluable contributions.</w:t>
      </w:r>
    </w:p>
    <w:p>
      <w:pPr>
        <w:pStyle w:val="BodyText"/>
        <w:spacing w:before="9"/>
        <w:rPr>
          <w:sz w:val="21"/>
        </w:rPr>
      </w:pPr>
    </w:p>
    <w:p>
      <w:pPr>
        <w:pStyle w:val="BodyText"/>
        <w:spacing w:before="1"/>
        <w:ind w:left="680" w:right="966"/>
      </w:pPr>
      <w:r>
        <w:rPr/>
        <w:t>The Head of Strategic Commissioning is now a regular attendee of the group and gives a summary of commissioning projects and the engagement plans/activity associated with them.</w:t>
      </w:r>
    </w:p>
    <w:p>
      <w:pPr>
        <w:pStyle w:val="BodyText"/>
        <w:spacing w:before="10"/>
        <w:rPr>
          <w:sz w:val="21"/>
        </w:rPr>
      </w:pPr>
    </w:p>
    <w:p>
      <w:pPr>
        <w:pStyle w:val="BodyText"/>
        <w:spacing w:before="1"/>
        <w:ind w:left="680" w:right="1186" w:hanging="1"/>
      </w:pPr>
      <w:r>
        <w:rPr/>
        <w:t>In September’s meeting, our Lay Member for Patient and Public Involvement asked PCAG members whether they were assured of the progress made in terms of engagement, by the CCG during the last two years. The group was unanimously assured.</w:t>
      </w:r>
    </w:p>
    <w:p>
      <w:pPr>
        <w:pStyle w:val="BodyText"/>
        <w:rPr>
          <w:sz w:val="24"/>
        </w:rPr>
      </w:pPr>
    </w:p>
    <w:p>
      <w:pPr>
        <w:pStyle w:val="BodyText"/>
        <w:spacing w:line="244" w:lineRule="auto" w:before="177"/>
        <w:ind w:left="680" w:right="990"/>
      </w:pPr>
      <w:r>
        <w:rPr/>
        <w:t>We would like to thank all of our patient and public participants. We really appreciate the time people have given to find out about our work and give us their views.</w:t>
      </w:r>
    </w:p>
    <w:p>
      <w:pPr>
        <w:pStyle w:val="BodyText"/>
        <w:spacing w:before="192"/>
        <w:ind w:left="680" w:right="783" w:hanging="1"/>
      </w:pPr>
      <w:r>
        <w:rPr/>
        <w:t>Hopefully the information in this section shows what a difference public involvement makes and how it’s helping us to get services right for people in North Lincolnshire.</w:t>
      </w:r>
    </w:p>
    <w:p>
      <w:pPr>
        <w:pStyle w:val="BodyText"/>
        <w:spacing w:line="244" w:lineRule="auto" w:before="197"/>
        <w:ind w:left="680" w:right="1088"/>
      </w:pPr>
      <w:r>
        <w:rPr/>
        <w:t>If you would like to find out more about what the CCG does or get involved in our work, we’d love to hear from you. Contact us at </w:t>
      </w:r>
      <w:hyperlink r:id="rId15">
        <w:r>
          <w:rPr>
            <w:color w:val="0000FF"/>
            <w:u w:val="single" w:color="0000FF"/>
          </w:rPr>
          <w:t>embrace.nlccg@nhs.net</w:t>
        </w:r>
        <w:r>
          <w:rPr>
            <w:color w:val="0000FF"/>
          </w:rPr>
          <w:t> </w:t>
        </w:r>
      </w:hyperlink>
      <w:r>
        <w:rPr/>
        <w:t>to find out more.</w:t>
      </w:r>
    </w:p>
    <w:p>
      <w:pPr>
        <w:spacing w:after="0" w:line="244" w:lineRule="auto"/>
        <w:sectPr>
          <w:pgSz w:w="11920" w:h="16850"/>
          <w:pgMar w:header="0" w:footer="363" w:top="1320" w:bottom="640" w:left="760" w:right="420"/>
        </w:sectPr>
      </w:pPr>
    </w:p>
    <w:p>
      <w:pPr>
        <w:pStyle w:val="Heading4"/>
        <w:spacing w:before="79"/>
      </w:pPr>
      <w:bookmarkStart w:name="Humber Acute Services Programme – Summar" w:id="20"/>
      <w:bookmarkEnd w:id="20"/>
      <w:r>
        <w:rPr>
          <w:b w:val="0"/>
        </w:rPr>
      </w:r>
      <w:r>
        <w:rPr>
          <w:color w:val="4F81BB"/>
        </w:rPr>
        <w:t>Humber Acute Services Programme – Summary of engagement</w:t>
      </w:r>
    </w:p>
    <w:p>
      <w:pPr>
        <w:pStyle w:val="BodyText"/>
        <w:spacing w:before="9"/>
        <w:rPr>
          <w:b/>
          <w:sz w:val="20"/>
        </w:rPr>
      </w:pPr>
    </w:p>
    <w:p>
      <w:pPr>
        <w:pStyle w:val="BodyText"/>
        <w:spacing w:line="244" w:lineRule="auto"/>
        <w:ind w:left="680" w:right="1186"/>
      </w:pPr>
      <w:r>
        <w:rPr/>
        <w:t>The Humber Acute Services programme is currently developing a range of potential clinical models (options) for the future delivery of core hospital services including:</w:t>
      </w:r>
    </w:p>
    <w:p>
      <w:pPr>
        <w:pStyle w:val="ListParagraph"/>
        <w:numPr>
          <w:ilvl w:val="0"/>
          <w:numId w:val="6"/>
        </w:numPr>
        <w:tabs>
          <w:tab w:pos="1392" w:val="left" w:leader="none"/>
          <w:tab w:pos="1393" w:val="left" w:leader="none"/>
        </w:tabs>
        <w:spacing w:line="253" w:lineRule="exact" w:before="187" w:after="0"/>
        <w:ind w:left="1392" w:right="0" w:hanging="356"/>
        <w:jc w:val="left"/>
        <w:rPr>
          <w:sz w:val="22"/>
        </w:rPr>
      </w:pPr>
      <w:r>
        <w:rPr>
          <w:sz w:val="22"/>
        </w:rPr>
        <w:t>Urgent and Emergency</w:t>
      </w:r>
      <w:r>
        <w:rPr>
          <w:spacing w:val="-9"/>
          <w:sz w:val="22"/>
        </w:rPr>
        <w:t> </w:t>
      </w:r>
      <w:r>
        <w:rPr>
          <w:sz w:val="22"/>
        </w:rPr>
        <w:t>Care</w:t>
      </w:r>
    </w:p>
    <w:p>
      <w:pPr>
        <w:pStyle w:val="ListParagraph"/>
        <w:numPr>
          <w:ilvl w:val="0"/>
          <w:numId w:val="6"/>
        </w:numPr>
        <w:tabs>
          <w:tab w:pos="1392" w:val="left" w:leader="none"/>
          <w:tab w:pos="1393" w:val="left" w:leader="none"/>
        </w:tabs>
        <w:spacing w:line="253" w:lineRule="exact" w:before="0" w:after="0"/>
        <w:ind w:left="1392" w:right="0" w:hanging="356"/>
        <w:jc w:val="left"/>
        <w:rPr>
          <w:sz w:val="22"/>
        </w:rPr>
      </w:pPr>
      <w:r>
        <w:rPr>
          <w:sz w:val="22"/>
        </w:rPr>
        <w:t>Maternity, Neonatal Care and</w:t>
      </w:r>
      <w:r>
        <w:rPr>
          <w:spacing w:val="-8"/>
          <w:sz w:val="22"/>
        </w:rPr>
        <w:t> </w:t>
      </w:r>
      <w:r>
        <w:rPr>
          <w:sz w:val="22"/>
        </w:rPr>
        <w:t>Paediatrics</w:t>
      </w:r>
    </w:p>
    <w:p>
      <w:pPr>
        <w:pStyle w:val="ListParagraph"/>
        <w:numPr>
          <w:ilvl w:val="0"/>
          <w:numId w:val="6"/>
        </w:numPr>
        <w:tabs>
          <w:tab w:pos="1393" w:val="left" w:leader="none"/>
          <w:tab w:pos="1394" w:val="left" w:leader="none"/>
        </w:tabs>
        <w:spacing w:line="240" w:lineRule="auto" w:before="3" w:after="0"/>
        <w:ind w:left="1393" w:right="0" w:hanging="357"/>
        <w:jc w:val="left"/>
        <w:rPr>
          <w:sz w:val="22"/>
        </w:rPr>
      </w:pPr>
      <w:r>
        <w:rPr>
          <w:sz w:val="22"/>
        </w:rPr>
        <w:t>Planned Care and</w:t>
      </w:r>
      <w:r>
        <w:rPr>
          <w:spacing w:val="-2"/>
          <w:sz w:val="22"/>
        </w:rPr>
        <w:t> </w:t>
      </w:r>
      <w:r>
        <w:rPr>
          <w:sz w:val="22"/>
        </w:rPr>
        <w:t>Diagnostics</w:t>
      </w:r>
    </w:p>
    <w:p>
      <w:pPr>
        <w:pStyle w:val="BodyText"/>
        <w:spacing w:before="197"/>
        <w:ind w:left="680"/>
      </w:pPr>
      <w:r>
        <w:rPr/>
        <w:t>Throughout 2021-2022 we engaged with over 9,000 stakeholders, including:</w:t>
      </w:r>
    </w:p>
    <w:p>
      <w:pPr>
        <w:pStyle w:val="ListParagraph"/>
        <w:numPr>
          <w:ilvl w:val="1"/>
          <w:numId w:val="3"/>
        </w:numPr>
        <w:tabs>
          <w:tab w:pos="1400" w:val="left" w:leader="none"/>
          <w:tab w:pos="1401" w:val="left" w:leader="none"/>
        </w:tabs>
        <w:spacing w:line="240" w:lineRule="auto" w:before="1" w:after="0"/>
        <w:ind w:left="1400" w:right="1125" w:hanging="361"/>
        <w:jc w:val="left"/>
        <w:rPr>
          <w:rFonts w:ascii="Symbol" w:hAnsi="Symbol"/>
          <w:sz w:val="22"/>
        </w:rPr>
      </w:pPr>
      <w:r>
        <w:rPr>
          <w:b/>
          <w:sz w:val="22"/>
        </w:rPr>
        <w:t>Current and future patients, staff, the public </w:t>
      </w:r>
      <w:r>
        <w:rPr>
          <w:sz w:val="22"/>
        </w:rPr>
        <w:t>and their representatives about what matters most to them when they need hospital care (around 4000 people took part, February to October</w:t>
      </w:r>
      <w:r>
        <w:rPr>
          <w:spacing w:val="-6"/>
          <w:sz w:val="22"/>
        </w:rPr>
        <w:t> </w:t>
      </w:r>
      <w:r>
        <w:rPr>
          <w:sz w:val="22"/>
        </w:rPr>
        <w:t>2021)</w:t>
      </w:r>
    </w:p>
    <w:p>
      <w:pPr>
        <w:pStyle w:val="ListParagraph"/>
        <w:numPr>
          <w:ilvl w:val="1"/>
          <w:numId w:val="3"/>
        </w:numPr>
        <w:tabs>
          <w:tab w:pos="1400" w:val="left" w:leader="none"/>
          <w:tab w:pos="1401" w:val="left" w:leader="none"/>
        </w:tabs>
        <w:spacing w:line="235" w:lineRule="auto" w:before="2" w:after="0"/>
        <w:ind w:left="1400" w:right="979" w:hanging="361"/>
        <w:jc w:val="left"/>
        <w:rPr>
          <w:rFonts w:ascii="Symbol" w:hAnsi="Symbol"/>
          <w:sz w:val="22"/>
        </w:rPr>
      </w:pPr>
      <w:r>
        <w:rPr>
          <w:b/>
          <w:sz w:val="22"/>
        </w:rPr>
        <w:t>Women, birthing people, their partners and families </w:t>
      </w:r>
      <w:r>
        <w:rPr>
          <w:sz w:val="22"/>
        </w:rPr>
        <w:t>on where and how they would like to be cared for when giving birth (around 1150 people responded, June to July 2021)</w:t>
      </w:r>
    </w:p>
    <w:p>
      <w:pPr>
        <w:pStyle w:val="ListParagraph"/>
        <w:numPr>
          <w:ilvl w:val="1"/>
          <w:numId w:val="3"/>
        </w:numPr>
        <w:tabs>
          <w:tab w:pos="1400" w:val="left" w:leader="none"/>
          <w:tab w:pos="1401" w:val="left" w:leader="none"/>
        </w:tabs>
        <w:spacing w:line="237" w:lineRule="auto" w:before="6" w:after="0"/>
        <w:ind w:left="1400" w:right="940" w:hanging="361"/>
        <w:jc w:val="left"/>
        <w:rPr>
          <w:rFonts w:ascii="Symbol" w:hAnsi="Symbol"/>
          <w:sz w:val="22"/>
        </w:rPr>
      </w:pPr>
      <w:r>
        <w:rPr>
          <w:b/>
          <w:sz w:val="22"/>
        </w:rPr>
        <w:t>People who had visited Emergency Departments </w:t>
      </w:r>
      <w:r>
        <w:rPr>
          <w:sz w:val="22"/>
        </w:rPr>
        <w:t>about their experiences and what could be done to help them access care in a different way (around 2000 people responded, July to August</w:t>
      </w:r>
      <w:r>
        <w:rPr>
          <w:spacing w:val="-4"/>
          <w:sz w:val="22"/>
        </w:rPr>
        <w:t> </w:t>
      </w:r>
      <w:r>
        <w:rPr>
          <w:sz w:val="22"/>
        </w:rPr>
        <w:t>2020)</w:t>
      </w:r>
    </w:p>
    <w:p>
      <w:pPr>
        <w:pStyle w:val="ListParagraph"/>
        <w:numPr>
          <w:ilvl w:val="1"/>
          <w:numId w:val="3"/>
        </w:numPr>
        <w:tabs>
          <w:tab w:pos="1403" w:val="left" w:leader="none"/>
          <w:tab w:pos="1404" w:val="left" w:leader="none"/>
        </w:tabs>
        <w:spacing w:line="240" w:lineRule="auto" w:before="0" w:after="0"/>
        <w:ind w:left="1403" w:right="884" w:hanging="363"/>
        <w:jc w:val="left"/>
        <w:rPr>
          <w:rFonts w:ascii="Symbol" w:hAnsi="Symbol"/>
          <w:sz w:val="22"/>
        </w:rPr>
      </w:pPr>
      <w:r>
        <w:rPr>
          <w:b/>
          <w:sz w:val="22"/>
        </w:rPr>
        <w:t>People and communities who face additional barriers </w:t>
      </w:r>
      <w:r>
        <w:rPr>
          <w:sz w:val="22"/>
        </w:rPr>
        <w:t>to accessing care, their representatives and others working alongside them to find out how we can address the barriers they</w:t>
      </w:r>
      <w:r>
        <w:rPr>
          <w:spacing w:val="-9"/>
          <w:sz w:val="22"/>
        </w:rPr>
        <w:t> </w:t>
      </w:r>
      <w:r>
        <w:rPr>
          <w:sz w:val="22"/>
        </w:rPr>
        <w:t>face.</w:t>
      </w:r>
    </w:p>
    <w:p>
      <w:pPr>
        <w:pStyle w:val="ListParagraph"/>
        <w:numPr>
          <w:ilvl w:val="1"/>
          <w:numId w:val="3"/>
        </w:numPr>
        <w:tabs>
          <w:tab w:pos="1403" w:val="left" w:leader="none"/>
          <w:tab w:pos="1404" w:val="left" w:leader="none"/>
        </w:tabs>
        <w:spacing w:line="237" w:lineRule="auto" w:before="2" w:after="0"/>
        <w:ind w:left="1403" w:right="1202" w:hanging="363"/>
        <w:jc w:val="left"/>
        <w:rPr>
          <w:rFonts w:ascii="Symbol" w:hAnsi="Symbol"/>
          <w:sz w:val="22"/>
        </w:rPr>
      </w:pPr>
      <w:r>
        <w:rPr>
          <w:b/>
          <w:sz w:val="22"/>
        </w:rPr>
        <w:t>Children, young people, their parents and carers </w:t>
      </w:r>
      <w:r>
        <w:rPr>
          <w:sz w:val="22"/>
        </w:rPr>
        <w:t>on what matters to them when receiving</w:t>
      </w:r>
      <w:r>
        <w:rPr>
          <w:spacing w:val="-4"/>
          <w:sz w:val="22"/>
        </w:rPr>
        <w:t> </w:t>
      </w:r>
      <w:r>
        <w:rPr>
          <w:sz w:val="22"/>
        </w:rPr>
        <w:t>hospital</w:t>
      </w:r>
      <w:r>
        <w:rPr>
          <w:spacing w:val="-3"/>
          <w:sz w:val="22"/>
        </w:rPr>
        <w:t> </w:t>
      </w:r>
      <w:r>
        <w:rPr>
          <w:sz w:val="22"/>
        </w:rPr>
        <w:t>care</w:t>
      </w:r>
      <w:r>
        <w:rPr>
          <w:spacing w:val="-5"/>
          <w:sz w:val="22"/>
        </w:rPr>
        <w:t> </w:t>
      </w:r>
      <w:r>
        <w:rPr>
          <w:sz w:val="22"/>
        </w:rPr>
        <w:t>(around</w:t>
      </w:r>
      <w:r>
        <w:rPr>
          <w:spacing w:val="-3"/>
          <w:sz w:val="22"/>
        </w:rPr>
        <w:t> </w:t>
      </w:r>
      <w:r>
        <w:rPr>
          <w:sz w:val="22"/>
        </w:rPr>
        <w:t>300</w:t>
      </w:r>
      <w:r>
        <w:rPr>
          <w:spacing w:val="-5"/>
          <w:sz w:val="22"/>
        </w:rPr>
        <w:t> </w:t>
      </w:r>
      <w:r>
        <w:rPr>
          <w:sz w:val="22"/>
        </w:rPr>
        <w:t>people</w:t>
      </w:r>
      <w:r>
        <w:rPr>
          <w:spacing w:val="-3"/>
          <w:sz w:val="22"/>
        </w:rPr>
        <w:t> </w:t>
      </w:r>
      <w:r>
        <w:rPr>
          <w:sz w:val="22"/>
        </w:rPr>
        <w:t>took</w:t>
      </w:r>
      <w:r>
        <w:rPr>
          <w:spacing w:val="-3"/>
          <w:sz w:val="22"/>
        </w:rPr>
        <w:t> </w:t>
      </w:r>
      <w:r>
        <w:rPr>
          <w:sz w:val="22"/>
        </w:rPr>
        <w:t>part,</w:t>
      </w:r>
      <w:r>
        <w:rPr>
          <w:spacing w:val="-1"/>
          <w:sz w:val="22"/>
        </w:rPr>
        <w:t> </w:t>
      </w:r>
      <w:r>
        <w:rPr>
          <w:sz w:val="22"/>
        </w:rPr>
        <w:t>November</w:t>
      </w:r>
      <w:r>
        <w:rPr>
          <w:spacing w:val="-4"/>
          <w:sz w:val="22"/>
        </w:rPr>
        <w:t> </w:t>
      </w:r>
      <w:r>
        <w:rPr>
          <w:sz w:val="22"/>
        </w:rPr>
        <w:t>to</w:t>
      </w:r>
      <w:r>
        <w:rPr>
          <w:spacing w:val="-5"/>
          <w:sz w:val="22"/>
        </w:rPr>
        <w:t> </w:t>
      </w:r>
      <w:r>
        <w:rPr>
          <w:sz w:val="22"/>
        </w:rPr>
        <w:t>December</w:t>
      </w:r>
      <w:r>
        <w:rPr>
          <w:spacing w:val="-34"/>
          <w:sz w:val="22"/>
        </w:rPr>
        <w:t> </w:t>
      </w:r>
      <w:r>
        <w:rPr>
          <w:sz w:val="22"/>
        </w:rPr>
        <w:t>2021)</w:t>
      </w:r>
    </w:p>
    <w:p>
      <w:pPr>
        <w:pStyle w:val="BodyText"/>
        <w:spacing w:before="196"/>
        <w:ind w:left="683" w:right="716"/>
      </w:pPr>
      <w:r>
        <w:rPr/>
        <w:t>Overall, people told us that being seen and treated quickly, being kept safe and well looked after and having enough staff with the right skills and experience were the most important things to them when thinking about their hospital care. For parents, carers and people using maternity services safety was the number one priority overall. For staff in our hospitals, addressing workforce</w:t>
      </w:r>
      <w:r>
        <w:rPr>
          <w:spacing w:val="-2"/>
        </w:rPr>
        <w:t> </w:t>
      </w:r>
      <w:r>
        <w:rPr/>
        <w:t>shortages</w:t>
      </w:r>
      <w:r>
        <w:rPr>
          <w:spacing w:val="-2"/>
        </w:rPr>
        <w:t> </w:t>
      </w:r>
      <w:r>
        <w:rPr/>
        <w:t>and</w:t>
      </w:r>
      <w:r>
        <w:rPr>
          <w:spacing w:val="-3"/>
        </w:rPr>
        <w:t> </w:t>
      </w:r>
      <w:r>
        <w:rPr/>
        <w:t>having</w:t>
      </w:r>
      <w:r>
        <w:rPr>
          <w:spacing w:val="-2"/>
        </w:rPr>
        <w:t> </w:t>
      </w:r>
      <w:r>
        <w:rPr/>
        <w:t>a</w:t>
      </w:r>
      <w:r>
        <w:rPr>
          <w:spacing w:val="-2"/>
        </w:rPr>
        <w:t> </w:t>
      </w:r>
      <w:r>
        <w:rPr/>
        <w:t>better</w:t>
      </w:r>
      <w:r>
        <w:rPr>
          <w:spacing w:val="-3"/>
        </w:rPr>
        <w:t> </w:t>
      </w:r>
      <w:r>
        <w:rPr/>
        <w:t>work-life</w:t>
      </w:r>
      <w:r>
        <w:rPr>
          <w:spacing w:val="-4"/>
        </w:rPr>
        <w:t> </w:t>
      </w:r>
      <w:r>
        <w:rPr/>
        <w:t>balance</w:t>
      </w:r>
      <w:r>
        <w:rPr>
          <w:spacing w:val="-2"/>
        </w:rPr>
        <w:t> </w:t>
      </w:r>
      <w:r>
        <w:rPr/>
        <w:t>were</w:t>
      </w:r>
      <w:r>
        <w:rPr>
          <w:spacing w:val="-4"/>
        </w:rPr>
        <w:t> </w:t>
      </w:r>
      <w:r>
        <w:rPr/>
        <w:t>highlighted</w:t>
      </w:r>
      <w:r>
        <w:rPr>
          <w:spacing w:val="-2"/>
        </w:rPr>
        <w:t> </w:t>
      </w:r>
      <w:r>
        <w:rPr/>
        <w:t>as</w:t>
      </w:r>
      <w:r>
        <w:rPr>
          <w:spacing w:val="-1"/>
        </w:rPr>
        <w:t> </w:t>
      </w:r>
      <w:r>
        <w:rPr/>
        <w:t>key</w:t>
      </w:r>
      <w:r>
        <w:rPr>
          <w:spacing w:val="-28"/>
        </w:rPr>
        <w:t> </w:t>
      </w:r>
      <w:r>
        <w:rPr/>
        <w:t>priorities.</w:t>
      </w:r>
    </w:p>
    <w:p>
      <w:pPr>
        <w:pStyle w:val="BodyText"/>
        <w:spacing w:before="201"/>
        <w:ind w:left="683" w:right="766" w:hanging="3"/>
      </w:pPr>
      <w:r>
        <w:rPr/>
        <w:t>Taking on board the feedback and insights from patients, staff, service-users and other stakeholders, our clinical teams have continued to develop and refine the different potential scenarios for how services could be organised in the future. Different ideas have been added in and/or discounted at various stages, based on evidence and feedback from clinical teams and wider stakeholders, as summarised in the diagram below:</w:t>
      </w:r>
    </w:p>
    <w:p>
      <w:pPr>
        <w:pStyle w:val="BodyText"/>
        <w:rPr>
          <w:sz w:val="20"/>
        </w:rPr>
      </w:pPr>
    </w:p>
    <w:p>
      <w:pPr>
        <w:pStyle w:val="BodyText"/>
        <w:rPr>
          <w:sz w:val="20"/>
        </w:rPr>
      </w:pPr>
    </w:p>
    <w:p>
      <w:pPr>
        <w:pStyle w:val="BodyText"/>
        <w:spacing w:before="2"/>
        <w:rPr>
          <w:sz w:val="12"/>
        </w:rPr>
      </w:pPr>
      <w:r>
        <w:rPr/>
        <w:drawing>
          <wp:anchor distT="0" distB="0" distL="0" distR="0" allowOverlap="1" layoutInCell="1" locked="0" behindDoc="0" simplePos="0" relativeHeight="4">
            <wp:simplePos x="0" y="0"/>
            <wp:positionH relativeFrom="page">
              <wp:posOffset>1183005</wp:posOffset>
            </wp:positionH>
            <wp:positionV relativeFrom="paragraph">
              <wp:posOffset>114042</wp:posOffset>
            </wp:positionV>
            <wp:extent cx="5306040" cy="2556510"/>
            <wp:effectExtent l="0" t="0" r="0" b="0"/>
            <wp:wrapTopAndBottom/>
            <wp:docPr id="9" name="image5.jpeg" descr="Timeline  Description automatically generated"/>
            <wp:cNvGraphicFramePr>
              <a:graphicFrameLocks noChangeAspect="1"/>
            </wp:cNvGraphicFramePr>
            <a:graphic>
              <a:graphicData uri="http://schemas.openxmlformats.org/drawingml/2006/picture">
                <pic:pic>
                  <pic:nvPicPr>
                    <pic:cNvPr id="10" name="image5.jpeg"/>
                    <pic:cNvPicPr/>
                  </pic:nvPicPr>
                  <pic:blipFill>
                    <a:blip r:embed="rId16" cstate="print"/>
                    <a:stretch>
                      <a:fillRect/>
                    </a:stretch>
                  </pic:blipFill>
                  <pic:spPr>
                    <a:xfrm>
                      <a:off x="0" y="0"/>
                      <a:ext cx="5306040" cy="2556510"/>
                    </a:xfrm>
                    <a:prstGeom prst="rect">
                      <a:avLst/>
                    </a:prstGeom>
                  </pic:spPr>
                </pic:pic>
              </a:graphicData>
            </a:graphic>
          </wp:anchor>
        </w:drawing>
      </w:r>
    </w:p>
    <w:p>
      <w:pPr>
        <w:spacing w:after="0"/>
        <w:rPr>
          <w:sz w:val="12"/>
        </w:rPr>
        <w:sectPr>
          <w:pgSz w:w="11920" w:h="16850"/>
          <w:pgMar w:header="0" w:footer="363" w:top="1320" w:bottom="640" w:left="760" w:right="420"/>
        </w:sectPr>
      </w:pPr>
    </w:p>
    <w:p>
      <w:pPr>
        <w:pStyle w:val="BodyText"/>
        <w:spacing w:before="81"/>
        <w:ind w:left="680" w:right="770"/>
      </w:pPr>
      <w:r>
        <w:rPr/>
        <w:t>Our clinical design process has produced a range of possible scenarios, which could potentially address the issues and challenges within our hospital services. Evaluation of these potential scenarios began during February and March 2022, involving a wide range of stakeholders, and is continuing during spring 2022. This will support the development of a Pre-Consultation Business Case, which will be published later in 2022.</w:t>
      </w:r>
    </w:p>
    <w:p>
      <w:pPr>
        <w:pStyle w:val="BodyText"/>
        <w:spacing w:line="244" w:lineRule="auto" w:before="196"/>
        <w:ind w:left="680" w:right="2173"/>
      </w:pPr>
      <w:r>
        <w:rPr/>
        <w:t>For more information on the Humber Acute Services Programme can be found at </w:t>
      </w:r>
      <w:hyperlink r:id="rId17">
        <w:r>
          <w:rPr>
            <w:color w:val="0000FF"/>
            <w:u w:val="single" w:color="0000FF"/>
          </w:rPr>
          <w:t>https://humberandnorthyorkshire.org.uk/our-work/humber-acute-services-review/</w:t>
        </w:r>
      </w:hyperlink>
    </w:p>
    <w:p>
      <w:pPr>
        <w:pStyle w:val="BodyText"/>
        <w:rPr>
          <w:sz w:val="20"/>
        </w:rPr>
      </w:pPr>
    </w:p>
    <w:p>
      <w:pPr>
        <w:pStyle w:val="BodyText"/>
        <w:spacing w:before="6"/>
        <w:rPr>
          <w:sz w:val="20"/>
        </w:rPr>
      </w:pPr>
    </w:p>
    <w:p>
      <w:pPr>
        <w:pStyle w:val="Heading4"/>
      </w:pPr>
      <w:bookmarkStart w:name="Humber Acute Services Programme - Proces" w:id="21"/>
      <w:bookmarkEnd w:id="21"/>
      <w:r>
        <w:rPr>
          <w:b w:val="0"/>
        </w:rPr>
      </w:r>
      <w:r>
        <w:rPr>
          <w:color w:val="4F81BB"/>
        </w:rPr>
        <w:t>Humber Acute Services Programme - Process update</w:t>
      </w:r>
    </w:p>
    <w:p>
      <w:pPr>
        <w:pStyle w:val="BodyText"/>
        <w:spacing w:before="10"/>
        <w:rPr>
          <w:b/>
          <w:sz w:val="20"/>
        </w:rPr>
      </w:pPr>
    </w:p>
    <w:p>
      <w:pPr>
        <w:pStyle w:val="BodyText"/>
        <w:ind w:left="680" w:right="856"/>
      </w:pPr>
      <w:r>
        <w:rPr/>
        <w:t>Working in partnership with other NHS organisations across the Humber, we have made some significant progress through the Humber Acute Services Programme during 2021-22.</w:t>
      </w:r>
    </w:p>
    <w:p>
      <w:pPr>
        <w:pStyle w:val="BodyText"/>
        <w:rPr>
          <w:sz w:val="24"/>
        </w:rPr>
      </w:pPr>
    </w:p>
    <w:p>
      <w:pPr>
        <w:pStyle w:val="BodyText"/>
        <w:spacing w:before="1"/>
      </w:pPr>
    </w:p>
    <w:p>
      <w:pPr>
        <w:pStyle w:val="Heading6"/>
        <w:spacing w:before="1"/>
        <w:ind w:left="679"/>
      </w:pPr>
      <w:bookmarkStart w:name="Interim Clinical Plan" w:id="22"/>
      <w:bookmarkEnd w:id="22"/>
      <w:r>
        <w:rPr>
          <w:b w:val="0"/>
        </w:rPr>
      </w:r>
      <w:r>
        <w:rPr>
          <w:color w:val="4F81BB"/>
        </w:rPr>
        <w:t>Interim Clinical Plan</w:t>
      </w:r>
    </w:p>
    <w:p>
      <w:pPr>
        <w:pStyle w:val="BodyText"/>
        <w:spacing w:before="160"/>
        <w:ind w:left="679" w:right="881"/>
      </w:pPr>
      <w:r>
        <w:rPr/>
        <w:t>Over the course of the year, the focus has been to put in place some important building blocks to establish joint services across the Humber. These building blocks include establishing joint clinical leadership working across both acute hospital trusts and the development of clinical strategies for each specialty – that help to address the health inequalities that exist within our communities, across a large and diverse geographical area.</w:t>
      </w:r>
    </w:p>
    <w:p>
      <w:pPr>
        <w:pStyle w:val="BodyText"/>
        <w:spacing w:before="119"/>
        <w:ind w:left="679" w:right="868"/>
      </w:pPr>
      <w:r>
        <w:rPr/>
        <w:t>Significant progress has been made despite the additional and ongoing pressures throughout the year caused by and responding to the Covid-19 pandemic. Some of the 2021-22 highlights include:</w:t>
      </w:r>
    </w:p>
    <w:p>
      <w:pPr>
        <w:pStyle w:val="ListParagraph"/>
        <w:numPr>
          <w:ilvl w:val="0"/>
          <w:numId w:val="7"/>
        </w:numPr>
        <w:tabs>
          <w:tab w:pos="1107" w:val="left" w:leader="none"/>
          <w:tab w:pos="1108" w:val="left" w:leader="none"/>
        </w:tabs>
        <w:spacing w:line="235" w:lineRule="auto" w:before="124" w:after="0"/>
        <w:ind w:left="1107" w:right="1270" w:hanging="361"/>
        <w:jc w:val="left"/>
        <w:rPr>
          <w:sz w:val="22"/>
        </w:rPr>
      </w:pPr>
      <w:r>
        <w:rPr>
          <w:b/>
          <w:sz w:val="22"/>
        </w:rPr>
        <w:t>Joint clinical leadership </w:t>
      </w:r>
      <w:r>
        <w:rPr>
          <w:sz w:val="22"/>
        </w:rPr>
        <w:t>in place across most specialties, with significant progress in others</w:t>
      </w:r>
    </w:p>
    <w:p>
      <w:pPr>
        <w:pStyle w:val="ListParagraph"/>
        <w:numPr>
          <w:ilvl w:val="0"/>
          <w:numId w:val="7"/>
        </w:numPr>
        <w:tabs>
          <w:tab w:pos="1107" w:val="left" w:leader="none"/>
          <w:tab w:pos="1108" w:val="left" w:leader="none"/>
        </w:tabs>
        <w:spacing w:line="240" w:lineRule="auto" w:before="4" w:after="0"/>
        <w:ind w:left="1107" w:right="889" w:hanging="361"/>
        <w:jc w:val="left"/>
        <w:rPr>
          <w:sz w:val="22"/>
        </w:rPr>
      </w:pPr>
      <w:r>
        <w:rPr>
          <w:b/>
          <w:sz w:val="22"/>
        </w:rPr>
        <w:t>Launch of the Humber neurology service </w:t>
      </w:r>
      <w:r>
        <w:rPr>
          <w:sz w:val="22"/>
        </w:rPr>
        <w:t>in October 2021 – the first Humber-wide specialty operating jointly across both trusts that will provide improved equity of access to services across the Humber. This includes improved </w:t>
      </w:r>
      <w:r>
        <w:rPr>
          <w:b/>
          <w:sz w:val="22"/>
        </w:rPr>
        <w:t>triaging of neurology referrals </w:t>
      </w:r>
      <w:r>
        <w:rPr>
          <w:sz w:val="22"/>
        </w:rPr>
        <w:t>that allows patients to be immediately directed to the right sub-specialist clinics through a ‘straight to test’ pathway, minimising the overall number of appointments needed, and reducing overall waiting times</w:t>
      </w:r>
    </w:p>
    <w:p>
      <w:pPr>
        <w:pStyle w:val="ListParagraph"/>
        <w:numPr>
          <w:ilvl w:val="0"/>
          <w:numId w:val="7"/>
        </w:numPr>
        <w:tabs>
          <w:tab w:pos="1107" w:val="left" w:leader="none"/>
          <w:tab w:pos="1108" w:val="left" w:leader="none"/>
        </w:tabs>
        <w:spacing w:line="235" w:lineRule="auto" w:before="0" w:after="0"/>
        <w:ind w:left="1107" w:right="817" w:hanging="361"/>
        <w:jc w:val="left"/>
        <w:rPr>
          <w:b/>
          <w:sz w:val="22"/>
        </w:rPr>
      </w:pPr>
      <w:r>
        <w:rPr>
          <w:b/>
          <w:sz w:val="22"/>
        </w:rPr>
        <w:t>Using the learning from the successful application of the Connected Health Network </w:t>
      </w:r>
      <w:r>
        <w:rPr>
          <w:sz w:val="22"/>
        </w:rPr>
        <w:t>model to cardiology patients and exploring the potential for </w:t>
      </w:r>
      <w:r>
        <w:rPr>
          <w:b/>
          <w:sz w:val="22"/>
        </w:rPr>
        <w:t>implementing similar approaches across other</w:t>
      </w:r>
      <w:r>
        <w:rPr>
          <w:b/>
          <w:spacing w:val="-1"/>
          <w:sz w:val="22"/>
        </w:rPr>
        <w:t> </w:t>
      </w:r>
      <w:r>
        <w:rPr>
          <w:b/>
          <w:sz w:val="22"/>
        </w:rPr>
        <w:t>specialties</w:t>
      </w:r>
    </w:p>
    <w:p>
      <w:pPr>
        <w:pStyle w:val="ListParagraph"/>
        <w:numPr>
          <w:ilvl w:val="0"/>
          <w:numId w:val="7"/>
        </w:numPr>
        <w:tabs>
          <w:tab w:pos="1107" w:val="left" w:leader="none"/>
          <w:tab w:pos="1108" w:val="left" w:leader="none"/>
        </w:tabs>
        <w:spacing w:line="240" w:lineRule="auto" w:before="4" w:after="0"/>
        <w:ind w:left="1107" w:right="884" w:hanging="361"/>
        <w:jc w:val="left"/>
        <w:rPr>
          <w:sz w:val="22"/>
        </w:rPr>
      </w:pPr>
      <w:r>
        <w:rPr>
          <w:b/>
          <w:sz w:val="22"/>
        </w:rPr>
        <w:t>Working with the Elective Recovery Programme </w:t>
      </w:r>
      <w:r>
        <w:rPr>
          <w:sz w:val="22"/>
        </w:rPr>
        <w:t>to help people look after themselves and stay well – through the </w:t>
      </w:r>
      <w:r>
        <w:rPr>
          <w:b/>
          <w:sz w:val="22"/>
        </w:rPr>
        <w:t>waiting well initiative that focused on cardiology patients </w:t>
      </w:r>
      <w:r>
        <w:rPr>
          <w:sz w:val="22"/>
        </w:rPr>
        <w:t>who had experienced delays in accessing appointments, as a direct result of the Covid-19 pandemic</w:t>
      </w:r>
    </w:p>
    <w:p>
      <w:pPr>
        <w:pStyle w:val="ListParagraph"/>
        <w:numPr>
          <w:ilvl w:val="0"/>
          <w:numId w:val="7"/>
        </w:numPr>
        <w:tabs>
          <w:tab w:pos="1108" w:val="left" w:leader="none"/>
        </w:tabs>
        <w:spacing w:line="235" w:lineRule="auto" w:before="1" w:after="0"/>
        <w:ind w:left="1107" w:right="1379" w:hanging="361"/>
        <w:jc w:val="both"/>
        <w:rPr>
          <w:sz w:val="22"/>
        </w:rPr>
      </w:pPr>
      <w:r>
        <w:rPr>
          <w:b/>
          <w:sz w:val="22"/>
        </w:rPr>
        <w:t>Transforming ophthalmic outpatient services </w:t>
      </w:r>
      <w:r>
        <w:rPr>
          <w:sz w:val="22"/>
        </w:rPr>
        <w:t>through the development of an Eye Electronic Referral System (EeRS) that will improve </w:t>
      </w:r>
      <w:r>
        <w:rPr>
          <w:b/>
          <w:sz w:val="22"/>
        </w:rPr>
        <w:t>patient access </w:t>
      </w:r>
      <w:r>
        <w:rPr>
          <w:sz w:val="22"/>
        </w:rPr>
        <w:t>to services, with improved quality and tracking of referrals into hospital and clinic</w:t>
      </w:r>
      <w:r>
        <w:rPr>
          <w:spacing w:val="-39"/>
          <w:sz w:val="22"/>
        </w:rPr>
        <w:t> </w:t>
      </w:r>
      <w:r>
        <w:rPr>
          <w:sz w:val="22"/>
        </w:rPr>
        <w:t>appointments</w:t>
      </w:r>
    </w:p>
    <w:p>
      <w:pPr>
        <w:pStyle w:val="ListParagraph"/>
        <w:numPr>
          <w:ilvl w:val="0"/>
          <w:numId w:val="7"/>
        </w:numPr>
        <w:tabs>
          <w:tab w:pos="1107" w:val="left" w:leader="none"/>
          <w:tab w:pos="1108" w:val="left" w:leader="none"/>
        </w:tabs>
        <w:spacing w:line="240" w:lineRule="auto" w:before="3" w:after="0"/>
        <w:ind w:left="1107" w:right="1049" w:hanging="361"/>
        <w:jc w:val="left"/>
        <w:rPr>
          <w:sz w:val="22"/>
        </w:rPr>
      </w:pPr>
      <w:r>
        <w:rPr>
          <w:sz w:val="22"/>
        </w:rPr>
        <w:t>Developing </w:t>
      </w:r>
      <w:r>
        <w:rPr>
          <w:b/>
          <w:sz w:val="22"/>
        </w:rPr>
        <w:t>a digital referral pathway for dermatology patients </w:t>
      </w:r>
      <w:r>
        <w:rPr>
          <w:sz w:val="22"/>
        </w:rPr>
        <w:t>that allows GPs to include digital images for review by specialist consultants, </w:t>
      </w:r>
      <w:r>
        <w:rPr>
          <w:b/>
          <w:sz w:val="22"/>
        </w:rPr>
        <w:t>transforming the referrals process </w:t>
      </w:r>
      <w:r>
        <w:rPr>
          <w:sz w:val="22"/>
        </w:rPr>
        <w:t>and </w:t>
      </w:r>
      <w:r>
        <w:rPr>
          <w:b/>
          <w:sz w:val="22"/>
        </w:rPr>
        <w:t>optimising capacity and waiting lists </w:t>
      </w:r>
      <w:r>
        <w:rPr>
          <w:sz w:val="22"/>
        </w:rPr>
        <w:t>by reducing inappropriate referrals and allowing more time to focus on those requiring acute interventions. Similar arrangements are also being explored for Ear, Nose and Throat</w:t>
      </w:r>
      <w:r>
        <w:rPr>
          <w:spacing w:val="-26"/>
          <w:sz w:val="22"/>
        </w:rPr>
        <w:t> </w:t>
      </w:r>
      <w:r>
        <w:rPr>
          <w:sz w:val="22"/>
        </w:rPr>
        <w:t>referrals</w:t>
      </w:r>
    </w:p>
    <w:p>
      <w:pPr>
        <w:pStyle w:val="ListParagraph"/>
        <w:numPr>
          <w:ilvl w:val="0"/>
          <w:numId w:val="7"/>
        </w:numPr>
        <w:tabs>
          <w:tab w:pos="1110" w:val="left" w:leader="none"/>
          <w:tab w:pos="1111" w:val="left" w:leader="none"/>
        </w:tabs>
        <w:spacing w:line="240" w:lineRule="auto" w:before="0" w:after="0"/>
        <w:ind w:left="1110" w:right="985" w:hanging="363"/>
        <w:jc w:val="left"/>
        <w:rPr>
          <w:sz w:val="22"/>
        </w:rPr>
      </w:pPr>
      <w:r>
        <w:rPr>
          <w:sz w:val="22"/>
        </w:rPr>
        <w:t>Collaborative development of a </w:t>
      </w:r>
      <w:r>
        <w:rPr>
          <w:b/>
          <w:sz w:val="22"/>
        </w:rPr>
        <w:t>Consultant Led, Team Delivered service model for oncology </w:t>
      </w:r>
      <w:r>
        <w:rPr>
          <w:sz w:val="22"/>
        </w:rPr>
        <w:t>to address service pressures arising through increasing complexity of treatments, patient numbers and numbers of therapies offered to individual patients. This approach </w:t>
      </w:r>
      <w:r>
        <w:rPr>
          <w:b/>
          <w:sz w:val="22"/>
        </w:rPr>
        <w:t>makes best use of our resources, ensuring that patients are seen at the right time, in the right place, by the right person</w:t>
      </w:r>
      <w:r>
        <w:rPr>
          <w:sz w:val="22"/>
        </w:rPr>
        <w:t>, while optimising the consultant’s availability to focus on the most clinically appropriate</w:t>
      </w:r>
      <w:r>
        <w:rPr>
          <w:spacing w:val="-12"/>
          <w:sz w:val="22"/>
        </w:rPr>
        <w:t> </w:t>
      </w:r>
      <w:r>
        <w:rPr>
          <w:sz w:val="22"/>
        </w:rPr>
        <w:t>cases.</w:t>
      </w:r>
    </w:p>
    <w:p>
      <w:pPr>
        <w:spacing w:after="0" w:line="240" w:lineRule="auto"/>
        <w:jc w:val="left"/>
        <w:rPr>
          <w:sz w:val="22"/>
        </w:rPr>
        <w:sectPr>
          <w:pgSz w:w="11920" w:h="16850"/>
          <w:pgMar w:header="0" w:footer="363" w:top="1320" w:bottom="640" w:left="760" w:right="420"/>
        </w:sectPr>
      </w:pPr>
    </w:p>
    <w:p>
      <w:pPr>
        <w:pStyle w:val="Heading4"/>
        <w:spacing w:before="79"/>
      </w:pPr>
      <w:bookmarkStart w:name="Core hospital services" w:id="23"/>
      <w:bookmarkEnd w:id="23"/>
      <w:r>
        <w:rPr>
          <w:b w:val="0"/>
        </w:rPr>
      </w:r>
      <w:r>
        <w:rPr>
          <w:color w:val="4F81BB"/>
        </w:rPr>
        <w:t>Core hospital services</w:t>
      </w:r>
    </w:p>
    <w:p>
      <w:pPr>
        <w:pStyle w:val="BodyText"/>
        <w:spacing w:before="160"/>
        <w:ind w:left="680" w:right="709"/>
      </w:pPr>
      <w:r>
        <w:rPr/>
        <w:t>Throughout the year we have undertaken extensive engagement with patients, the public, staff and other stakeholders. This has helped us gather views and perspectives from people who use hospital services and those who might be impacted by any changes to them.</w:t>
      </w:r>
    </w:p>
    <w:p>
      <w:pPr>
        <w:pStyle w:val="BodyText"/>
        <w:spacing w:before="122"/>
        <w:ind w:left="679" w:right="720"/>
      </w:pPr>
      <w:r>
        <w:rPr/>
        <w:t>Overall, people told us that being seen and treated quickly, being kept safe and well looked after and having enough staff with the right skills and experience were the most important things to them when thinking about their hospital</w:t>
      </w:r>
      <w:r>
        <w:rPr>
          <w:spacing w:val="-12"/>
        </w:rPr>
        <w:t> </w:t>
      </w:r>
      <w:r>
        <w:rPr/>
        <w:t>care.</w:t>
      </w:r>
    </w:p>
    <w:p>
      <w:pPr>
        <w:pStyle w:val="BodyText"/>
        <w:spacing w:before="119"/>
        <w:ind w:left="679" w:right="783"/>
      </w:pPr>
      <w:r>
        <w:rPr/>
        <w:t>The feedback and insights gathered have helped to influence the thinking around possible scenarios for the future, as our clinical teams have continued to develop and refine the different potential scenarios based on all the available evidence and stakeholder feedback.</w:t>
      </w:r>
    </w:p>
    <w:p>
      <w:pPr>
        <w:pStyle w:val="BodyText"/>
        <w:rPr>
          <w:sz w:val="24"/>
        </w:rPr>
      </w:pPr>
    </w:p>
    <w:p>
      <w:pPr>
        <w:pStyle w:val="BodyText"/>
        <w:spacing w:before="5"/>
        <w:rPr>
          <w:sz w:val="24"/>
        </w:rPr>
      </w:pPr>
    </w:p>
    <w:p>
      <w:pPr>
        <w:pStyle w:val="Heading4"/>
      </w:pPr>
      <w:bookmarkStart w:name="Building better places" w:id="24"/>
      <w:bookmarkEnd w:id="24"/>
      <w:r>
        <w:rPr>
          <w:b w:val="0"/>
        </w:rPr>
      </w:r>
      <w:r>
        <w:rPr>
          <w:color w:val="4F81BB"/>
        </w:rPr>
        <w:t>Building better places</w:t>
      </w:r>
    </w:p>
    <w:p>
      <w:pPr>
        <w:pStyle w:val="BodyText"/>
        <w:spacing w:before="163"/>
        <w:ind w:left="680" w:right="782"/>
      </w:pPr>
      <w:r>
        <w:rPr/>
        <w:t>Alongside the work to design potential new ways of organising services and providing care, we have continued to develop plans for new and improved buildings to provide services from in the future. Work has also been undertaken in parallel to ensure it is possible to quickly move forward on building work as soon as plans for the future shape of services have been agreed and the necessary funding is in place.</w:t>
      </w:r>
    </w:p>
    <w:p>
      <w:pPr>
        <w:pStyle w:val="BodyText"/>
        <w:spacing w:before="199"/>
        <w:ind w:left="680" w:right="717"/>
      </w:pPr>
      <w:r>
        <w:rPr/>
        <w:t>An Expression of Interest has been submitted to be part of the national New Hospitals Programme. A total of £720 million is being sought to rebuild and refurbish our hospitals on both sides of the Humber. If successful in securing the funding, the investment will be used to build a brand-new hospital in Scunthorpe, with the remainder of the funding used to create new facilities at Hull Royal Infirmary, the Diana, Princess of Wales Hospital in Grimsby and Castle Hill Hospital in Cottingham.</w:t>
      </w:r>
    </w:p>
    <w:p>
      <w:pPr>
        <w:pStyle w:val="BodyText"/>
        <w:spacing w:before="200"/>
        <w:ind w:left="680"/>
      </w:pPr>
      <w:r>
        <w:rPr/>
        <w:t>An announcement on the outcome of our bid is expected later in 2022.</w:t>
      </w:r>
    </w:p>
    <w:p>
      <w:pPr>
        <w:spacing w:after="0"/>
        <w:sectPr>
          <w:pgSz w:w="11920" w:h="16850"/>
          <w:pgMar w:header="0" w:footer="363" w:top="1320" w:bottom="640" w:left="760" w:right="420"/>
        </w:sectPr>
      </w:pPr>
    </w:p>
    <w:p>
      <w:pPr>
        <w:pStyle w:val="Heading3"/>
      </w:pPr>
      <w:bookmarkStart w:name="Improving quality" w:id="25"/>
      <w:bookmarkEnd w:id="25"/>
      <w:r>
        <w:rPr>
          <w:b w:val="0"/>
        </w:rPr>
      </w:r>
      <w:bookmarkStart w:name="_bookmark1" w:id="26"/>
      <w:bookmarkEnd w:id="26"/>
      <w:r>
        <w:rPr>
          <w:b w:val="0"/>
        </w:rPr>
      </w:r>
      <w:r>
        <w:rPr>
          <w:color w:val="4F81BB"/>
        </w:rPr>
        <w:t>Improving quality</w:t>
      </w:r>
    </w:p>
    <w:p>
      <w:pPr>
        <w:pStyle w:val="BodyText"/>
        <w:spacing w:before="4"/>
        <w:rPr>
          <w:b/>
          <w:sz w:val="24"/>
        </w:rPr>
      </w:pPr>
    </w:p>
    <w:p>
      <w:pPr>
        <w:spacing w:before="1"/>
        <w:ind w:left="680" w:right="0" w:firstLine="0"/>
        <w:jc w:val="left"/>
        <w:rPr>
          <w:b/>
          <w:sz w:val="28"/>
        </w:rPr>
      </w:pPr>
      <w:r>
        <w:rPr>
          <w:b/>
          <w:color w:val="4F81BB"/>
          <w:sz w:val="28"/>
        </w:rPr>
        <w:t>Delivering safe, high quality services</w:t>
      </w:r>
    </w:p>
    <w:p>
      <w:pPr>
        <w:pStyle w:val="BodyText"/>
        <w:spacing w:before="7"/>
        <w:rPr>
          <w:b/>
          <w:sz w:val="24"/>
        </w:rPr>
      </w:pPr>
    </w:p>
    <w:p>
      <w:pPr>
        <w:pStyle w:val="BodyText"/>
        <w:ind w:left="679" w:right="1149"/>
      </w:pPr>
      <w:r>
        <w:rPr/>
        <w:t>Throughout 2021-2022 North Lincolnshire CCG has continued its passion and dedication to commissioning and delivering high quality, safe services for its local population.</w:t>
      </w:r>
    </w:p>
    <w:p>
      <w:pPr>
        <w:pStyle w:val="BodyText"/>
      </w:pPr>
    </w:p>
    <w:p>
      <w:pPr>
        <w:pStyle w:val="BodyText"/>
        <w:ind w:left="679" w:right="906"/>
      </w:pPr>
      <w:r>
        <w:rPr/>
        <w:t>During the last year the CCG has remained committed to continuous quality improvement, where innovation and collaboration have been central to achieving this. By utilising the strong partnerships across the North Lincolnshire system, services have continued to adapt and respond throughout the Covid-19 pandemic to the needs of our local population. Whilst responding to this changing environment, there has also been a clear focus on prevention, ensuring our commitment to improving the health outcomes for our people now, as well as our future generations.</w:t>
      </w:r>
    </w:p>
    <w:p>
      <w:pPr>
        <w:pStyle w:val="BodyText"/>
        <w:spacing w:before="11"/>
        <w:rPr>
          <w:sz w:val="21"/>
        </w:rPr>
      </w:pPr>
    </w:p>
    <w:p>
      <w:pPr>
        <w:pStyle w:val="BodyText"/>
        <w:ind w:left="680" w:right="709"/>
      </w:pPr>
      <w:r>
        <w:rPr/>
        <w:t>With the emphasis being on ensuring high quality services and continuous improvement, we are able to fulfil our statutory duty of improving the quality of care that is commissioned under section 14R of the Health and Social Care Act 2012.</w:t>
      </w:r>
    </w:p>
    <w:p>
      <w:pPr>
        <w:pStyle w:val="BodyText"/>
        <w:spacing w:before="10"/>
        <w:rPr>
          <w:sz w:val="21"/>
        </w:rPr>
      </w:pPr>
    </w:p>
    <w:p>
      <w:pPr>
        <w:pStyle w:val="BodyText"/>
        <w:ind w:left="679" w:right="748"/>
      </w:pPr>
      <w:r>
        <w:rPr/>
        <w:t>Throughout 2021-2022 we have remained dedicated to delivering against our ambitious five year Quality Strategy 2019-2024. The core ethos of enhancing quality for all is fully embedded across the CCG, with commitment to delivering against the objectives and outcomes observed throughout the year. The fundamental principles of co-production, integration and utilising feedback and data intelligence has enabled the CCG to continually seek improvements for the services it commissions. The quality strategy has five quality objectives that incorporate specific quality outcomes and results. These quality objectives are:</w:t>
      </w:r>
    </w:p>
    <w:p>
      <w:pPr>
        <w:pStyle w:val="BodyText"/>
        <w:spacing w:before="8"/>
        <w:rPr>
          <w:sz w:val="21"/>
        </w:rPr>
      </w:pPr>
    </w:p>
    <w:p>
      <w:pPr>
        <w:pStyle w:val="ListParagraph"/>
        <w:numPr>
          <w:ilvl w:val="0"/>
          <w:numId w:val="8"/>
        </w:numPr>
        <w:tabs>
          <w:tab w:pos="1401" w:val="left" w:leader="none"/>
        </w:tabs>
        <w:spacing w:line="240" w:lineRule="auto" w:before="0" w:after="0"/>
        <w:ind w:left="1400" w:right="0" w:hanging="361"/>
        <w:jc w:val="left"/>
        <w:rPr>
          <w:sz w:val="22"/>
        </w:rPr>
      </w:pPr>
      <w:r>
        <w:rPr>
          <w:sz w:val="22"/>
        </w:rPr>
        <w:t>Safe and Effective</w:t>
      </w:r>
      <w:r>
        <w:rPr>
          <w:spacing w:val="-7"/>
          <w:sz w:val="22"/>
        </w:rPr>
        <w:t> </w:t>
      </w:r>
      <w:r>
        <w:rPr>
          <w:sz w:val="22"/>
        </w:rPr>
        <w:t>Care</w:t>
      </w:r>
    </w:p>
    <w:p>
      <w:pPr>
        <w:pStyle w:val="BodyText"/>
        <w:spacing w:before="4"/>
        <w:ind w:left="1400" w:right="736"/>
      </w:pPr>
      <w:r>
        <w:rPr/>
        <w:t>We will commission care that is safe, effective and delivers a positive experience of care for our population</w:t>
      </w:r>
    </w:p>
    <w:p>
      <w:pPr>
        <w:pStyle w:val="ListParagraph"/>
        <w:numPr>
          <w:ilvl w:val="0"/>
          <w:numId w:val="8"/>
        </w:numPr>
        <w:tabs>
          <w:tab w:pos="1401" w:val="left" w:leader="none"/>
        </w:tabs>
        <w:spacing w:line="248" w:lineRule="exact" w:before="0" w:after="0"/>
        <w:ind w:left="1400" w:right="0" w:hanging="361"/>
        <w:jc w:val="left"/>
        <w:rPr>
          <w:sz w:val="22"/>
        </w:rPr>
      </w:pPr>
      <w:r>
        <w:rPr>
          <w:sz w:val="22"/>
        </w:rPr>
        <w:t>Quality in New Models of Care and</w:t>
      </w:r>
      <w:r>
        <w:rPr>
          <w:spacing w:val="-18"/>
          <w:sz w:val="22"/>
        </w:rPr>
        <w:t> </w:t>
      </w:r>
      <w:r>
        <w:rPr>
          <w:sz w:val="22"/>
        </w:rPr>
        <w:t>Commissioning</w:t>
      </w:r>
    </w:p>
    <w:p>
      <w:pPr>
        <w:pStyle w:val="BodyText"/>
        <w:spacing w:before="4"/>
        <w:ind w:left="1399" w:right="797"/>
      </w:pPr>
      <w:r>
        <w:rPr/>
        <w:t>We will develop our approach to quality improvement and assurance to reflect changing models of care delivery and commissioning</w:t>
      </w:r>
    </w:p>
    <w:p>
      <w:pPr>
        <w:pStyle w:val="ListParagraph"/>
        <w:numPr>
          <w:ilvl w:val="0"/>
          <w:numId w:val="8"/>
        </w:numPr>
        <w:tabs>
          <w:tab w:pos="1400" w:val="left" w:leader="none"/>
        </w:tabs>
        <w:spacing w:line="251" w:lineRule="exact" w:before="0" w:after="0"/>
        <w:ind w:left="1399" w:right="0" w:hanging="363"/>
        <w:jc w:val="left"/>
        <w:rPr>
          <w:sz w:val="22"/>
        </w:rPr>
      </w:pPr>
      <w:r>
        <w:rPr>
          <w:sz w:val="22"/>
        </w:rPr>
        <w:t>Quality Improvement and Assurance</w:t>
      </w:r>
      <w:r>
        <w:rPr>
          <w:spacing w:val="-10"/>
          <w:sz w:val="22"/>
        </w:rPr>
        <w:t> </w:t>
      </w:r>
      <w:r>
        <w:rPr>
          <w:sz w:val="22"/>
        </w:rPr>
        <w:t>Framework</w:t>
      </w:r>
    </w:p>
    <w:p>
      <w:pPr>
        <w:pStyle w:val="BodyText"/>
        <w:spacing w:before="3"/>
        <w:ind w:left="1399" w:right="846"/>
      </w:pPr>
      <w:r>
        <w:rPr/>
        <w:t>We will develop and use a consistent approach to improving and assuring the quality of the care and services commissioned for the people of North Lincolnshire</w:t>
      </w:r>
    </w:p>
    <w:p>
      <w:pPr>
        <w:pStyle w:val="ListParagraph"/>
        <w:numPr>
          <w:ilvl w:val="0"/>
          <w:numId w:val="8"/>
        </w:numPr>
        <w:tabs>
          <w:tab w:pos="1400" w:val="left" w:leader="none"/>
        </w:tabs>
        <w:spacing w:line="246" w:lineRule="exact" w:before="0" w:after="0"/>
        <w:ind w:left="1399" w:right="0" w:hanging="363"/>
        <w:jc w:val="left"/>
        <w:rPr>
          <w:sz w:val="22"/>
        </w:rPr>
      </w:pPr>
      <w:r>
        <w:rPr>
          <w:sz w:val="22"/>
        </w:rPr>
        <w:t>Public and Patient Involvement and</w:t>
      </w:r>
      <w:r>
        <w:rPr>
          <w:spacing w:val="-6"/>
          <w:sz w:val="22"/>
        </w:rPr>
        <w:t> </w:t>
      </w:r>
      <w:r>
        <w:rPr>
          <w:sz w:val="22"/>
        </w:rPr>
        <w:t>Engagement</w:t>
      </w:r>
    </w:p>
    <w:p>
      <w:pPr>
        <w:pStyle w:val="BodyText"/>
        <w:spacing w:before="4"/>
        <w:ind w:left="1399" w:right="737"/>
      </w:pPr>
      <w:r>
        <w:rPr/>
        <w:t>We will work with partners, members of the public and patients in North Lincolnshire and beyond to secure improvement in quality at scale and pace</w:t>
      </w:r>
    </w:p>
    <w:p>
      <w:pPr>
        <w:pStyle w:val="ListParagraph"/>
        <w:numPr>
          <w:ilvl w:val="0"/>
          <w:numId w:val="8"/>
        </w:numPr>
        <w:tabs>
          <w:tab w:pos="1400" w:val="left" w:leader="none"/>
        </w:tabs>
        <w:spacing w:line="248" w:lineRule="exact" w:before="0" w:after="0"/>
        <w:ind w:left="1399" w:right="0" w:hanging="363"/>
        <w:jc w:val="left"/>
        <w:rPr>
          <w:sz w:val="22"/>
        </w:rPr>
      </w:pPr>
      <w:r>
        <w:rPr>
          <w:sz w:val="22"/>
        </w:rPr>
        <w:t>Data and</w:t>
      </w:r>
      <w:r>
        <w:rPr>
          <w:spacing w:val="-5"/>
          <w:sz w:val="22"/>
        </w:rPr>
        <w:t> </w:t>
      </w:r>
      <w:r>
        <w:rPr>
          <w:sz w:val="22"/>
        </w:rPr>
        <w:t>Intelligence</w:t>
      </w:r>
    </w:p>
    <w:p>
      <w:pPr>
        <w:pStyle w:val="BodyText"/>
        <w:spacing w:before="4"/>
        <w:ind w:left="1399" w:right="1091"/>
      </w:pPr>
      <w:r>
        <w:rPr/>
        <w:t>We will use data and intelligence to identify priorities for quality improvement that will have the greatest positive impact on quality for the people of North Lincolnshire.</w:t>
      </w:r>
    </w:p>
    <w:p>
      <w:pPr>
        <w:pStyle w:val="BodyText"/>
        <w:rPr>
          <w:sz w:val="24"/>
        </w:rPr>
      </w:pPr>
    </w:p>
    <w:p>
      <w:pPr>
        <w:pStyle w:val="BodyText"/>
        <w:spacing w:before="4"/>
        <w:rPr>
          <w:sz w:val="20"/>
        </w:rPr>
      </w:pPr>
    </w:p>
    <w:p>
      <w:pPr>
        <w:pStyle w:val="Heading4"/>
        <w:spacing w:before="1"/>
      </w:pPr>
      <w:bookmarkStart w:name="Quality assurance throughout the Covid-1" w:id="27"/>
      <w:bookmarkEnd w:id="27"/>
      <w:r>
        <w:rPr>
          <w:b w:val="0"/>
        </w:rPr>
      </w:r>
      <w:r>
        <w:rPr>
          <w:color w:val="4F81BB"/>
        </w:rPr>
        <w:t>Quality assurance throughout the Covid-19 pandemic</w:t>
      </w:r>
    </w:p>
    <w:p>
      <w:pPr>
        <w:pStyle w:val="BodyText"/>
        <w:spacing w:before="7"/>
        <w:rPr>
          <w:b/>
          <w:sz w:val="21"/>
        </w:rPr>
      </w:pPr>
    </w:p>
    <w:p>
      <w:pPr>
        <w:pStyle w:val="BodyText"/>
        <w:ind w:left="680" w:right="1076"/>
      </w:pPr>
      <w:r>
        <w:rPr/>
        <w:t>As a CCG we are committed to ensuring the highest levels of quality for the services that we commission. We seek to commission and deliver safe, effective, high quality care.</w:t>
      </w:r>
    </w:p>
    <w:p>
      <w:pPr>
        <w:pStyle w:val="BodyText"/>
        <w:spacing w:before="2"/>
      </w:pPr>
    </w:p>
    <w:p>
      <w:pPr>
        <w:pStyle w:val="BodyText"/>
        <w:ind w:left="679" w:right="894"/>
      </w:pPr>
      <w:r>
        <w:rPr/>
        <w:t>We monitor the quality of services across North Lincolnshire using quality oversight processes which measure impact and outcomes against the quality standards that are set nationally, and those that we have set locally. These standards include patient experience, patient outcomes and patient safety.</w:t>
      </w:r>
    </w:p>
    <w:p>
      <w:pPr>
        <w:pStyle w:val="BodyText"/>
      </w:pPr>
    </w:p>
    <w:p>
      <w:pPr>
        <w:pStyle w:val="BodyText"/>
        <w:ind w:left="680" w:right="892"/>
      </w:pPr>
      <w:r>
        <w:rPr/>
        <w:t>Having adapted very quickly in 2020 to the Covid-19 pandemic, the assurance mechanisms at that time also changed to ensure robust oversight was maintained, whilst supporting provider</w:t>
      </w:r>
    </w:p>
    <w:p>
      <w:pPr>
        <w:spacing w:after="0"/>
        <w:sectPr>
          <w:pgSz w:w="11920" w:h="16850"/>
          <w:pgMar w:header="0" w:footer="363" w:top="1320" w:bottom="640" w:left="760" w:right="420"/>
        </w:sectPr>
      </w:pPr>
    </w:p>
    <w:p>
      <w:pPr>
        <w:pStyle w:val="BodyText"/>
        <w:spacing w:before="81"/>
        <w:ind w:left="679" w:right="917"/>
      </w:pPr>
      <w:r>
        <w:rPr/>
        <w:t>organisations and reducing any unnecessary burden. Following the success of these changes many have remained in place and have contributed to further developing partnership working and increasing collaboration, whilst maintaining the statutory functions of the CCG.</w:t>
      </w:r>
    </w:p>
    <w:p>
      <w:pPr>
        <w:pStyle w:val="BodyText"/>
        <w:spacing w:before="7"/>
        <w:rPr>
          <w:sz w:val="21"/>
        </w:rPr>
      </w:pPr>
    </w:p>
    <w:p>
      <w:pPr>
        <w:pStyle w:val="BodyText"/>
        <w:ind w:left="679" w:right="751"/>
      </w:pPr>
      <w:r>
        <w:rPr/>
        <w:t>Robust oversight of service provision across the providers organisations has continued to be reported into the Quality, Performance and Finance Committee and into the Governing Body. In addition to the standard reporting workplan, other focused assurance work has also taken place across the year, such as a detailed review of the local maternity provision, review of the Child and Adolescent Mental Health Service and completion of Safe and Wellbeing reviews for those in Specialist Mental Health or Learning Disability Provision. All identified learning and associated actions are continually monitored for progress and impact via the relevant</w:t>
      </w:r>
      <w:r>
        <w:rPr>
          <w:spacing w:val="-39"/>
        </w:rPr>
        <w:t> </w:t>
      </w:r>
      <w:r>
        <w:rPr/>
        <w:t>forums.</w:t>
      </w:r>
    </w:p>
    <w:p>
      <w:pPr>
        <w:pStyle w:val="BodyText"/>
        <w:spacing w:before="1"/>
      </w:pPr>
    </w:p>
    <w:p>
      <w:pPr>
        <w:pStyle w:val="BodyText"/>
        <w:ind w:left="679" w:right="869"/>
      </w:pPr>
      <w:r>
        <w:rPr/>
        <w:t>Throughout 2021-2022 the CCG Nursing and Quality Team has continued to support the response to the Covid-19 pandemic across the wider system, whilst maintaining core business functions within the CCG.</w:t>
      </w:r>
    </w:p>
    <w:p>
      <w:pPr>
        <w:pStyle w:val="BodyText"/>
        <w:rPr>
          <w:sz w:val="24"/>
        </w:rPr>
      </w:pPr>
    </w:p>
    <w:p>
      <w:pPr>
        <w:pStyle w:val="BodyText"/>
        <w:spacing w:before="1"/>
        <w:rPr>
          <w:sz w:val="20"/>
        </w:rPr>
      </w:pPr>
    </w:p>
    <w:p>
      <w:pPr>
        <w:pStyle w:val="Heading4"/>
      </w:pPr>
      <w:bookmarkStart w:name="Care homes" w:id="28"/>
      <w:bookmarkEnd w:id="28"/>
      <w:r>
        <w:rPr>
          <w:b w:val="0"/>
        </w:rPr>
      </w:r>
      <w:r>
        <w:rPr>
          <w:color w:val="4F81BB"/>
        </w:rPr>
        <w:t>Care homes</w:t>
      </w:r>
    </w:p>
    <w:p>
      <w:pPr>
        <w:pStyle w:val="BodyText"/>
        <w:spacing w:before="10"/>
        <w:rPr>
          <w:b/>
          <w:sz w:val="21"/>
        </w:rPr>
      </w:pPr>
    </w:p>
    <w:p>
      <w:pPr>
        <w:pStyle w:val="BodyText"/>
        <w:ind w:left="680" w:right="888"/>
      </w:pPr>
      <w:r>
        <w:rPr/>
        <w:t>The continuing impact of the Covid-19 pandemic throughout the past year has remained challenging for the health and care system. The Care Home Oversight Group, established at the beginning of the pandemic to support our local care homes utilising a system wide partnership approach, has been maintained. This has enabled health and social care partners to come together twice a week, to share data and intelligence with the principal aim of supporting local care homes to prevent and/or manage any infectious outbreaks including Covid-19. This approach has continued to provide early identification of wider quality elements enabling bespoke support and actions to be instigated rapidly.</w:t>
      </w:r>
    </w:p>
    <w:p>
      <w:pPr>
        <w:pStyle w:val="BodyText"/>
      </w:pPr>
    </w:p>
    <w:p>
      <w:pPr>
        <w:pStyle w:val="BodyText"/>
        <w:spacing w:before="1"/>
        <w:ind w:left="680" w:right="940"/>
      </w:pPr>
      <w:r>
        <w:rPr/>
        <w:t>The CCG has remained instrumental in providing ongoing support, advice and training across all 58 care homes in North Lincolnshire. This has also included supporting the vaccination programme of both residents and staff within the care home sector. The outcome of these ongoing actions has resulted in a maintained improved prevention and outbreak management process across the care home sector and partnership support with a focus on improving outcomes for care home residents.</w:t>
      </w:r>
    </w:p>
    <w:p>
      <w:pPr>
        <w:pStyle w:val="BodyText"/>
        <w:rPr>
          <w:sz w:val="24"/>
        </w:rPr>
      </w:pPr>
    </w:p>
    <w:p>
      <w:pPr>
        <w:pStyle w:val="BodyText"/>
        <w:rPr>
          <w:sz w:val="20"/>
        </w:rPr>
      </w:pPr>
    </w:p>
    <w:p>
      <w:pPr>
        <w:pStyle w:val="Heading4"/>
      </w:pPr>
      <w:bookmarkStart w:name="Infection, Prevention and Control" w:id="29"/>
      <w:bookmarkEnd w:id="29"/>
      <w:r>
        <w:rPr>
          <w:b w:val="0"/>
        </w:rPr>
      </w:r>
      <w:r>
        <w:rPr>
          <w:color w:val="4F81BB"/>
        </w:rPr>
        <w:t>Infection, Prevention and Control</w:t>
      </w:r>
    </w:p>
    <w:p>
      <w:pPr>
        <w:pStyle w:val="BodyText"/>
        <w:spacing w:before="1"/>
        <w:rPr>
          <w:b/>
        </w:rPr>
      </w:pPr>
    </w:p>
    <w:p>
      <w:pPr>
        <w:pStyle w:val="BodyText"/>
        <w:ind w:left="680" w:right="745"/>
      </w:pPr>
      <w:r>
        <w:rPr/>
        <w:t>The CCG has been instrumental in supporting the Infection, Prevention and Control (IPC) agenda across North Lincolnshire throughout the last year, maintaining a clear focus on the continuing response to the Covid-19 pandemic, whilst also ensuring the wider IPC areas did not lose focus.</w:t>
      </w:r>
    </w:p>
    <w:p>
      <w:pPr>
        <w:pStyle w:val="BodyText"/>
        <w:spacing w:before="2"/>
      </w:pPr>
    </w:p>
    <w:p>
      <w:pPr>
        <w:pStyle w:val="BodyText"/>
        <w:ind w:left="680" w:right="880"/>
      </w:pPr>
      <w:r>
        <w:rPr/>
        <w:t>Environmental audits and IPC visits have continued to be undertaken by the nursing team across community settings such as care homes, general practice surgeries and Covid-19 vaccination and testing facilities, to aid prevention and reduce the risk of any increased transmission. Additionally, the nursing team has supported Covid-19 outbreak incident management meetings, facilitating supportive actions and recommendations to reduce the risk of reoccurrence.</w:t>
      </w:r>
    </w:p>
    <w:p>
      <w:pPr>
        <w:pStyle w:val="BodyText"/>
        <w:spacing w:before="7"/>
        <w:rPr>
          <w:sz w:val="21"/>
        </w:rPr>
      </w:pPr>
    </w:p>
    <w:p>
      <w:pPr>
        <w:pStyle w:val="BodyText"/>
        <w:ind w:left="680" w:right="842"/>
      </w:pPr>
      <w:r>
        <w:rPr/>
        <w:t>During 2021-2022, we have also maintained Train the Trainer sessions relating to the correct donning and doffing of Personal Protective Equipment (PPE), alongside the continuation of the IPC Forums for care homes, domiciliary care providers and general practices. Working collaboratively with our Local Authority partners, we have provided all care homes, domiciliary care providers, general practices, school nursing teams and Lindsey Lodge Hospice with hand hygiene ‘glo boxes’. These are instrumental teaching aids with regard to ensuring good hand</w:t>
      </w:r>
    </w:p>
    <w:p>
      <w:pPr>
        <w:spacing w:after="0"/>
        <w:sectPr>
          <w:pgSz w:w="11920" w:h="16850"/>
          <w:pgMar w:header="0" w:footer="363" w:top="1320" w:bottom="640" w:left="760" w:right="420"/>
        </w:sectPr>
      </w:pPr>
    </w:p>
    <w:p>
      <w:pPr>
        <w:pStyle w:val="BodyText"/>
        <w:spacing w:before="81"/>
        <w:ind w:left="680" w:right="1271"/>
      </w:pPr>
      <w:r>
        <w:rPr/>
        <w:t>hygiene technique amongst all levels of staff. Training on the use of the ‘glo’ box has been provided.</w:t>
      </w:r>
    </w:p>
    <w:p>
      <w:pPr>
        <w:pStyle w:val="BodyText"/>
        <w:spacing w:before="8"/>
        <w:rPr>
          <w:sz w:val="21"/>
        </w:rPr>
      </w:pPr>
    </w:p>
    <w:p>
      <w:pPr>
        <w:pStyle w:val="BodyText"/>
        <w:ind w:left="680" w:right="747"/>
      </w:pPr>
      <w:r>
        <w:rPr/>
        <w:t>The CCG have also continued to prioritise reducing Escherichia Coli (E-Coli) rates across North Lincolnshire. Continuation of a rolling programme of delivery of IPC sessions for primary care and care home IPC leads covering a variety of topics including:</w:t>
      </w:r>
    </w:p>
    <w:p>
      <w:pPr>
        <w:pStyle w:val="BodyText"/>
        <w:spacing w:before="7"/>
        <w:rPr>
          <w:sz w:val="21"/>
        </w:rPr>
      </w:pPr>
    </w:p>
    <w:p>
      <w:pPr>
        <w:pStyle w:val="ListParagraph"/>
        <w:numPr>
          <w:ilvl w:val="0"/>
          <w:numId w:val="3"/>
        </w:numPr>
        <w:tabs>
          <w:tab w:pos="820" w:val="left" w:leader="none"/>
        </w:tabs>
        <w:spacing w:line="252" w:lineRule="exact" w:before="1" w:after="0"/>
        <w:ind w:left="819" w:right="0" w:hanging="140"/>
        <w:jc w:val="left"/>
        <w:rPr>
          <w:sz w:val="22"/>
        </w:rPr>
      </w:pPr>
      <w:r>
        <w:rPr>
          <w:sz w:val="22"/>
        </w:rPr>
        <w:t>The role of the IPC Lead including IPC</w:t>
      </w:r>
      <w:r>
        <w:rPr>
          <w:spacing w:val="-15"/>
          <w:sz w:val="22"/>
        </w:rPr>
        <w:t> </w:t>
      </w:r>
      <w:r>
        <w:rPr>
          <w:sz w:val="22"/>
        </w:rPr>
        <w:t>standards</w:t>
      </w:r>
    </w:p>
    <w:p>
      <w:pPr>
        <w:pStyle w:val="ListParagraph"/>
        <w:numPr>
          <w:ilvl w:val="0"/>
          <w:numId w:val="3"/>
        </w:numPr>
        <w:tabs>
          <w:tab w:pos="820" w:val="left" w:leader="none"/>
        </w:tabs>
        <w:spacing w:line="252" w:lineRule="exact" w:before="0" w:after="0"/>
        <w:ind w:left="819" w:right="0" w:hanging="140"/>
        <w:jc w:val="left"/>
        <w:rPr>
          <w:sz w:val="22"/>
        </w:rPr>
      </w:pPr>
      <w:r>
        <w:rPr>
          <w:sz w:val="22"/>
        </w:rPr>
        <w:t>Reducing the chain of infection – best practice, hand hygiene and audits and</w:t>
      </w:r>
      <w:r>
        <w:rPr>
          <w:spacing w:val="-27"/>
          <w:sz w:val="22"/>
        </w:rPr>
        <w:t> </w:t>
      </w:r>
      <w:r>
        <w:rPr>
          <w:sz w:val="22"/>
        </w:rPr>
        <w:t>PPE</w:t>
      </w:r>
    </w:p>
    <w:p>
      <w:pPr>
        <w:pStyle w:val="ListParagraph"/>
        <w:numPr>
          <w:ilvl w:val="0"/>
          <w:numId w:val="3"/>
        </w:numPr>
        <w:tabs>
          <w:tab w:pos="820" w:val="left" w:leader="none"/>
        </w:tabs>
        <w:spacing w:line="252" w:lineRule="exact" w:before="1" w:after="0"/>
        <w:ind w:left="819" w:right="0" w:hanging="140"/>
        <w:jc w:val="left"/>
        <w:rPr>
          <w:sz w:val="22"/>
        </w:rPr>
      </w:pPr>
      <w:r>
        <w:rPr>
          <w:sz w:val="22"/>
        </w:rPr>
        <w:t>Prevention of urinary tract infections – to dip or not to</w:t>
      </w:r>
      <w:r>
        <w:rPr>
          <w:spacing w:val="-13"/>
          <w:sz w:val="22"/>
        </w:rPr>
        <w:t> </w:t>
      </w:r>
      <w:r>
        <w:rPr>
          <w:sz w:val="22"/>
        </w:rPr>
        <w:t>dip</w:t>
      </w:r>
    </w:p>
    <w:p>
      <w:pPr>
        <w:pStyle w:val="ListParagraph"/>
        <w:numPr>
          <w:ilvl w:val="0"/>
          <w:numId w:val="3"/>
        </w:numPr>
        <w:tabs>
          <w:tab w:pos="820" w:val="left" w:leader="none"/>
        </w:tabs>
        <w:spacing w:line="252" w:lineRule="exact" w:before="0" w:after="0"/>
        <w:ind w:left="819" w:right="0" w:hanging="140"/>
        <w:jc w:val="left"/>
        <w:rPr>
          <w:sz w:val="22"/>
        </w:rPr>
      </w:pPr>
      <w:r>
        <w:rPr>
          <w:sz w:val="22"/>
        </w:rPr>
        <w:t>Waste management – environmental</w:t>
      </w:r>
      <w:r>
        <w:rPr>
          <w:spacing w:val="-8"/>
          <w:sz w:val="22"/>
        </w:rPr>
        <w:t> </w:t>
      </w:r>
      <w:r>
        <w:rPr>
          <w:sz w:val="22"/>
        </w:rPr>
        <w:t>cleaning</w:t>
      </w:r>
    </w:p>
    <w:p>
      <w:pPr>
        <w:pStyle w:val="ListParagraph"/>
        <w:numPr>
          <w:ilvl w:val="0"/>
          <w:numId w:val="3"/>
        </w:numPr>
        <w:tabs>
          <w:tab w:pos="821" w:val="left" w:leader="none"/>
        </w:tabs>
        <w:spacing w:line="252" w:lineRule="exact" w:before="0" w:after="0"/>
        <w:ind w:left="820" w:right="0" w:hanging="141"/>
        <w:jc w:val="left"/>
        <w:rPr>
          <w:sz w:val="22"/>
        </w:rPr>
      </w:pPr>
      <w:r>
        <w:rPr>
          <w:sz w:val="22"/>
        </w:rPr>
        <w:t>Equipment</w:t>
      </w:r>
      <w:r>
        <w:rPr>
          <w:spacing w:val="-1"/>
          <w:sz w:val="22"/>
        </w:rPr>
        <w:t> </w:t>
      </w:r>
      <w:r>
        <w:rPr>
          <w:sz w:val="22"/>
        </w:rPr>
        <w:t>cleaning</w:t>
      </w:r>
    </w:p>
    <w:p>
      <w:pPr>
        <w:pStyle w:val="ListParagraph"/>
        <w:numPr>
          <w:ilvl w:val="0"/>
          <w:numId w:val="3"/>
        </w:numPr>
        <w:tabs>
          <w:tab w:pos="821" w:val="left" w:leader="none"/>
        </w:tabs>
        <w:spacing w:line="240" w:lineRule="auto" w:before="6" w:after="0"/>
        <w:ind w:left="820" w:right="0" w:hanging="140"/>
        <w:jc w:val="left"/>
        <w:rPr>
          <w:sz w:val="22"/>
        </w:rPr>
      </w:pPr>
      <w:r>
        <w:rPr>
          <w:sz w:val="22"/>
        </w:rPr>
        <w:t>Asepsis – specimen collecting, laundry and linen</w:t>
      </w:r>
      <w:r>
        <w:rPr>
          <w:spacing w:val="-9"/>
          <w:sz w:val="22"/>
        </w:rPr>
        <w:t> </w:t>
      </w:r>
      <w:r>
        <w:rPr>
          <w:sz w:val="22"/>
        </w:rPr>
        <w:t>management</w:t>
      </w:r>
    </w:p>
    <w:p>
      <w:pPr>
        <w:pStyle w:val="BodyText"/>
        <w:spacing w:before="9"/>
        <w:rPr>
          <w:sz w:val="21"/>
        </w:rPr>
      </w:pPr>
    </w:p>
    <w:p>
      <w:pPr>
        <w:pStyle w:val="BodyText"/>
        <w:spacing w:line="250" w:lineRule="exact" w:before="1"/>
        <w:ind w:left="681"/>
      </w:pPr>
      <w:r>
        <w:rPr/>
        <w:t>Additional training which has commenced for care home staff during this year has included:</w:t>
      </w:r>
    </w:p>
    <w:p>
      <w:pPr>
        <w:pStyle w:val="ListParagraph"/>
        <w:numPr>
          <w:ilvl w:val="0"/>
          <w:numId w:val="5"/>
        </w:numPr>
        <w:tabs>
          <w:tab w:pos="1041" w:val="left" w:leader="none"/>
          <w:tab w:pos="1042" w:val="left" w:leader="none"/>
        </w:tabs>
        <w:spacing w:line="266" w:lineRule="exact" w:before="0" w:after="0"/>
        <w:ind w:left="1041" w:right="0" w:hanging="361"/>
        <w:jc w:val="left"/>
        <w:rPr>
          <w:sz w:val="22"/>
        </w:rPr>
      </w:pPr>
      <w:r>
        <w:rPr>
          <w:sz w:val="22"/>
        </w:rPr>
        <w:t>Oral</w:t>
      </w:r>
      <w:r>
        <w:rPr>
          <w:spacing w:val="-5"/>
          <w:sz w:val="22"/>
        </w:rPr>
        <w:t> </w:t>
      </w:r>
      <w:r>
        <w:rPr>
          <w:sz w:val="22"/>
        </w:rPr>
        <w:t>care</w:t>
      </w:r>
    </w:p>
    <w:p>
      <w:pPr>
        <w:pStyle w:val="ListParagraph"/>
        <w:numPr>
          <w:ilvl w:val="0"/>
          <w:numId w:val="5"/>
        </w:numPr>
        <w:tabs>
          <w:tab w:pos="1041" w:val="left" w:leader="none"/>
          <w:tab w:pos="1042" w:val="left" w:leader="none"/>
        </w:tabs>
        <w:spacing w:line="269" w:lineRule="exact" w:before="0" w:after="0"/>
        <w:ind w:left="1041" w:right="0" w:hanging="361"/>
        <w:jc w:val="left"/>
        <w:rPr>
          <w:sz w:val="22"/>
        </w:rPr>
      </w:pPr>
      <w:r>
        <w:rPr>
          <w:sz w:val="22"/>
        </w:rPr>
        <w:t>Catheter</w:t>
      </w:r>
      <w:r>
        <w:rPr>
          <w:spacing w:val="-4"/>
          <w:sz w:val="22"/>
        </w:rPr>
        <w:t> </w:t>
      </w:r>
      <w:r>
        <w:rPr>
          <w:sz w:val="22"/>
        </w:rPr>
        <w:t>care</w:t>
      </w:r>
    </w:p>
    <w:p>
      <w:pPr>
        <w:pStyle w:val="ListParagraph"/>
        <w:numPr>
          <w:ilvl w:val="0"/>
          <w:numId w:val="5"/>
        </w:numPr>
        <w:tabs>
          <w:tab w:pos="1044" w:val="left" w:leader="none"/>
          <w:tab w:pos="1045" w:val="left" w:leader="none"/>
        </w:tabs>
        <w:spacing w:line="269" w:lineRule="exact" w:before="0" w:after="0"/>
        <w:ind w:left="1044" w:right="0" w:hanging="364"/>
        <w:jc w:val="left"/>
        <w:rPr>
          <w:sz w:val="22"/>
        </w:rPr>
      </w:pPr>
      <w:r>
        <w:rPr>
          <w:sz w:val="22"/>
        </w:rPr>
        <w:t>Hydration</w:t>
      </w:r>
    </w:p>
    <w:p>
      <w:pPr>
        <w:pStyle w:val="ListParagraph"/>
        <w:numPr>
          <w:ilvl w:val="0"/>
          <w:numId w:val="5"/>
        </w:numPr>
        <w:tabs>
          <w:tab w:pos="1044" w:val="left" w:leader="none"/>
          <w:tab w:pos="1045" w:val="left" w:leader="none"/>
        </w:tabs>
        <w:spacing w:line="268" w:lineRule="exact" w:before="0" w:after="0"/>
        <w:ind w:left="1044" w:right="0" w:hanging="364"/>
        <w:jc w:val="left"/>
        <w:rPr>
          <w:sz w:val="22"/>
        </w:rPr>
      </w:pPr>
      <w:r>
        <w:rPr>
          <w:sz w:val="22"/>
        </w:rPr>
        <w:t>Managing outbreaks of diarrhoea and vomiting in a care home</w:t>
      </w:r>
      <w:r>
        <w:rPr>
          <w:spacing w:val="-28"/>
          <w:sz w:val="22"/>
        </w:rPr>
        <w:t> </w:t>
      </w:r>
      <w:r>
        <w:rPr>
          <w:sz w:val="22"/>
        </w:rPr>
        <w:t>setting</w:t>
      </w:r>
    </w:p>
    <w:p>
      <w:pPr>
        <w:pStyle w:val="ListParagraph"/>
        <w:numPr>
          <w:ilvl w:val="0"/>
          <w:numId w:val="5"/>
        </w:numPr>
        <w:tabs>
          <w:tab w:pos="1044" w:val="left" w:leader="none"/>
          <w:tab w:pos="1045" w:val="left" w:leader="none"/>
        </w:tabs>
        <w:spacing w:line="268" w:lineRule="exact" w:before="0" w:after="0"/>
        <w:ind w:left="1044" w:right="0" w:hanging="364"/>
        <w:jc w:val="left"/>
        <w:rPr>
          <w:sz w:val="22"/>
        </w:rPr>
      </w:pPr>
      <w:r>
        <w:rPr>
          <w:sz w:val="22"/>
        </w:rPr>
        <w:t>Scabies: the condition, treatment and</w:t>
      </w:r>
      <w:r>
        <w:rPr>
          <w:spacing w:val="-7"/>
          <w:sz w:val="22"/>
        </w:rPr>
        <w:t> </w:t>
      </w:r>
      <w:r>
        <w:rPr>
          <w:sz w:val="22"/>
        </w:rPr>
        <w:t>management</w:t>
      </w:r>
    </w:p>
    <w:p>
      <w:pPr>
        <w:pStyle w:val="ListParagraph"/>
        <w:numPr>
          <w:ilvl w:val="0"/>
          <w:numId w:val="5"/>
        </w:numPr>
        <w:tabs>
          <w:tab w:pos="1044" w:val="left" w:leader="none"/>
          <w:tab w:pos="1045" w:val="left" w:leader="none"/>
        </w:tabs>
        <w:spacing w:line="269" w:lineRule="exact" w:before="0" w:after="0"/>
        <w:ind w:left="1044" w:right="0" w:hanging="364"/>
        <w:jc w:val="left"/>
        <w:rPr>
          <w:sz w:val="22"/>
        </w:rPr>
      </w:pPr>
      <w:r>
        <w:rPr>
          <w:sz w:val="22"/>
        </w:rPr>
        <w:t>Blood borne</w:t>
      </w:r>
      <w:r>
        <w:rPr>
          <w:spacing w:val="-2"/>
          <w:sz w:val="22"/>
        </w:rPr>
        <w:t> </w:t>
      </w:r>
      <w:r>
        <w:rPr>
          <w:sz w:val="22"/>
        </w:rPr>
        <w:t>viruses.</w:t>
      </w:r>
    </w:p>
    <w:p>
      <w:pPr>
        <w:pStyle w:val="BodyText"/>
        <w:spacing w:before="4"/>
      </w:pPr>
    </w:p>
    <w:p>
      <w:pPr>
        <w:pStyle w:val="BodyText"/>
        <w:ind w:left="682" w:right="750"/>
      </w:pPr>
      <w:r>
        <w:rPr/>
        <w:t>The success of the above actions, as well as the wider IPC measures in relation to Covid-19, has resulted in the </w:t>
      </w:r>
      <w:r>
        <w:rPr>
          <w:spacing w:val="-3"/>
        </w:rPr>
        <w:t>CCG </w:t>
      </w:r>
      <w:r>
        <w:rPr/>
        <w:t>maintaining a reduction in E-Coli cases across North Lincolnshire, ending the year with 124 cases compared with the year end position of 2020-2021 which was 123 cases. The emphasis for this year will be to again sustain this improvement and continue to build on the current success. Furthermore, the year end position for clostridioides difficile infections was 21 against a trajectory of no more than 27 cases during 2021-2022. However, we end the year with two MRSA cases against a trajectory of zero</w:t>
      </w:r>
      <w:r>
        <w:rPr>
          <w:spacing w:val="-18"/>
        </w:rPr>
        <w:t> </w:t>
      </w:r>
      <w:r>
        <w:rPr/>
        <w:t>cases.</w:t>
      </w:r>
    </w:p>
    <w:p>
      <w:pPr>
        <w:pStyle w:val="BodyText"/>
        <w:rPr>
          <w:sz w:val="24"/>
        </w:rPr>
      </w:pPr>
    </w:p>
    <w:p>
      <w:pPr>
        <w:pStyle w:val="BodyText"/>
        <w:spacing w:before="1"/>
        <w:rPr>
          <w:sz w:val="20"/>
        </w:rPr>
      </w:pPr>
    </w:p>
    <w:p>
      <w:pPr>
        <w:pStyle w:val="Heading4"/>
      </w:pPr>
      <w:bookmarkStart w:name="Learning Disability Mortality Reviews (L" w:id="30"/>
      <w:bookmarkEnd w:id="30"/>
      <w:r>
        <w:rPr>
          <w:b w:val="0"/>
        </w:rPr>
      </w:r>
      <w:r>
        <w:rPr>
          <w:color w:val="4F81BB"/>
        </w:rPr>
        <w:t>Learning Disability Mortality Reviews (LeDeR)</w:t>
      </w:r>
    </w:p>
    <w:p>
      <w:pPr>
        <w:pStyle w:val="BodyText"/>
        <w:spacing w:before="10"/>
        <w:rPr>
          <w:b/>
          <w:sz w:val="21"/>
        </w:rPr>
      </w:pPr>
    </w:p>
    <w:p>
      <w:pPr>
        <w:pStyle w:val="BodyText"/>
        <w:ind w:left="680" w:right="746"/>
      </w:pPr>
      <w:r>
        <w:rPr/>
        <w:t>Following the publication of the first NHS England LeDeR policy in March 2021; Learning from lives and deaths - people with a learning disability and autistic people (LeDeR) policy 2021, North Lincolnshire CCG have been working collaboratively with Hull CCG, East Riding of Yorkshire CCG and North East Lincolnshire CCG to ensure we are meeting the requirements of the policy. This is alongside ensuring robust processes are in place for the management of the LeDeR programme, ensuring high quality reviews are undertaken with any learning extracted to shape future improvements across the system and the Humber area.</w:t>
      </w:r>
    </w:p>
    <w:p>
      <w:pPr>
        <w:pStyle w:val="BodyText"/>
        <w:spacing w:before="11"/>
        <w:rPr>
          <w:sz w:val="21"/>
        </w:rPr>
      </w:pPr>
    </w:p>
    <w:p>
      <w:pPr>
        <w:pStyle w:val="BodyText"/>
        <w:ind w:left="680" w:right="916"/>
      </w:pPr>
      <w:r>
        <w:rPr/>
        <w:t>North Lincolnshire CCG’s Local Area Contact (LAC), has been instrumental in enhancing the collaborative working across the geographical partnerships and wider Integrated Care System with 2021 seeing the first publication of a Humber LeDeR Annual Report, highlighting areas of good work as well as identified areas for learning and future collaborative working.</w:t>
      </w:r>
    </w:p>
    <w:p>
      <w:pPr>
        <w:pStyle w:val="BodyText"/>
        <w:rPr>
          <w:sz w:val="24"/>
        </w:rPr>
      </w:pPr>
    </w:p>
    <w:p>
      <w:pPr>
        <w:pStyle w:val="BodyText"/>
        <w:spacing w:before="2"/>
        <w:rPr>
          <w:sz w:val="20"/>
        </w:rPr>
      </w:pPr>
    </w:p>
    <w:p>
      <w:pPr>
        <w:pStyle w:val="Heading4"/>
      </w:pPr>
      <w:bookmarkStart w:name="Safeguarding" w:id="31"/>
      <w:bookmarkEnd w:id="31"/>
      <w:r>
        <w:rPr>
          <w:b w:val="0"/>
        </w:rPr>
      </w:r>
      <w:r>
        <w:rPr>
          <w:color w:val="4F81BB"/>
        </w:rPr>
        <w:t>Safeguarding</w:t>
      </w:r>
    </w:p>
    <w:p>
      <w:pPr>
        <w:pStyle w:val="BodyText"/>
        <w:spacing w:before="10"/>
        <w:rPr>
          <w:b/>
          <w:sz w:val="21"/>
        </w:rPr>
      </w:pPr>
    </w:p>
    <w:p>
      <w:pPr>
        <w:pStyle w:val="BodyText"/>
        <w:ind w:left="680" w:right="831"/>
      </w:pPr>
      <w:r>
        <w:rPr/>
        <w:t>During 2021-2022, North Lincolnshire CCG has fulfilled its safeguarding responsibilities as one of the organisation’s non-Covid-19 priorities. A consistent skilled workforce has maintained its commitment to working on a multi-agency basis with children’s and adult social care safeguarding teams and thus maintaining statutory responsibilities under the Care Act 2015, and the Children Act 2004.</w:t>
      </w:r>
    </w:p>
    <w:p>
      <w:pPr>
        <w:spacing w:after="0"/>
        <w:sectPr>
          <w:pgSz w:w="11920" w:h="16850"/>
          <w:pgMar w:header="0" w:footer="363" w:top="1320" w:bottom="640" w:left="760" w:right="420"/>
        </w:sectPr>
      </w:pPr>
    </w:p>
    <w:p>
      <w:pPr>
        <w:pStyle w:val="BodyText"/>
        <w:spacing w:before="81"/>
        <w:ind w:left="680" w:right="881"/>
      </w:pPr>
      <w:r>
        <w:rPr/>
        <w:t>Regular assurance framework reviews have been completed during 2021-2022 including ensuring continued compliance with NHS England and NHS Improvement Safeguarding Accountability and Assurance Framework (SAAF) 2019, the required contribution to the NHSE Safeguarding Commissioning Assurance Tool (SCAT), and contribution to the children’s commissioner following national case reviews.</w:t>
      </w:r>
    </w:p>
    <w:p>
      <w:pPr>
        <w:pStyle w:val="BodyText"/>
        <w:spacing w:before="7"/>
        <w:rPr>
          <w:sz w:val="21"/>
        </w:rPr>
      </w:pPr>
    </w:p>
    <w:p>
      <w:pPr>
        <w:pStyle w:val="BodyText"/>
        <w:spacing w:before="1"/>
        <w:ind w:left="680" w:right="940"/>
      </w:pPr>
      <w:r>
        <w:rPr/>
        <w:t>The CCG’s commitment to safeguarding partnerships has enabled us to be a pivotal leader in shaping the arrangements locally to ensure safe and robust arrangements were maintained during 2021-2022. In addition, the Safeguarding Executive and wider team have also ensured effective contribution to the safeguarding planning arrangements for the transition to the Integrated Care System during 2022.</w:t>
      </w:r>
    </w:p>
    <w:p>
      <w:pPr>
        <w:pStyle w:val="BodyText"/>
      </w:pPr>
    </w:p>
    <w:p>
      <w:pPr>
        <w:pStyle w:val="BodyText"/>
        <w:spacing w:before="1"/>
        <w:ind w:left="679" w:right="746"/>
      </w:pPr>
      <w:r>
        <w:rPr/>
        <w:t>The CCG’s Safeguarding Executive Lead has continued as a statutory partner attending the Children’s Multi-Agency Resilience and Safeguarding (C-MARS) Board to ensure critical leadership in the safeguarding arena. In addition they are also the C-MARS Senior Responsible Officer for scrutiny, assurance and training which is pivotal in ensuring the effectiveness of the local safeguarding arrangements. The Designated Nurse for Safeguarding leads the C-MARS Safeguarding Practice Learning and Improvement Group, ensuring that learning across the system is identified and shared to improve the outcomes for our children and young people.</w:t>
      </w:r>
    </w:p>
    <w:p>
      <w:pPr>
        <w:pStyle w:val="BodyText"/>
        <w:spacing w:before="11"/>
        <w:rPr>
          <w:sz w:val="21"/>
        </w:rPr>
      </w:pPr>
    </w:p>
    <w:p>
      <w:pPr>
        <w:pStyle w:val="BodyText"/>
        <w:ind w:left="679" w:right="721"/>
      </w:pPr>
      <w:r>
        <w:rPr/>
        <w:t>The CCG’s Safeguarding Executive Lead has also been a core member of the Safeguarding Adult Board (SAB), as well as being the Executive Lead for the SAB’s delivery of the protection and accountability core adult safeguarding principles. In addition, they are also a core member of the Strategic Domestic Abuse Board which formed in July 2021 in response to the Domestic Abuse Act 2021 and has developed an ambitious strategy and plan to improve the outcomes for those affected by domestic abuse.</w:t>
      </w:r>
    </w:p>
    <w:p>
      <w:pPr>
        <w:pStyle w:val="BodyText"/>
      </w:pPr>
    </w:p>
    <w:p>
      <w:pPr>
        <w:pStyle w:val="BodyText"/>
        <w:ind w:left="679" w:right="912"/>
      </w:pPr>
      <w:r>
        <w:rPr/>
        <w:t>The Designated Nurse for Safeguarding has continued a key role in overseeing the delivery of Prevention and Proportionality priorities across the system. Key achievements delivered through this group have included the delivery of seven minute briefings in relation to advocacy and Safeguarding Adult Reviews, three key guidance documents for professionals regarding supporting vulnerable adults and developing multi-agency training in relation to S42 enquiries, self-neglect and safeguarding legal literacy. All board and partnership activity has continued with altered innovative methods of working to both safeguard and promote families, children and adults in North Lincolnshire for the best outcomes.</w:t>
      </w:r>
    </w:p>
    <w:p>
      <w:pPr>
        <w:pStyle w:val="BodyText"/>
        <w:spacing w:before="9"/>
        <w:rPr>
          <w:sz w:val="21"/>
        </w:rPr>
      </w:pPr>
    </w:p>
    <w:p>
      <w:pPr>
        <w:pStyle w:val="BodyText"/>
        <w:ind w:left="680" w:right="955"/>
      </w:pPr>
      <w:r>
        <w:rPr/>
        <w:t>The Named Doctor for Safeguarding has continued to lead a project across the Humber to introduce a safeguarding adult forensic examination process in response to a Safeguarding Adult Review. This is being supported directly by NHS England and Improvement and the Faculty for Forensic and Legal Medicine, with commitments from the Humber local authorities and Humberside Police. Despite the pressures of the Covid-19 pandemic, governance arrangements have been progressed, enabling a rapid move towards the rollout of the pilot phase during 2022.</w:t>
      </w:r>
    </w:p>
    <w:p>
      <w:pPr>
        <w:pStyle w:val="BodyText"/>
        <w:rPr>
          <w:sz w:val="24"/>
        </w:rPr>
      </w:pPr>
    </w:p>
    <w:p>
      <w:pPr>
        <w:pStyle w:val="BodyText"/>
        <w:spacing w:before="2"/>
        <w:rPr>
          <w:sz w:val="20"/>
        </w:rPr>
      </w:pPr>
    </w:p>
    <w:p>
      <w:pPr>
        <w:pStyle w:val="Heading4"/>
      </w:pPr>
      <w:bookmarkStart w:name="Looked after children" w:id="32"/>
      <w:bookmarkEnd w:id="32"/>
      <w:r>
        <w:rPr>
          <w:b w:val="0"/>
        </w:rPr>
      </w:r>
      <w:r>
        <w:rPr>
          <w:color w:val="4F81BB"/>
        </w:rPr>
        <w:t>Looked after children</w:t>
      </w:r>
    </w:p>
    <w:p>
      <w:pPr>
        <w:pStyle w:val="BodyText"/>
        <w:spacing w:before="1"/>
        <w:rPr>
          <w:b/>
        </w:rPr>
      </w:pPr>
    </w:p>
    <w:p>
      <w:pPr>
        <w:pStyle w:val="BodyText"/>
        <w:ind w:left="679" w:right="820"/>
      </w:pPr>
      <w:r>
        <w:rPr/>
        <w:t>North Lincolnshire CCG continues to work in partnership with the North Lincolnshire Corporate Parenting Board and Multi-Agency Looked After Partnership. In July 2021 the CCG increased capacity of the Designated Safeguarding Nurse for Looked After Children (LAC) and Care Leavers post. This additional designated capacity has promoted greater partnership collaboration with the local commissioned LAC service, through co-ordination and enhanced working with the Designated Doctor for LAC and the LAC Nursing Team. This has ensured the CCG remains fully involved and committed to promoting the health and welfare of Looked After Children across North Lincolnshire.</w:t>
      </w:r>
    </w:p>
    <w:p>
      <w:pPr>
        <w:spacing w:after="0"/>
        <w:sectPr>
          <w:pgSz w:w="11920" w:h="16850"/>
          <w:pgMar w:header="0" w:footer="363" w:top="1320" w:bottom="640" w:left="760" w:right="420"/>
        </w:sectPr>
      </w:pPr>
    </w:p>
    <w:p>
      <w:pPr>
        <w:pStyle w:val="BodyText"/>
        <w:spacing w:before="81"/>
        <w:ind w:left="679" w:right="783"/>
      </w:pPr>
      <w:r>
        <w:rPr/>
        <w:t>As part of the Covid-19 pandemic, health and care providers have developed innovative ways of working, thus enabling children, young people and carers to access the support and interventions required to address their health needs in a proactive manner. The development of new ways of working ensured the statutory needs of LAC and parents/carers were supported during this period and the benefits of a hybrid approach will be maintained during 2022.</w:t>
      </w:r>
    </w:p>
    <w:p>
      <w:pPr>
        <w:pStyle w:val="BodyText"/>
        <w:rPr>
          <w:sz w:val="24"/>
        </w:rPr>
      </w:pPr>
    </w:p>
    <w:p>
      <w:pPr>
        <w:pStyle w:val="BodyText"/>
        <w:spacing w:before="9"/>
        <w:rPr>
          <w:sz w:val="19"/>
        </w:rPr>
      </w:pPr>
    </w:p>
    <w:p>
      <w:pPr>
        <w:pStyle w:val="Heading6"/>
      </w:pPr>
      <w:bookmarkStart w:name="NHS funded care" w:id="33"/>
      <w:bookmarkEnd w:id="33"/>
      <w:r>
        <w:rPr>
          <w:b w:val="0"/>
        </w:rPr>
      </w:r>
      <w:r>
        <w:rPr>
          <w:color w:val="4F81BB"/>
        </w:rPr>
        <w:t>NHS funded care</w:t>
      </w:r>
    </w:p>
    <w:p>
      <w:pPr>
        <w:pStyle w:val="BodyText"/>
        <w:rPr>
          <w:b/>
        </w:rPr>
      </w:pPr>
    </w:p>
    <w:p>
      <w:pPr>
        <w:pStyle w:val="BodyText"/>
        <w:ind w:left="680" w:right="856"/>
      </w:pPr>
      <w:r>
        <w:rPr/>
        <w:t>North Lincolnshire CCG remains proud of the achievements delivered with regards to the continuing healthcare service, set within the context of a challenging two years. The CCG Continuing Healthcare (CHC) team has restabilised and recovered following the initial pausing of CHC core work during the early phases of the Covid-19 pandemic in 2020. Part of the core work requires the Continuing Healthcare team to complete a full review and assessment within 28 days of receiving a positive checklist for an individual</w:t>
      </w:r>
      <w:r>
        <w:rPr>
          <w:b/>
        </w:rPr>
        <w:t>. </w:t>
      </w:r>
      <w:r>
        <w:rPr/>
        <w:t>This is monitored quarterly by NHS England with a compliance target set at 80% or above. North Lincolnshire CCG has met the target every quarter ranging from 85% to 94% for the 12-month period.</w:t>
      </w:r>
    </w:p>
    <w:p>
      <w:pPr>
        <w:pStyle w:val="BodyText"/>
        <w:spacing w:before="10"/>
        <w:rPr>
          <w:sz w:val="21"/>
        </w:rPr>
      </w:pPr>
    </w:p>
    <w:p>
      <w:pPr>
        <w:pStyle w:val="BodyText"/>
        <w:ind w:left="680" w:right="782"/>
      </w:pPr>
      <w:r>
        <w:rPr/>
        <w:t>The hospital discharge model, Discharge 2 Assess, has been one of the many successes for North Lincolnshire. The national policy supported the review of existing pathways to ensure timely, safe discharges. This scheme actively supported individuals to be discharged when medically optimised supported by hospital discharge funding which provided funded care if appropriate for six weeks initially and then subsequently reduced to four weeks. The policy also ensured the timely assessment of both NHS Continuing Healthcare and Local Authority Care Act assessments. Despite the challenges being faced across the social care market, North Lincolnshire made great improvements throughout the year ensuring timely discharges when individuals were medically optimised, thus improving outcomes for the local population.</w:t>
      </w:r>
    </w:p>
    <w:p>
      <w:pPr>
        <w:pStyle w:val="BodyText"/>
      </w:pPr>
    </w:p>
    <w:p>
      <w:pPr>
        <w:pStyle w:val="BodyText"/>
        <w:ind w:left="680" w:right="977"/>
      </w:pPr>
      <w:r>
        <w:rPr/>
        <w:t>The Continuing Healthcare team has continued to coordinate “fit” testing and supplies of Personal Protective Equipment for individuals in receipt of aerosol generated procedures, ensuring the individual and the workforce remains safe. The designated lead has coordinated over 408 fit testing appointments totalling 55 working days and Humberside Fire and Rescue service supported this initiative undertaking 384 fit test appointments totalling 51 working</w:t>
      </w:r>
    </w:p>
    <w:p>
      <w:pPr>
        <w:pStyle w:val="BodyText"/>
        <w:ind w:left="680" w:right="770"/>
      </w:pPr>
      <w:r>
        <w:rPr/>
        <w:t>days. This was only made possible through the fantastic partnership working between agencies and the CCG would like to express its sincere thanks to the Humberside Fire and Rescue Service for supporting this critical initiative over the past two years.</w:t>
      </w:r>
    </w:p>
    <w:p>
      <w:pPr>
        <w:pStyle w:val="BodyText"/>
        <w:spacing w:before="9"/>
        <w:rPr>
          <w:sz w:val="21"/>
        </w:rPr>
      </w:pPr>
    </w:p>
    <w:p>
      <w:pPr>
        <w:pStyle w:val="BodyText"/>
        <w:spacing w:before="1"/>
        <w:ind w:left="680" w:right="770"/>
      </w:pPr>
      <w:r>
        <w:rPr/>
        <w:t>The CCG and Local Authority have continued to work in close collaboration throughout the past year focusing on both the care home contract project that formally launched on 1 April 2022, as well as developing a joint regulated care intelligence system. This system allows for a single central point of information and intelligence that is accessible and shared between both organisations.</w:t>
      </w:r>
    </w:p>
    <w:p>
      <w:pPr>
        <w:pStyle w:val="BodyText"/>
        <w:rPr>
          <w:sz w:val="24"/>
        </w:rPr>
      </w:pPr>
    </w:p>
    <w:p>
      <w:pPr>
        <w:pStyle w:val="BodyText"/>
        <w:spacing w:before="3"/>
        <w:rPr>
          <w:sz w:val="20"/>
        </w:rPr>
      </w:pPr>
    </w:p>
    <w:p>
      <w:pPr>
        <w:pStyle w:val="Heading4"/>
      </w:pPr>
      <w:bookmarkStart w:name="Mental health case management" w:id="34"/>
      <w:bookmarkEnd w:id="34"/>
      <w:r>
        <w:rPr>
          <w:b w:val="0"/>
        </w:rPr>
      </w:r>
      <w:r>
        <w:rPr>
          <w:color w:val="4F81BB"/>
        </w:rPr>
        <w:t>Mental health case management</w:t>
      </w:r>
    </w:p>
    <w:p>
      <w:pPr>
        <w:pStyle w:val="BodyText"/>
        <w:rPr>
          <w:b/>
          <w:sz w:val="24"/>
        </w:rPr>
      </w:pPr>
    </w:p>
    <w:p>
      <w:pPr>
        <w:pStyle w:val="BodyText"/>
        <w:ind w:left="680" w:right="708"/>
      </w:pPr>
      <w:r>
        <w:rPr/>
        <w:t>Mental health case management is responsible for the oversight of people with mental health problems, learning disabilities and/or autism receiving individualised packages of care in services a CCG does not directly commission. This is underpinned by a range of national processes and guidance, including the Five Year Forward View for Mental Health (NHS England, 2016) which sets out a programme to eliminate inappropriate out of area placements for non-specialist acute care by 2021 and 117 aftercare arrangements and responsibilities in the Mental Health Act 1983 (amended 2007).</w:t>
      </w:r>
    </w:p>
    <w:p>
      <w:pPr>
        <w:pStyle w:val="BodyText"/>
        <w:spacing w:before="11"/>
        <w:rPr>
          <w:sz w:val="21"/>
        </w:rPr>
      </w:pPr>
    </w:p>
    <w:p>
      <w:pPr>
        <w:pStyle w:val="BodyText"/>
        <w:ind w:left="680" w:right="1296"/>
      </w:pPr>
      <w:r>
        <w:rPr/>
        <w:t>The mental health case management service is in its second year of being back within the CCG. Several improvement initiatives were identified for 2021-2022 including increased</w:t>
      </w:r>
    </w:p>
    <w:p>
      <w:pPr>
        <w:spacing w:after="0"/>
        <w:sectPr>
          <w:pgSz w:w="11920" w:h="16850"/>
          <w:pgMar w:header="0" w:footer="363" w:top="1320" w:bottom="640" w:left="760" w:right="420"/>
        </w:sectPr>
      </w:pPr>
    </w:p>
    <w:p>
      <w:pPr>
        <w:pStyle w:val="BodyText"/>
        <w:spacing w:before="81"/>
        <w:ind w:left="680" w:right="881"/>
      </w:pPr>
      <w:r>
        <w:rPr/>
        <w:t>oversight of individuals placed out of area and in hospital care and the completion of Safe and Well reviews for individuals under the Transforming Care Programme. These Safe and Well reviews were critical to providing assurance that individuals were in receipt of safe, quality and appropriate care and treatment. The service has established face to face visits by senior personnel in addition to six monthly due diligence reviews against out of area placements and hospitals. A robust plan is in place to further develop the service as we progress into 2022- 2023.</w:t>
      </w:r>
    </w:p>
    <w:p>
      <w:pPr>
        <w:spacing w:after="0"/>
        <w:sectPr>
          <w:pgSz w:w="11920" w:h="16850"/>
          <w:pgMar w:header="0" w:footer="363" w:top="1320" w:bottom="640" w:left="760" w:right="420"/>
        </w:sectPr>
      </w:pPr>
    </w:p>
    <w:p>
      <w:pPr>
        <w:pStyle w:val="Heading3"/>
      </w:pPr>
      <w:bookmarkStart w:name="Action to reduce health inequalities" w:id="35"/>
      <w:bookmarkEnd w:id="35"/>
      <w:r>
        <w:rPr>
          <w:b w:val="0"/>
        </w:rPr>
      </w:r>
      <w:bookmarkStart w:name="_bookmark2" w:id="36"/>
      <w:bookmarkEnd w:id="36"/>
      <w:r>
        <w:rPr>
          <w:b w:val="0"/>
        </w:rPr>
      </w:r>
      <w:r>
        <w:rPr>
          <w:color w:val="4F81BA"/>
        </w:rPr>
        <w:t>Action to reduce health inequalities</w:t>
      </w:r>
    </w:p>
    <w:p>
      <w:pPr>
        <w:pStyle w:val="BodyText"/>
        <w:spacing w:before="169"/>
        <w:ind w:left="680" w:right="745"/>
      </w:pPr>
      <w:r>
        <w:rPr/>
        <w:t>During 2021-2022 the CCG has continued to support the workforce to operate safely across the partnership, to ensure the people of North Lincolnshire can access vital healthcare services.</w:t>
      </w:r>
    </w:p>
    <w:p>
      <w:pPr>
        <w:pStyle w:val="BodyText"/>
        <w:spacing w:before="3"/>
        <w:ind w:left="680" w:right="722"/>
      </w:pPr>
      <w:r>
        <w:rPr/>
        <w:t>Throughout the past two years the Covid-19 pandemic has shone a light on health inequalities and highlighted how initially Covid-19 disproportionally affected ethnic minority staff, patients and wider communities, as well as those with disabilities. The CCG has therefore ensured a key focus has been maintained on supporting the health and wellbeing of employees and the wider community, minimising health inequalities where able.</w:t>
      </w:r>
    </w:p>
    <w:p>
      <w:pPr>
        <w:pStyle w:val="BodyText"/>
        <w:spacing w:before="6"/>
        <w:rPr>
          <w:sz w:val="33"/>
        </w:rPr>
      </w:pPr>
    </w:p>
    <w:p>
      <w:pPr>
        <w:pStyle w:val="BodyText"/>
        <w:ind w:left="680" w:right="842"/>
      </w:pPr>
      <w:r>
        <w:rPr/>
        <w:t>Not only has the CCG embraced its equality duties and legal compliance but it has maintained its dedication and clear focus on driving change in line with the CCG equality objectives for 2021-2022 and harnessing the strength of our partnership. Working with our system partners we have continued to improve our understanding of the local population needs, shinning a light on areas of inequality and utilising this intelligence in commissioning our services to reduce health inequalities across North Lincolnshire. The development of the North Lincolnshire Population Health Management and Prevention group will continue to drive this shared understanding, identifying areas for improvement and progressing actions across the system.</w:t>
      </w:r>
    </w:p>
    <w:p>
      <w:pPr>
        <w:pStyle w:val="BodyText"/>
        <w:rPr>
          <w:sz w:val="24"/>
        </w:rPr>
      </w:pPr>
    </w:p>
    <w:p>
      <w:pPr>
        <w:pStyle w:val="BodyText"/>
        <w:spacing w:before="9"/>
      </w:pPr>
    </w:p>
    <w:p>
      <w:pPr>
        <w:pStyle w:val="Heading4"/>
      </w:pPr>
      <w:bookmarkStart w:name="A partnership approach" w:id="37"/>
      <w:bookmarkEnd w:id="37"/>
      <w:r>
        <w:rPr>
          <w:b w:val="0"/>
        </w:rPr>
      </w:r>
      <w:r>
        <w:rPr>
          <w:color w:val="4F81BB"/>
        </w:rPr>
        <w:t>A partnership approach</w:t>
      </w:r>
    </w:p>
    <w:p>
      <w:pPr>
        <w:pStyle w:val="BodyText"/>
        <w:spacing w:before="9"/>
        <w:rPr>
          <w:b/>
          <w:sz w:val="20"/>
        </w:rPr>
      </w:pPr>
    </w:p>
    <w:p>
      <w:pPr>
        <w:pStyle w:val="BodyText"/>
        <w:spacing w:before="1"/>
        <w:ind w:left="680" w:right="819"/>
      </w:pPr>
      <w:r>
        <w:rPr/>
        <w:t>The CCG is a key member of the North Lincolnshire Health and Wellbeing Board, which is a partnership board and statutory committee of North Lincolnshire Council, established as part of the Health and Social Care Act 2012. This board has continued its focus on the inequalities agenda supporting integration and partnership working to improve the outcomes for our local population.</w:t>
      </w:r>
    </w:p>
    <w:p>
      <w:pPr>
        <w:pStyle w:val="BodyText"/>
        <w:spacing w:before="201"/>
        <w:ind w:left="679" w:right="783"/>
      </w:pPr>
      <w:r>
        <w:rPr/>
        <w:t>Local engagement and collaboration with system partners, including the voluntary sector, has strengthened throughout 2021-2022, which has enabled increased and targeted support into some of our most vulnerable communities. Bespoke support has been wrapped around specific community groups such as care home residents, the homeless population and our local ethnic minority communities. An integrated approach to supporting our local population utilising a variety of methods has enabled many successes in areas such as Covid-19 outbreak management and uptake of the Covid-19 vaccination programme.</w:t>
      </w:r>
    </w:p>
    <w:p>
      <w:pPr>
        <w:pStyle w:val="BodyText"/>
        <w:spacing w:before="7"/>
        <w:rPr>
          <w:sz w:val="32"/>
        </w:rPr>
      </w:pPr>
    </w:p>
    <w:p>
      <w:pPr>
        <w:pStyle w:val="Heading6"/>
      </w:pPr>
      <w:bookmarkStart w:name="Commissioning to reduce health inequalit" w:id="38"/>
      <w:bookmarkEnd w:id="38"/>
      <w:r>
        <w:rPr>
          <w:b w:val="0"/>
        </w:rPr>
      </w:r>
      <w:r>
        <w:rPr>
          <w:color w:val="4F81BB"/>
        </w:rPr>
        <w:t>Commissioning to reduce health inequalities</w:t>
      </w:r>
    </w:p>
    <w:p>
      <w:pPr>
        <w:pStyle w:val="BodyText"/>
        <w:spacing w:before="6"/>
        <w:rPr>
          <w:b/>
          <w:sz w:val="20"/>
        </w:rPr>
      </w:pPr>
    </w:p>
    <w:p>
      <w:pPr>
        <w:pStyle w:val="BodyText"/>
        <w:ind w:left="680" w:right="781" w:hanging="3"/>
      </w:pPr>
      <w:r>
        <w:rPr/>
        <w:t>Our commissioning priorities are informed by the local Joint Strategic Needs Assessment. The Joint Strategic Needs Assessment (JSNA) provides a picture of the current and future health and wellbeing needs of the local population. In North Lincolnshire, the assessment of health and wellbeing forms part of a suite of documents which together create an integrated intelligence base about the place of North Lincolnshire</w:t>
      </w:r>
      <w:r>
        <w:rPr>
          <w:rFonts w:ascii="Calibri"/>
        </w:rPr>
        <w:t>. </w:t>
      </w:r>
      <w:r>
        <w:rPr/>
        <w:t>We use this information to prioritise our plans to ensure they focus on areas of greatest need. It helps us identify geographical areas or population groups who have greater need, enabling us to focus on these groups with the aim of reducing health inequalities.</w:t>
      </w:r>
    </w:p>
    <w:p>
      <w:pPr>
        <w:pStyle w:val="BodyText"/>
        <w:spacing w:before="200"/>
        <w:ind w:left="680" w:right="708"/>
      </w:pPr>
      <w:r>
        <w:rPr/>
        <w:t>Reducing health inequalities has continued to be a key focus throughout the year with progress made against the eight national urgent actions to reduce health inequalities. Key contributions have included the targeted approach to the Covid-19 vaccination programme to increase uptake of our ethnic communities and those who live in our most deprived areas, increased specialist capacity to support improved uptake and quality of learning disability annual health checks and championing the review of waiting lists against equality datasets across providers.</w:t>
      </w:r>
    </w:p>
    <w:p>
      <w:pPr>
        <w:pStyle w:val="BodyText"/>
        <w:spacing w:before="200"/>
        <w:ind w:left="680" w:right="784"/>
      </w:pPr>
      <w:r>
        <w:rPr/>
        <w:t>During 2021-2022 the CCG reviewed and strengthened its Equality Quality Impact Assessments (EQIA) process, ensuring wider contribution from across the CCG with regards to</w:t>
      </w:r>
    </w:p>
    <w:p>
      <w:pPr>
        <w:spacing w:after="0"/>
        <w:sectPr>
          <w:pgSz w:w="11920" w:h="16850"/>
          <w:pgMar w:header="0" w:footer="363" w:top="1320" w:bottom="640" w:left="760" w:right="420"/>
        </w:sectPr>
      </w:pPr>
    </w:p>
    <w:p>
      <w:pPr>
        <w:pStyle w:val="BodyText"/>
        <w:spacing w:before="81"/>
        <w:ind w:left="680" w:right="942"/>
      </w:pPr>
      <w:r>
        <w:rPr/>
        <w:t>both the completion and scrutiny of these. In addition the CCG has provided a number of dedicated training events for those undertaking Equality Quality Impact Assessments (EQIAs) focusing on the importance of understanding local data and intelligence to enhance the assessment. This training has helped to increase awareness and knowledge in relation to EQIAs and the impact within the commissioning cycle.</w:t>
      </w:r>
    </w:p>
    <w:p>
      <w:pPr>
        <w:pStyle w:val="BodyText"/>
        <w:spacing w:before="196"/>
        <w:ind w:left="680" w:right="1015"/>
      </w:pPr>
      <w:r>
        <w:rPr/>
        <w:t>Engagement in commissioning intentions is well embedded within the CCG and wider across system partners. Extensive engagement has continued throughout the last year in relation to understanding the impact of service changes as a result of the Covid-19 pandemic. The recommendations from the engagement feedback aids future service developments and commissioning intentions.</w:t>
      </w:r>
    </w:p>
    <w:p>
      <w:pPr>
        <w:pStyle w:val="BodyText"/>
        <w:spacing w:before="201"/>
        <w:ind w:left="680" w:right="844"/>
      </w:pPr>
      <w:r>
        <w:rPr/>
        <w:t>Additionally, EQIAs have continued to be completed for all routine commissioning decisions, including service specification, projects and policies and these are presented as part of the approval process at the Planning and Commissioning Committee. This provides the assurance that appropriate engagement and insight is used to inform our commissioning decisions.</w:t>
      </w:r>
    </w:p>
    <w:p>
      <w:pPr>
        <w:pStyle w:val="BodyText"/>
        <w:spacing w:before="200"/>
        <w:ind w:left="680" w:right="1662"/>
      </w:pPr>
      <w:r>
        <w:rPr/>
        <w:t>Focus on the health inequalities agenda will continue as a high priority as we progress throughout 2022-2023.</w:t>
      </w:r>
    </w:p>
    <w:p>
      <w:pPr>
        <w:spacing w:after="0"/>
        <w:sectPr>
          <w:pgSz w:w="11920" w:h="16850"/>
          <w:pgMar w:header="0" w:footer="363" w:top="1320" w:bottom="640" w:left="760" w:right="420"/>
        </w:sectPr>
      </w:pPr>
    </w:p>
    <w:p>
      <w:pPr>
        <w:pStyle w:val="Heading3"/>
      </w:pPr>
      <w:bookmarkStart w:name="Health and wellbeing strategy" w:id="39"/>
      <w:bookmarkEnd w:id="39"/>
      <w:r>
        <w:rPr>
          <w:b w:val="0"/>
        </w:rPr>
      </w:r>
      <w:bookmarkStart w:name="_bookmark3" w:id="40"/>
      <w:bookmarkEnd w:id="40"/>
      <w:r>
        <w:rPr>
          <w:b w:val="0"/>
        </w:rPr>
      </w:r>
      <w:r>
        <w:rPr>
          <w:color w:val="4F81BB"/>
        </w:rPr>
        <w:t>Health and wellbeing strategy</w:t>
      </w:r>
    </w:p>
    <w:p>
      <w:pPr>
        <w:pStyle w:val="BodyText"/>
        <w:spacing w:before="10"/>
        <w:rPr>
          <w:b/>
          <w:sz w:val="34"/>
        </w:rPr>
      </w:pPr>
    </w:p>
    <w:p>
      <w:pPr>
        <w:pStyle w:val="BodyText"/>
        <w:spacing w:before="1"/>
        <w:ind w:left="680" w:right="757"/>
      </w:pPr>
      <w:r>
        <w:rPr/>
        <w:t>The North Lincolnshire Health and Wellbeing Board (HWBB) is a statutory committee of the council and is a partnership between key local organisations committed to working together to improve the health and wellbeing of the local population and reduce health inequalities. The CCG plays an active role within the HWBB, with representation from the CCG Chief Operating Officer and the Chair, reporting on local health issues and plans in addition to the submission of plans such as the Better Care Fund.</w:t>
      </w:r>
    </w:p>
    <w:p>
      <w:pPr>
        <w:pStyle w:val="BodyText"/>
        <w:spacing w:before="5"/>
        <w:rPr>
          <w:sz w:val="32"/>
        </w:rPr>
      </w:pPr>
    </w:p>
    <w:p>
      <w:pPr>
        <w:pStyle w:val="BodyText"/>
        <w:ind w:left="680" w:right="758"/>
      </w:pPr>
      <w:r>
        <w:rPr/>
        <w:t>During 2021-22, North Lincolnshire CCG has contributed to the development of the most recent Joint Health and Wellbeing Strategy for North Lincolnshire and following consultation with the North Lincolnshire Health and Wellbeing Board in June 2021 was approved by the Board in September 2021. This builds on the learning from our experience of the pandemic and the impact this has had on individuals. Implementation plans were subsequently developed to deliver on the strategic priorities and the HWBB will maintain an oversight of these.</w:t>
      </w:r>
    </w:p>
    <w:p>
      <w:pPr>
        <w:pStyle w:val="BodyText"/>
        <w:spacing w:before="5"/>
        <w:rPr>
          <w:sz w:val="32"/>
        </w:rPr>
      </w:pPr>
    </w:p>
    <w:p>
      <w:pPr>
        <w:pStyle w:val="BodyText"/>
        <w:ind w:left="680" w:right="844"/>
      </w:pPr>
      <w:r>
        <w:rPr/>
        <w:t>To support delivery of the strategy, a Prevention and Population Health Management Partnership has been developed, with CCG representation, which will oversee the work across North Lincolnshire to reduce teenage pregnancy rates, improve supported self-management, better use health data to support Primary Care Networks address cardiovascular disease and improve the outcomes for people who are frail.</w:t>
      </w:r>
    </w:p>
    <w:p>
      <w:pPr>
        <w:pStyle w:val="BodyText"/>
        <w:rPr>
          <w:sz w:val="24"/>
        </w:rPr>
      </w:pPr>
    </w:p>
    <w:p>
      <w:pPr>
        <w:pStyle w:val="Heading3"/>
        <w:spacing w:before="215"/>
      </w:pPr>
      <w:bookmarkStart w:name="Health and Place plan" w:id="41"/>
      <w:bookmarkEnd w:id="41"/>
      <w:r>
        <w:rPr>
          <w:b w:val="0"/>
        </w:rPr>
      </w:r>
      <w:bookmarkStart w:name="_bookmark4" w:id="42"/>
      <w:bookmarkEnd w:id="42"/>
      <w:r>
        <w:rPr>
          <w:b w:val="0"/>
        </w:rPr>
      </w:r>
      <w:r>
        <w:rPr>
          <w:color w:val="4F81BB"/>
        </w:rPr>
        <w:t>Health and Place plan</w:t>
      </w:r>
    </w:p>
    <w:p>
      <w:pPr>
        <w:pStyle w:val="BodyText"/>
        <w:spacing w:before="6"/>
        <w:rPr>
          <w:b/>
          <w:sz w:val="24"/>
        </w:rPr>
      </w:pPr>
    </w:p>
    <w:p>
      <w:pPr>
        <w:pStyle w:val="BodyText"/>
        <w:ind w:left="679" w:right="790"/>
        <w:rPr>
          <w:sz w:val="24"/>
        </w:rPr>
      </w:pPr>
      <w:r>
        <w:rPr/>
        <w:t>The Health and Care Integration Plan, 2019-24 was refreshed this year, to ensure this reflected the priorities and learning from the Covid-19 pandemic. This refreshed strategy, co-developed with Place partners was approved by the HWBB in June 2021 and covers the remaining period 2021-24. The plan shows how we intend to focus on transforming the lives of people of North Lincolnshire, through developing a sustainable, enabling integrated Health and Social Care system across all life stages and levels of need that empowers our local population, unlocks and builds community capacity</w:t>
      </w:r>
      <w:r>
        <w:rPr>
          <w:sz w:val="24"/>
        </w:rPr>
        <w:t>.</w:t>
      </w:r>
    </w:p>
    <w:p>
      <w:pPr>
        <w:pStyle w:val="BodyText"/>
        <w:rPr>
          <w:sz w:val="26"/>
        </w:rPr>
      </w:pPr>
    </w:p>
    <w:p>
      <w:pPr>
        <w:pStyle w:val="Heading3"/>
        <w:spacing w:before="193"/>
      </w:pPr>
      <w:bookmarkStart w:name="Integrated commissioning" w:id="43"/>
      <w:bookmarkEnd w:id="43"/>
      <w:r>
        <w:rPr>
          <w:b w:val="0"/>
        </w:rPr>
      </w:r>
      <w:bookmarkStart w:name="_bookmark5" w:id="44"/>
      <w:bookmarkEnd w:id="44"/>
      <w:r>
        <w:rPr>
          <w:b w:val="0"/>
        </w:rPr>
      </w:r>
      <w:r>
        <w:rPr>
          <w:color w:val="4F81BB"/>
        </w:rPr>
        <w:t>Integrated commissioning</w:t>
      </w:r>
    </w:p>
    <w:p>
      <w:pPr>
        <w:pStyle w:val="BodyText"/>
        <w:spacing w:before="10"/>
        <w:rPr>
          <w:b/>
          <w:sz w:val="24"/>
        </w:rPr>
      </w:pPr>
    </w:p>
    <w:p>
      <w:pPr>
        <w:pStyle w:val="BodyText"/>
        <w:ind w:left="679" w:right="719"/>
      </w:pPr>
      <w:r>
        <w:rPr/>
        <w:t>North Lincolnshire CCG works closely with North Lincolnshire Council to explore opportunities for integrated commissioning to improve the outcomes of North Lincolnshire residents and to get the best value from services on behalf of the Health and Wellbeing Board. Delivery of the integration agenda is through the Integrated Adults Partnership and the Integrated Children’s Trust. This includes representation from key health and care commissioners, providers and the voluntary sector. The CCG continues to jointly commission a number of services, such as the Carers Support Service which offers a range of support to residents who provide unpaid care for other people. During this year, the CCG and the council have worked together on a review of the carer strategy, identifying four key priorities and implementation plans. Delivery of the plan is monitored by the Integrated Adults</w:t>
      </w:r>
      <w:r>
        <w:rPr>
          <w:spacing w:val="-16"/>
        </w:rPr>
        <w:t> </w:t>
      </w:r>
      <w:r>
        <w:rPr/>
        <w:t>Partnership.</w:t>
      </w:r>
    </w:p>
    <w:p>
      <w:pPr>
        <w:pStyle w:val="BodyText"/>
        <w:spacing w:before="2"/>
        <w:rPr>
          <w:sz w:val="32"/>
        </w:rPr>
      </w:pPr>
    </w:p>
    <w:p>
      <w:pPr>
        <w:pStyle w:val="BodyText"/>
        <w:ind w:left="680" w:right="990"/>
      </w:pPr>
      <w:r>
        <w:rPr/>
        <w:t>The Integrated Adults Partnership and the Integrated Children’s Trust both provided progress reports to the Health and Wellbeing Board during the year.</w:t>
      </w:r>
    </w:p>
    <w:p>
      <w:pPr>
        <w:spacing w:after="0"/>
        <w:sectPr>
          <w:pgSz w:w="11920" w:h="16850"/>
          <w:pgMar w:header="0" w:footer="363" w:top="1320" w:bottom="640" w:left="760" w:right="420"/>
        </w:sectPr>
      </w:pPr>
    </w:p>
    <w:p>
      <w:pPr>
        <w:pStyle w:val="Heading3"/>
      </w:pPr>
      <w:bookmarkStart w:name="Unplanned care" w:id="45"/>
      <w:bookmarkEnd w:id="45"/>
      <w:r>
        <w:rPr>
          <w:b w:val="0"/>
        </w:rPr>
      </w:r>
      <w:bookmarkStart w:name="_bookmark6" w:id="46"/>
      <w:bookmarkEnd w:id="46"/>
      <w:r>
        <w:rPr>
          <w:b w:val="0"/>
        </w:rPr>
      </w:r>
      <w:r>
        <w:rPr>
          <w:color w:val="4F81BB"/>
        </w:rPr>
        <w:t>Unplanned care</w:t>
      </w:r>
    </w:p>
    <w:p>
      <w:pPr>
        <w:pStyle w:val="BodyText"/>
        <w:spacing w:before="5"/>
        <w:rPr>
          <w:b/>
          <w:sz w:val="24"/>
        </w:rPr>
      </w:pPr>
    </w:p>
    <w:p>
      <w:pPr>
        <w:pStyle w:val="BodyText"/>
        <w:spacing w:before="1"/>
        <w:ind w:left="680" w:right="753"/>
      </w:pPr>
      <w:r>
        <w:rPr/>
        <w:t>During 2020-21 we successfully developed an Urgent Care Service, delivered from the Emergency Department of Scunthorpe General Hospital. This model, developed in conjunction with Northern Lincolnshire and Goole NHS Foundation Trust and the local GP Federation, Safecare, enables suitable patients who do not meet the criteria for an Emergency Department to be diverted into a GP led service. This in turn creates capacity within the Emergency Department to deal with those presenting with critical illness or injury. Continued work to embed a Same Day Emergency Care model in the hospital has also reduced the number of people who require overnight care in a hospital bed. This has been a significant achievement during the Covid-19 pandemic when non-elective admissions have been</w:t>
      </w:r>
      <w:r>
        <w:rPr>
          <w:spacing w:val="-25"/>
        </w:rPr>
        <w:t> </w:t>
      </w:r>
      <w:r>
        <w:rPr/>
        <w:t>high.</w:t>
      </w:r>
    </w:p>
    <w:p>
      <w:pPr>
        <w:pStyle w:val="BodyText"/>
        <w:spacing w:before="7"/>
        <w:rPr>
          <w:sz w:val="32"/>
        </w:rPr>
      </w:pPr>
    </w:p>
    <w:p>
      <w:pPr>
        <w:pStyle w:val="BodyText"/>
        <w:ind w:left="680" w:right="758"/>
      </w:pPr>
      <w:r>
        <w:rPr/>
        <w:t>As Covid-19 numbers and hospital admissions have increased following a reduction in restrictions, we have continued close working with partners to ensure patients can be rapidly discharged from hospital once fit. This has included commissioning community care home beds to support the Discharge to Assess process. Discharge to Access is the process by which patients are discharged from hospital (with additional support if required) and receive a full assessment of their ongoing care needs within their home setting. Pressures on health services have been challenging particularly over the last year, and this has been seen in the demand on ambulance services and emergency departments. The CCG has facilitated projects to support management of this demand and to reduce demand on ambulance services where clinically appropriate. This has resulted in an increase in the number of patients seen by an ambulance crew and managed without the need to convey to hospital.</w:t>
      </w:r>
    </w:p>
    <w:p>
      <w:pPr>
        <w:pStyle w:val="BodyText"/>
        <w:rPr>
          <w:sz w:val="24"/>
        </w:rPr>
      </w:pPr>
    </w:p>
    <w:p>
      <w:pPr>
        <w:pStyle w:val="BodyText"/>
        <w:spacing w:before="7"/>
        <w:rPr>
          <w:sz w:val="24"/>
        </w:rPr>
      </w:pPr>
    </w:p>
    <w:p>
      <w:pPr>
        <w:pStyle w:val="Heading3"/>
        <w:spacing w:before="0"/>
      </w:pPr>
      <w:bookmarkStart w:name="Planned care" w:id="47"/>
      <w:bookmarkEnd w:id="47"/>
      <w:r>
        <w:rPr>
          <w:b w:val="0"/>
        </w:rPr>
      </w:r>
      <w:bookmarkStart w:name="_bookmark7" w:id="48"/>
      <w:bookmarkEnd w:id="48"/>
      <w:r>
        <w:rPr>
          <w:b w:val="0"/>
        </w:rPr>
      </w:r>
      <w:r>
        <w:rPr>
          <w:color w:val="4F81BB"/>
        </w:rPr>
        <w:t>Planned care</w:t>
      </w:r>
    </w:p>
    <w:p>
      <w:pPr>
        <w:pStyle w:val="BodyText"/>
        <w:spacing w:before="4"/>
        <w:rPr>
          <w:b/>
          <w:sz w:val="16"/>
        </w:rPr>
      </w:pPr>
    </w:p>
    <w:p>
      <w:pPr>
        <w:pStyle w:val="BodyText"/>
        <w:spacing w:before="94"/>
        <w:ind w:left="680" w:right="844"/>
      </w:pPr>
      <w:r>
        <w:rPr/>
        <w:t>NLCCG has worked with NLaG and North East Lincolnshire CCG to</w:t>
      </w:r>
      <w:r>
        <w:rPr>
          <w:shd w:fill="F8F8F8" w:color="auto" w:val="clear"/>
        </w:rPr>
        <w:t> develop and pilot the</w:t>
      </w:r>
      <w:r>
        <w:rPr/>
        <w:t> </w:t>
      </w:r>
      <w:r>
        <w:rPr>
          <w:shd w:fill="F8F8F8" w:color="auto" w:val="clear"/>
        </w:rPr>
        <w:t>Connected Health Network (CHN) model, which represents a transformative change from the</w:t>
      </w:r>
      <w:r>
        <w:rPr/>
        <w:t> </w:t>
      </w:r>
      <w:r>
        <w:rPr>
          <w:shd w:fill="F8F8F8" w:color="auto" w:val="clear"/>
        </w:rPr>
        <w:t>traditional model of patients being referred by primary care into secondary care. The traditional</w:t>
      </w:r>
      <w:r>
        <w:rPr/>
        <w:t> </w:t>
      </w:r>
      <w:r>
        <w:rPr>
          <w:shd w:fill="F8F8F8" w:color="auto" w:val="clear"/>
        </w:rPr>
        <w:t>model is based on hand-offs from one service to another and waiting lists for patients.</w:t>
      </w:r>
    </w:p>
    <w:p>
      <w:pPr>
        <w:pStyle w:val="BodyText"/>
        <w:spacing w:before="200"/>
        <w:ind w:left="680" w:right="831"/>
      </w:pPr>
      <w:r>
        <w:rPr/>
        <w:t>The Connected Health Network operates across traditional boundaries, with GPs working in partnership with specialists to provide ongoing care and support to patients as an extension of primary care, avoiding a formal referral. In many cases, the patient does not need to be seen face to face, with the specialist clinician consulting virtually with a patient and using a shared administration resource, directly booking diagnostic tests and hospital based procedures. Early pilots of this model have resulted in 70% of patients on hospital follow-up being discharged to primary care, with a reduction in duplication of diagnostic tests due to the shared access of the primary care record. This model is currently being rolled out across North and North East Lincolnshire across a number of specialties, with a plan to spread this model across the ICS.</w:t>
      </w:r>
    </w:p>
    <w:p>
      <w:pPr>
        <w:pStyle w:val="BodyText"/>
        <w:spacing w:before="199"/>
        <w:ind w:left="679" w:right="880"/>
      </w:pPr>
      <w:r>
        <w:rPr/>
        <w:t>Other successes have also supported the redesign of traditional outpatient pathways with increased use of advice and guidance to reduce the need for a hospital referral, increased use of virtual consultations and straight to test pathways to reduce the number of times a patient has to attend the hospital for an appointment and the introduction of patient initiated follow-up, where the patient has flexibility to arrange follow-up appointments for when they need them.</w:t>
      </w:r>
    </w:p>
    <w:p>
      <w:pPr>
        <w:pStyle w:val="BodyText"/>
        <w:rPr>
          <w:sz w:val="24"/>
        </w:rPr>
      </w:pPr>
    </w:p>
    <w:p>
      <w:pPr>
        <w:pStyle w:val="Heading3"/>
        <w:spacing w:before="216"/>
      </w:pPr>
      <w:bookmarkStart w:name="Cancer" w:id="49"/>
      <w:bookmarkEnd w:id="49"/>
      <w:r>
        <w:rPr>
          <w:b w:val="0"/>
        </w:rPr>
      </w:r>
      <w:bookmarkStart w:name="_bookmark8" w:id="50"/>
      <w:bookmarkEnd w:id="50"/>
      <w:r>
        <w:rPr>
          <w:b w:val="0"/>
        </w:rPr>
      </w:r>
      <w:r>
        <w:rPr>
          <w:color w:val="4F81BB"/>
        </w:rPr>
        <w:t>Cancer</w:t>
      </w:r>
    </w:p>
    <w:p>
      <w:pPr>
        <w:pStyle w:val="BodyText"/>
        <w:spacing w:before="7"/>
        <w:rPr>
          <w:b/>
          <w:sz w:val="24"/>
        </w:rPr>
      </w:pPr>
    </w:p>
    <w:p>
      <w:pPr>
        <w:pStyle w:val="BodyText"/>
        <w:spacing w:before="1"/>
        <w:ind w:left="680" w:right="855"/>
      </w:pPr>
      <w:r>
        <w:rPr/>
        <w:t>During 2021, the CCG, GP practices and NLaG have developed and implemented a new rapid diagnostic pathway. This is in line with the national directive for the establishment of rapid diagnostic centres as part of the NHS Long Term Plan to rapidly rule out cancer in those patients where the GP has concerns but the patient doesn’t have typical symptoms of cancer.</w:t>
      </w:r>
    </w:p>
    <w:p>
      <w:pPr>
        <w:spacing w:after="0"/>
        <w:sectPr>
          <w:pgSz w:w="11920" w:h="16850"/>
          <w:pgMar w:header="0" w:footer="363" w:top="1320" w:bottom="640" w:left="760" w:right="420"/>
        </w:sectPr>
      </w:pPr>
    </w:p>
    <w:p>
      <w:pPr>
        <w:pStyle w:val="BodyText"/>
        <w:spacing w:before="81"/>
        <w:ind w:left="679" w:right="881"/>
      </w:pPr>
      <w:r>
        <w:rPr/>
        <w:t>Following a number of blood tests carried out in primary care, the patient is referred on a rapid diagnostic pathway for hospital-based tests and scans to rule out cancer. The introduction of this pathway for gastro-intestinal problems enables these patients to be rapidly assessed, without creating delays for patients on cancer pathways. This model will be expanded in 2022- 23 to cover other conditions.</w:t>
      </w:r>
    </w:p>
    <w:p>
      <w:pPr>
        <w:pStyle w:val="BodyText"/>
        <w:rPr>
          <w:sz w:val="24"/>
        </w:rPr>
      </w:pPr>
    </w:p>
    <w:p>
      <w:pPr>
        <w:pStyle w:val="Heading3"/>
        <w:spacing w:before="159"/>
      </w:pPr>
      <w:bookmarkStart w:name="Maternity" w:id="51"/>
      <w:bookmarkEnd w:id="51"/>
      <w:r>
        <w:rPr>
          <w:b w:val="0"/>
        </w:rPr>
      </w:r>
      <w:bookmarkStart w:name="_bookmark9" w:id="52"/>
      <w:bookmarkEnd w:id="52"/>
      <w:r>
        <w:rPr>
          <w:b w:val="0"/>
        </w:rPr>
      </w:r>
      <w:r>
        <w:rPr>
          <w:color w:val="4F81BB"/>
        </w:rPr>
        <w:t>Maternity</w:t>
      </w:r>
    </w:p>
    <w:p>
      <w:pPr>
        <w:pStyle w:val="BodyText"/>
        <w:spacing w:before="8"/>
        <w:rPr>
          <w:b/>
          <w:sz w:val="24"/>
        </w:rPr>
      </w:pPr>
    </w:p>
    <w:p>
      <w:pPr>
        <w:pStyle w:val="BodyText"/>
        <w:ind w:left="680" w:right="709"/>
      </w:pPr>
      <w:r>
        <w:rPr/>
        <w:t>North Lincolnshire CCG, as a member of the Humber and North Yorkshire Local Maternity System (LMS), provides support and oversight for our maternity and neonatal services across the area. A new Perinatal Safety, Quality and Assurance Group has been established to review any incidents that occur across the area and provides shared learning, recommendations for improvements to policies and procedures, and supports the implementation of those changes. A LMS wide procurement of a single maternity IT system to enable consistent data recording across all maternity units, alongside a patient app which will enable women to access their records and test results and provide access to advisory websites has been undertaken, with implementation in 2022-23.</w:t>
      </w:r>
    </w:p>
    <w:p>
      <w:pPr>
        <w:pStyle w:val="BodyText"/>
        <w:rPr>
          <w:sz w:val="24"/>
        </w:rPr>
      </w:pPr>
    </w:p>
    <w:p>
      <w:pPr>
        <w:pStyle w:val="BodyText"/>
        <w:spacing w:before="181"/>
        <w:ind w:left="680" w:right="843"/>
      </w:pPr>
      <w:r>
        <w:rPr/>
        <w:t>We have continued working with our Maternity Voices Partnership colleagues to ask our families and staff about what is important to them and how we can encourage more joint working; this builds on the service user engagement undertaken in 2020-21. Work has continued to maintain the Maternity Continuity of Carer teams to support families; particularly those in minority ethnic communities and deprived populations. A number of breastfeeding initiatives were also delivered including the provision of breast pumps in neonatal units, development of a training course for midwives to reverse tongue-tie in babies, and purchase of books for children’s centres to normalise breast feeding.</w:t>
      </w:r>
    </w:p>
    <w:p>
      <w:pPr>
        <w:pStyle w:val="BodyText"/>
        <w:rPr>
          <w:sz w:val="24"/>
        </w:rPr>
      </w:pPr>
    </w:p>
    <w:p>
      <w:pPr>
        <w:pStyle w:val="BodyText"/>
        <w:spacing w:before="10"/>
        <w:rPr>
          <w:sz w:val="20"/>
        </w:rPr>
      </w:pPr>
    </w:p>
    <w:p>
      <w:pPr>
        <w:pStyle w:val="Heading3"/>
        <w:spacing w:before="1"/>
      </w:pPr>
      <w:bookmarkStart w:name="Mental health and learning disabilities" w:id="53"/>
      <w:bookmarkEnd w:id="53"/>
      <w:r>
        <w:rPr>
          <w:b w:val="0"/>
        </w:rPr>
      </w:r>
      <w:bookmarkStart w:name="_bookmark10" w:id="54"/>
      <w:bookmarkEnd w:id="54"/>
      <w:r>
        <w:rPr>
          <w:b w:val="0"/>
        </w:rPr>
      </w:r>
      <w:r>
        <w:rPr>
          <w:color w:val="4F81BB"/>
        </w:rPr>
        <w:t>Mental health and learning disabilities</w:t>
      </w:r>
    </w:p>
    <w:p>
      <w:pPr>
        <w:pStyle w:val="BodyText"/>
        <w:spacing w:before="8"/>
        <w:rPr>
          <w:b/>
          <w:sz w:val="24"/>
        </w:rPr>
      </w:pPr>
    </w:p>
    <w:p>
      <w:pPr>
        <w:pStyle w:val="Heading4"/>
      </w:pPr>
      <w:bookmarkStart w:name="Children and young people" w:id="55"/>
      <w:bookmarkEnd w:id="55"/>
      <w:r>
        <w:rPr>
          <w:b w:val="0"/>
        </w:rPr>
      </w:r>
      <w:r>
        <w:rPr>
          <w:color w:val="4F81BB"/>
        </w:rPr>
        <w:t>Children and young people</w:t>
      </w:r>
    </w:p>
    <w:p>
      <w:pPr>
        <w:pStyle w:val="BodyText"/>
        <w:spacing w:before="6"/>
        <w:rPr>
          <w:b/>
        </w:rPr>
      </w:pPr>
    </w:p>
    <w:p>
      <w:pPr>
        <w:pStyle w:val="BodyText"/>
        <w:ind w:left="679" w:right="807"/>
      </w:pPr>
      <w:r>
        <w:rPr/>
        <w:t>The CCG has continued to work locally and with Humber and North Yorkshire ICS partners to promote and ensure access to mental health support during the pandemic, in recognition of the impact of Covid-19 restrictions on the mental wellbeing of children and young people.</w:t>
      </w:r>
    </w:p>
    <w:p>
      <w:pPr>
        <w:pStyle w:val="BodyText"/>
        <w:spacing w:before="119"/>
        <w:ind w:left="680" w:right="795"/>
      </w:pPr>
      <w:r>
        <w:rPr/>
        <w:t>The CCG has increased its investment into services for people with eating disorders in response to an increased number of people coming forward with eating disorders during the pandemic. In addition, the CCG has supported work to reduce waiting lists through the expansion of services to tackle the increased waiting times caused by the reduction in face to face services during the early stages of Covid-19. During 2021 we have also launched a new Mental Health Support Teams in schools (MHSTs) service which provides specialist mental health staff into schools to support those pupils with mental health issues by improving access to services through early identification of issues and promotion of emotional health and well- being across whole school communities. The teams will work alongside existing services such as Educational Psychologists and pastoral support to ensure a holistic approach within school settings. The MHSTs will work closely with Child and Adolescent Mental Health Services (CAMHS) in order to support transitions both in and out of the CAMHS service ensuring access to specialist services at the right time.</w:t>
      </w:r>
    </w:p>
    <w:p>
      <w:pPr>
        <w:pStyle w:val="BodyText"/>
        <w:spacing w:before="119"/>
        <w:ind w:left="679" w:right="881"/>
      </w:pPr>
      <w:r>
        <w:rPr/>
        <w:t>In conjunction with North Lincolnshire Council, the CCG has contributed to the development of an all-age autism plan for 2022-2026, co-produced with a wide range of partners and informed by user voice. The plan is awaiting formal approval and following this, implementation of the plan will be monitored by the SEND Standards Board, the Integrated Children’s Trust and the Integrated Adults Partnership</w:t>
      </w:r>
      <w:r>
        <w:rPr>
          <w:color w:val="FF0000"/>
        </w:rPr>
        <w:t>.</w:t>
      </w:r>
    </w:p>
    <w:p>
      <w:pPr>
        <w:spacing w:after="0"/>
        <w:sectPr>
          <w:pgSz w:w="11920" w:h="16850"/>
          <w:pgMar w:header="0" w:footer="363" w:top="1320" w:bottom="640" w:left="760" w:right="420"/>
        </w:sectPr>
      </w:pPr>
    </w:p>
    <w:p>
      <w:pPr>
        <w:pStyle w:val="BodyText"/>
        <w:spacing w:before="81"/>
        <w:ind w:left="680" w:right="1345"/>
      </w:pPr>
      <w:r>
        <w:rPr/>
        <w:t>In conjunction with North Lincolnshire Council, we have further invested in the jointly commissioned specialist trauma service to ensure children who have experienced trauma through abuse or neglect can access timely specialist support.</w:t>
      </w:r>
    </w:p>
    <w:p>
      <w:pPr>
        <w:pStyle w:val="BodyText"/>
        <w:spacing w:before="1"/>
        <w:rPr>
          <w:sz w:val="32"/>
        </w:rPr>
      </w:pPr>
    </w:p>
    <w:p>
      <w:pPr>
        <w:pStyle w:val="Heading4"/>
      </w:pPr>
      <w:bookmarkStart w:name="Adult services" w:id="56"/>
      <w:bookmarkEnd w:id="56"/>
      <w:r>
        <w:rPr>
          <w:b w:val="0"/>
        </w:rPr>
      </w:r>
      <w:r>
        <w:rPr>
          <w:color w:val="4F81BB"/>
        </w:rPr>
        <w:t>Adult services</w:t>
      </w:r>
    </w:p>
    <w:p>
      <w:pPr>
        <w:pStyle w:val="BodyText"/>
        <w:spacing w:before="6"/>
        <w:rPr>
          <w:b/>
        </w:rPr>
      </w:pPr>
    </w:p>
    <w:p>
      <w:pPr>
        <w:pStyle w:val="BodyText"/>
        <w:ind w:left="679" w:right="722"/>
      </w:pPr>
      <w:r>
        <w:rPr/>
        <w:t>Work with wider partners across the Humber and North Yorkshire footprint continues to implement the Transforming Care plan, including development of community infrastructure and reducing avoidable hospital admissions for people with a learning disability. During 2021-22 we have been able to expand the North East Lincolnshire employability scheme for people with a learning disability to North Lincolnshire to support people into training and employment. Despite the huge pressures in primary care, GP practices have managed to increase the proportion of patients with a learning disability who have received an annual health check within the last year.</w:t>
      </w:r>
    </w:p>
    <w:p>
      <w:pPr>
        <w:pStyle w:val="BodyText"/>
        <w:spacing w:before="6"/>
        <w:rPr>
          <w:sz w:val="32"/>
        </w:rPr>
      </w:pPr>
    </w:p>
    <w:p>
      <w:pPr>
        <w:pStyle w:val="BodyText"/>
        <w:spacing w:before="1"/>
        <w:ind w:left="680" w:right="722"/>
      </w:pPr>
      <w:r>
        <w:rPr/>
        <w:t>The CCG has continued work with MIND North Lincolnshire to develop a crisis house to support people in mental health crisis to avoid hospital admission. The model has been developed with input from services users and whilst the launch has been delayed due to building work, the facility is scheduled to open in Spring 2022.</w:t>
      </w:r>
    </w:p>
    <w:p>
      <w:pPr>
        <w:pStyle w:val="BodyText"/>
        <w:spacing w:before="2"/>
        <w:rPr>
          <w:sz w:val="32"/>
        </w:rPr>
      </w:pPr>
    </w:p>
    <w:p>
      <w:pPr>
        <w:pStyle w:val="BodyText"/>
        <w:ind w:left="680" w:right="1101"/>
      </w:pPr>
      <w:r>
        <w:rPr/>
        <w:t>We have increased support for mental health in primary care through the development of a Primary Care Network mental health team and appointment of mental health nurses into GP practices. This is improving access to mental health support in primary care and starting to increase the number of people with a mental health condition who receive an annual health check.</w:t>
      </w:r>
    </w:p>
    <w:p>
      <w:pPr>
        <w:pStyle w:val="BodyText"/>
        <w:rPr>
          <w:sz w:val="24"/>
        </w:rPr>
      </w:pPr>
    </w:p>
    <w:p>
      <w:pPr>
        <w:pStyle w:val="BodyText"/>
        <w:spacing w:before="10"/>
        <w:rPr>
          <w:sz w:val="18"/>
        </w:rPr>
      </w:pPr>
    </w:p>
    <w:p>
      <w:pPr>
        <w:pStyle w:val="Heading3"/>
        <w:spacing w:before="0"/>
      </w:pPr>
      <w:bookmarkStart w:name="Frailty" w:id="57"/>
      <w:bookmarkEnd w:id="57"/>
      <w:r>
        <w:rPr>
          <w:b w:val="0"/>
        </w:rPr>
      </w:r>
      <w:bookmarkStart w:name="_bookmark11" w:id="58"/>
      <w:bookmarkEnd w:id="58"/>
      <w:r>
        <w:rPr>
          <w:b w:val="0"/>
        </w:rPr>
      </w:r>
      <w:r>
        <w:rPr>
          <w:color w:val="4F81BB"/>
        </w:rPr>
        <w:t>Frailty</w:t>
      </w:r>
    </w:p>
    <w:p>
      <w:pPr>
        <w:pStyle w:val="BodyText"/>
        <w:spacing w:before="8"/>
        <w:rPr>
          <w:b/>
          <w:sz w:val="24"/>
        </w:rPr>
      </w:pPr>
    </w:p>
    <w:p>
      <w:pPr>
        <w:pStyle w:val="BodyText"/>
        <w:ind w:left="680" w:right="843"/>
      </w:pPr>
      <w:r>
        <w:rPr/>
        <w:t>During 2021-22, the national Ageing Well programme focused on the development of new integrated models of community care to help increase community capacity to support more patients out of hospital – helping alleviate pressures on other parts of the health system and improve outcomes for patients. This programme focused on supporting our frail population and addressed three key priority areas:</w:t>
      </w:r>
    </w:p>
    <w:p>
      <w:pPr>
        <w:pStyle w:val="ListParagraph"/>
        <w:numPr>
          <w:ilvl w:val="1"/>
          <w:numId w:val="5"/>
        </w:numPr>
        <w:tabs>
          <w:tab w:pos="1399" w:val="left" w:leader="none"/>
          <w:tab w:pos="1401" w:val="left" w:leader="none"/>
        </w:tabs>
        <w:spacing w:line="235" w:lineRule="auto" w:before="203" w:after="0"/>
        <w:ind w:left="1400" w:right="1085" w:hanging="361"/>
        <w:jc w:val="left"/>
        <w:rPr>
          <w:rFonts w:ascii="Symbol" w:hAnsi="Symbol"/>
          <w:sz w:val="22"/>
        </w:rPr>
      </w:pPr>
      <w:r>
        <w:rPr>
          <w:b/>
          <w:sz w:val="22"/>
        </w:rPr>
        <w:t>Enhanced health in care homes </w:t>
      </w:r>
      <w:r>
        <w:rPr>
          <w:sz w:val="22"/>
        </w:rPr>
        <w:t>– enhanced support and better coordinated care, reablement and rehabilitation for care home residents through personalised care and support</w:t>
      </w:r>
      <w:r>
        <w:rPr>
          <w:spacing w:val="-1"/>
          <w:sz w:val="22"/>
        </w:rPr>
        <w:t> </w:t>
      </w:r>
      <w:r>
        <w:rPr>
          <w:sz w:val="22"/>
        </w:rPr>
        <w:t>planning</w:t>
      </w:r>
    </w:p>
    <w:p>
      <w:pPr>
        <w:pStyle w:val="ListParagraph"/>
        <w:numPr>
          <w:ilvl w:val="1"/>
          <w:numId w:val="5"/>
        </w:numPr>
        <w:tabs>
          <w:tab w:pos="1400" w:val="left" w:leader="none"/>
          <w:tab w:pos="1401" w:val="left" w:leader="none"/>
        </w:tabs>
        <w:spacing w:line="237" w:lineRule="auto" w:before="6" w:after="0"/>
        <w:ind w:left="1400" w:right="1954" w:hanging="361"/>
        <w:jc w:val="left"/>
        <w:rPr>
          <w:rFonts w:ascii="Symbol" w:hAnsi="Symbol"/>
          <w:sz w:val="22"/>
        </w:rPr>
      </w:pPr>
      <w:r>
        <w:rPr>
          <w:b/>
          <w:sz w:val="22"/>
        </w:rPr>
        <w:t>Urgent community response </w:t>
      </w:r>
      <w:r>
        <w:rPr>
          <w:sz w:val="22"/>
        </w:rPr>
        <w:t>– rapid response to people in the community experiencing a health or social care</w:t>
      </w:r>
      <w:r>
        <w:rPr>
          <w:spacing w:val="-15"/>
          <w:sz w:val="22"/>
        </w:rPr>
        <w:t> </w:t>
      </w:r>
      <w:r>
        <w:rPr>
          <w:sz w:val="22"/>
        </w:rPr>
        <w:t>crisis</w:t>
      </w:r>
    </w:p>
    <w:p>
      <w:pPr>
        <w:pStyle w:val="ListParagraph"/>
        <w:numPr>
          <w:ilvl w:val="1"/>
          <w:numId w:val="5"/>
        </w:numPr>
        <w:tabs>
          <w:tab w:pos="1400" w:val="left" w:leader="none"/>
          <w:tab w:pos="1401" w:val="left" w:leader="none"/>
        </w:tabs>
        <w:spacing w:line="235" w:lineRule="auto" w:before="3" w:after="0"/>
        <w:ind w:left="1400" w:right="1038" w:hanging="361"/>
        <w:jc w:val="left"/>
        <w:rPr>
          <w:rFonts w:ascii="Symbol" w:hAnsi="Symbol"/>
          <w:sz w:val="22"/>
        </w:rPr>
      </w:pPr>
      <w:r>
        <w:rPr>
          <w:b/>
          <w:sz w:val="22"/>
        </w:rPr>
        <w:t>Anticipatory care </w:t>
      </w:r>
      <w:r>
        <w:rPr>
          <w:sz w:val="22"/>
        </w:rPr>
        <w:t>– helping people with complex needs stay healthy and functionally able through personalised care and support</w:t>
      </w:r>
      <w:r>
        <w:rPr>
          <w:spacing w:val="-9"/>
          <w:sz w:val="22"/>
        </w:rPr>
        <w:t> </w:t>
      </w:r>
      <w:r>
        <w:rPr>
          <w:sz w:val="22"/>
        </w:rPr>
        <w:t>planning.</w:t>
      </w:r>
    </w:p>
    <w:p>
      <w:pPr>
        <w:pStyle w:val="BodyText"/>
        <w:rPr>
          <w:sz w:val="24"/>
        </w:rPr>
      </w:pPr>
    </w:p>
    <w:p>
      <w:pPr>
        <w:pStyle w:val="BodyText"/>
        <w:spacing w:before="140"/>
        <w:ind w:left="680" w:right="808"/>
      </w:pPr>
      <w:r>
        <w:rPr/>
        <w:t>The implementation of these workstreams is overseen by the Northern Lincolnshire Frailty Oversight Group which is led by frailty clinicians and includes representation from partners across the North Lincolnshire health and care system. The group has taken forward learning from the award-winning frailty service delivered from the team at the Jean Bishop Integrated Care Centre in Hull. This is led by Community Consultant Geriatricians, has agreed a consistent, system-wide approach to identification of frailty and commences risk stratification of the frail population to identify those patients who would benefit from the local frailty service, proactively managing their health to reduce the risk of hospitalisation.</w:t>
      </w:r>
    </w:p>
    <w:p>
      <w:pPr>
        <w:pStyle w:val="BodyText"/>
        <w:spacing w:before="160"/>
        <w:ind w:left="680" w:right="948"/>
        <w:jc w:val="both"/>
      </w:pPr>
      <w:r>
        <w:rPr/>
        <w:t>The continued implementation of enhanced health in care homes means that now, every care home is aligned to a Primary Care Network. This enables people who are a resident in a care home to receive a weekly check from primary care and the wider multi-disciplinary care team</w:t>
      </w:r>
    </w:p>
    <w:p>
      <w:pPr>
        <w:spacing w:after="0"/>
        <w:jc w:val="both"/>
        <w:sectPr>
          <w:pgSz w:w="11920" w:h="16850"/>
          <w:pgMar w:header="0" w:footer="363" w:top="1320" w:bottom="640" w:left="760" w:right="420"/>
        </w:sectPr>
      </w:pPr>
    </w:p>
    <w:p>
      <w:pPr>
        <w:pStyle w:val="BodyText"/>
        <w:spacing w:before="81"/>
        <w:ind w:left="680" w:right="709"/>
      </w:pPr>
      <w:r>
        <w:rPr/>
        <w:t>including representatives from the care home, primary care and community services to identify early any healthcare needs and ensure these are addressed. A successful pilot has been under way in East PCN which provides an integrated support package coordinated by a lead nurse undertaking a holistic assessment of the needs of care home residents and person-centred care planning. Early feedback indicates that the pilot has delivered positive outcomes for care home residents and their carers through this joined-up and targeted approach.</w:t>
      </w:r>
    </w:p>
    <w:p>
      <w:pPr>
        <w:pStyle w:val="BodyText"/>
        <w:rPr>
          <w:sz w:val="24"/>
        </w:rPr>
      </w:pPr>
    </w:p>
    <w:p>
      <w:pPr>
        <w:pStyle w:val="BodyText"/>
        <w:spacing w:before="176"/>
        <w:ind w:left="679" w:right="832"/>
      </w:pPr>
      <w:r>
        <w:rPr/>
        <w:t>In the latter part of 2021-22, North Lincolnshire has seen the mobilisation of a 2 hour Urgent Community Response service which provides an integrated health and/or social care response in a patient’s own home or usual place of residence in the event of a crisis. The service is operational 8am-8pm, seven days per week and is supported by a GP who is part of the wider community unscheduled care team to provide senior decision making, following a successful pilot period during the pandemic. This service aims to reduce unnecessary attendance or admission to hospital, enabled by rapid access to senior clinical decision making, and for the patient to remain in their own home where it is safe to do so. As the service evolves and embeds, opportunities will be sought to enhance the provision.</w:t>
      </w:r>
    </w:p>
    <w:p>
      <w:pPr>
        <w:pStyle w:val="BodyText"/>
        <w:rPr>
          <w:sz w:val="24"/>
        </w:rPr>
      </w:pPr>
    </w:p>
    <w:p>
      <w:pPr>
        <w:pStyle w:val="BodyText"/>
        <w:spacing w:before="191"/>
        <w:ind w:left="680" w:right="806"/>
      </w:pPr>
      <w:r>
        <w:rPr/>
        <w:t>Over the next year the frailty workstreams will look to further integrate and optimise existing pathways and services by focusing on the enhancement of clinical leadership and collaborative working, facilitated by the Frailty Oversight Group and Integrated Care System Collaborative with the national operational guidance for the Aging Well workstreams.</w:t>
      </w:r>
    </w:p>
    <w:p>
      <w:pPr>
        <w:pStyle w:val="BodyText"/>
        <w:rPr>
          <w:sz w:val="24"/>
        </w:rPr>
      </w:pPr>
    </w:p>
    <w:p>
      <w:pPr>
        <w:pStyle w:val="Heading3"/>
        <w:spacing w:before="177"/>
      </w:pPr>
      <w:bookmarkStart w:name="End of life" w:id="59"/>
      <w:bookmarkEnd w:id="59"/>
      <w:r>
        <w:rPr>
          <w:b w:val="0"/>
        </w:rPr>
      </w:r>
      <w:r>
        <w:rPr>
          <w:color w:val="4F81BB"/>
        </w:rPr>
        <w:t>End of life</w:t>
      </w:r>
    </w:p>
    <w:p>
      <w:pPr>
        <w:pStyle w:val="BodyText"/>
        <w:spacing w:before="248"/>
        <w:ind w:left="680" w:right="783"/>
      </w:pPr>
      <w:r>
        <w:rPr/>
        <w:t>The Northern Lincolnshire End of Life Steering Group was established from July 2020 with senior representation from each organisation and delegated decision-making responsibilities. This group has continued to drive forward improvements in end of life care through improved integration of care. During 2021-22, significant progress has been made with the implementation of </w:t>
      </w:r>
      <w:r>
        <w:rPr>
          <w:rFonts w:ascii="Calibri"/>
        </w:rPr>
        <w:t>ReSPECT </w:t>
      </w:r>
      <w:r>
        <w:rPr/>
        <w:t>(Recommended Summary Plan for Emergency Care and Treatment). This enables health professionals to create a personalised recommendation for clinical care in emergency situations where the person is not able to make decisions or express their wishes, including decisions where a patient does not wish to be resuscitated.</w:t>
      </w:r>
    </w:p>
    <w:p>
      <w:pPr>
        <w:pStyle w:val="BodyText"/>
        <w:rPr>
          <w:sz w:val="24"/>
        </w:rPr>
      </w:pPr>
    </w:p>
    <w:p>
      <w:pPr>
        <w:pStyle w:val="BodyText"/>
        <w:spacing w:before="178"/>
        <w:ind w:left="679" w:right="721"/>
      </w:pPr>
      <w:r>
        <w:rPr/>
        <w:t>The implementation of Electronic Palliative Care Co-ordination Systems (EPaCCS) has continued with increased numbers of care plans being recorded on the system. EPaCCS record people’s care preferences and important details about their care at the end of life. This information facilitates co-ordination of care between all health and care providers involved in caring for a patient at the end of life. It supports appropriate treatment decisions to allow more people to experience a ‘good death’, in the place that they wish and with the appropriate level of intervention.</w:t>
      </w:r>
    </w:p>
    <w:p>
      <w:pPr>
        <w:pStyle w:val="BodyText"/>
        <w:rPr>
          <w:sz w:val="24"/>
        </w:rPr>
      </w:pPr>
    </w:p>
    <w:p>
      <w:pPr>
        <w:pStyle w:val="BodyText"/>
        <w:spacing w:before="176"/>
        <w:ind w:left="680" w:right="1221"/>
      </w:pPr>
      <w:r>
        <w:rPr/>
        <w:t>We have adopted a standard competency framework for end of life care skills across all partners and have developed standard training for clinical practice/direct patient care; communications skills and symptom management including last days of life. This will be continued to be developed and mobilised during 2022-23 to ensure consistent, high-quality training and education for people involved in end of life care.</w:t>
      </w:r>
    </w:p>
    <w:p>
      <w:pPr>
        <w:spacing w:after="0"/>
        <w:sectPr>
          <w:pgSz w:w="11920" w:h="16850"/>
          <w:pgMar w:header="0" w:footer="363" w:top="1320" w:bottom="640" w:left="760" w:right="420"/>
        </w:sectPr>
      </w:pPr>
    </w:p>
    <w:p>
      <w:pPr>
        <w:pStyle w:val="Heading3"/>
        <w:spacing w:before="79"/>
      </w:pPr>
      <w:bookmarkStart w:name="Primary care" w:id="60"/>
      <w:bookmarkEnd w:id="60"/>
      <w:r>
        <w:rPr>
          <w:b w:val="0"/>
        </w:rPr>
      </w:r>
      <w:bookmarkStart w:name="_bookmark12" w:id="61"/>
      <w:bookmarkEnd w:id="61"/>
      <w:r>
        <w:rPr>
          <w:b w:val="0"/>
        </w:rPr>
      </w:r>
      <w:r>
        <w:rPr>
          <w:color w:val="4F81BB"/>
        </w:rPr>
        <w:t>Primary care</w:t>
      </w:r>
    </w:p>
    <w:p>
      <w:pPr>
        <w:pStyle w:val="BodyText"/>
        <w:spacing w:before="248"/>
        <w:ind w:left="680" w:right="857"/>
      </w:pPr>
      <w:r>
        <w:rPr>
          <w:color w:val="222222"/>
        </w:rPr>
        <w:t>There are four Primary Care Networks (PCNs) established in North Lincolnshire which operate under the Network Contract Directed Enhanced Service (DES), each having their own Clinical Director and PCN Manager to help develop and expand the networks and provide a more effective service for patients. As the PCNs continue to mature, the networks continue to recruit additional workforce as part of the Additional Roles Reimbursement Scheme to increase capacity to help meet patient demand. The 19 GP practices in North Lincolnshire serve a population of around 183,500 people.</w:t>
      </w:r>
    </w:p>
    <w:p>
      <w:pPr>
        <w:pStyle w:val="BodyText"/>
        <w:rPr>
          <w:sz w:val="20"/>
        </w:rPr>
      </w:pPr>
    </w:p>
    <w:p>
      <w:pPr>
        <w:pStyle w:val="BodyText"/>
        <w:spacing w:before="3"/>
        <w:rPr>
          <w:sz w:val="19"/>
        </w:rPr>
      </w:pPr>
    </w:p>
    <w:tbl>
      <w:tblPr>
        <w:tblW w:w="0" w:type="auto"/>
        <w:jc w:val="left"/>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1570"/>
        <w:gridCol w:w="2552"/>
        <w:gridCol w:w="2646"/>
      </w:tblGrid>
      <w:tr>
        <w:trPr>
          <w:trHeight w:val="510" w:hRule="atLeast"/>
        </w:trPr>
        <w:tc>
          <w:tcPr>
            <w:tcW w:w="2254" w:type="dxa"/>
            <w:shd w:val="clear" w:color="auto" w:fill="B8CCE2"/>
          </w:tcPr>
          <w:p>
            <w:pPr>
              <w:pStyle w:val="TableParagraph"/>
              <w:ind w:left="110"/>
              <w:rPr>
                <w:b/>
                <w:sz w:val="22"/>
              </w:rPr>
            </w:pPr>
            <w:r>
              <w:rPr>
                <w:b/>
                <w:sz w:val="22"/>
              </w:rPr>
              <w:t>PCN</w:t>
            </w:r>
          </w:p>
        </w:tc>
        <w:tc>
          <w:tcPr>
            <w:tcW w:w="1570" w:type="dxa"/>
            <w:shd w:val="clear" w:color="auto" w:fill="B8CCE2"/>
          </w:tcPr>
          <w:p>
            <w:pPr>
              <w:pStyle w:val="TableParagraph"/>
              <w:spacing w:line="254" w:lineRule="exact" w:before="3"/>
              <w:ind w:left="109" w:right="331"/>
              <w:rPr>
                <w:b/>
                <w:sz w:val="22"/>
              </w:rPr>
            </w:pPr>
            <w:r>
              <w:rPr>
                <w:b/>
                <w:sz w:val="22"/>
              </w:rPr>
              <w:t>Number of practices</w:t>
            </w:r>
          </w:p>
        </w:tc>
        <w:tc>
          <w:tcPr>
            <w:tcW w:w="2552" w:type="dxa"/>
            <w:shd w:val="clear" w:color="auto" w:fill="B8CCE2"/>
          </w:tcPr>
          <w:p>
            <w:pPr>
              <w:pStyle w:val="TableParagraph"/>
              <w:spacing w:line="254" w:lineRule="exact" w:before="3"/>
              <w:ind w:left="111" w:right="870"/>
              <w:rPr>
                <w:b/>
                <w:sz w:val="22"/>
              </w:rPr>
            </w:pPr>
            <w:r>
              <w:rPr>
                <w:b/>
                <w:sz w:val="22"/>
              </w:rPr>
              <w:t>Total patients (nearest 1,000)</w:t>
            </w:r>
          </w:p>
        </w:tc>
        <w:tc>
          <w:tcPr>
            <w:tcW w:w="2646" w:type="dxa"/>
            <w:shd w:val="clear" w:color="auto" w:fill="B8CCE2"/>
          </w:tcPr>
          <w:p>
            <w:pPr>
              <w:pStyle w:val="TableParagraph"/>
              <w:ind w:left="108"/>
              <w:rPr>
                <w:b/>
                <w:sz w:val="22"/>
              </w:rPr>
            </w:pPr>
            <w:r>
              <w:rPr>
                <w:b/>
                <w:sz w:val="22"/>
              </w:rPr>
              <w:t>Clinical Director</w:t>
            </w:r>
          </w:p>
        </w:tc>
      </w:tr>
      <w:tr>
        <w:trPr>
          <w:trHeight w:val="249" w:hRule="atLeast"/>
        </w:trPr>
        <w:tc>
          <w:tcPr>
            <w:tcW w:w="2254" w:type="dxa"/>
          </w:tcPr>
          <w:p>
            <w:pPr>
              <w:pStyle w:val="TableParagraph"/>
              <w:spacing w:line="229" w:lineRule="exact"/>
              <w:ind w:left="110"/>
              <w:rPr>
                <w:sz w:val="22"/>
              </w:rPr>
            </w:pPr>
            <w:r>
              <w:rPr>
                <w:sz w:val="22"/>
              </w:rPr>
              <w:t>East Network</w:t>
            </w:r>
          </w:p>
        </w:tc>
        <w:tc>
          <w:tcPr>
            <w:tcW w:w="1570" w:type="dxa"/>
          </w:tcPr>
          <w:p>
            <w:pPr>
              <w:pStyle w:val="TableParagraph"/>
              <w:spacing w:line="229" w:lineRule="exact"/>
              <w:ind w:left="109"/>
              <w:rPr>
                <w:sz w:val="22"/>
              </w:rPr>
            </w:pPr>
            <w:r>
              <w:rPr>
                <w:w w:val="100"/>
                <w:sz w:val="22"/>
              </w:rPr>
              <w:t>5</w:t>
            </w:r>
          </w:p>
        </w:tc>
        <w:tc>
          <w:tcPr>
            <w:tcW w:w="2552" w:type="dxa"/>
          </w:tcPr>
          <w:p>
            <w:pPr>
              <w:pStyle w:val="TableParagraph"/>
              <w:spacing w:line="229" w:lineRule="exact"/>
              <w:ind w:left="111"/>
              <w:rPr>
                <w:sz w:val="22"/>
              </w:rPr>
            </w:pPr>
            <w:r>
              <w:rPr>
                <w:sz w:val="22"/>
              </w:rPr>
              <w:t>32,000</w:t>
            </w:r>
          </w:p>
        </w:tc>
        <w:tc>
          <w:tcPr>
            <w:tcW w:w="2646" w:type="dxa"/>
          </w:tcPr>
          <w:p>
            <w:pPr>
              <w:pStyle w:val="TableParagraph"/>
              <w:spacing w:line="229" w:lineRule="exact"/>
              <w:ind w:left="108"/>
              <w:rPr>
                <w:sz w:val="22"/>
              </w:rPr>
            </w:pPr>
            <w:r>
              <w:rPr>
                <w:sz w:val="22"/>
              </w:rPr>
              <w:t>Dr Salim Modan</w:t>
            </w:r>
          </w:p>
        </w:tc>
      </w:tr>
      <w:tr>
        <w:trPr>
          <w:trHeight w:val="508" w:hRule="atLeast"/>
        </w:trPr>
        <w:tc>
          <w:tcPr>
            <w:tcW w:w="2254" w:type="dxa"/>
          </w:tcPr>
          <w:p>
            <w:pPr>
              <w:pStyle w:val="TableParagraph"/>
              <w:ind w:left="110"/>
              <w:rPr>
                <w:sz w:val="22"/>
              </w:rPr>
            </w:pPr>
            <w:r>
              <w:rPr>
                <w:sz w:val="22"/>
              </w:rPr>
              <w:t>South Network</w:t>
            </w:r>
          </w:p>
        </w:tc>
        <w:tc>
          <w:tcPr>
            <w:tcW w:w="1570" w:type="dxa"/>
          </w:tcPr>
          <w:p>
            <w:pPr>
              <w:pStyle w:val="TableParagraph"/>
              <w:ind w:left="109"/>
              <w:rPr>
                <w:sz w:val="22"/>
              </w:rPr>
            </w:pPr>
            <w:r>
              <w:rPr>
                <w:w w:val="100"/>
                <w:sz w:val="22"/>
              </w:rPr>
              <w:t>6</w:t>
            </w:r>
          </w:p>
        </w:tc>
        <w:tc>
          <w:tcPr>
            <w:tcW w:w="2552" w:type="dxa"/>
          </w:tcPr>
          <w:p>
            <w:pPr>
              <w:pStyle w:val="TableParagraph"/>
              <w:ind w:left="111"/>
              <w:rPr>
                <w:sz w:val="22"/>
              </w:rPr>
            </w:pPr>
            <w:r>
              <w:rPr>
                <w:sz w:val="22"/>
              </w:rPr>
              <w:t>72,000</w:t>
            </w:r>
          </w:p>
        </w:tc>
        <w:tc>
          <w:tcPr>
            <w:tcW w:w="2646" w:type="dxa"/>
          </w:tcPr>
          <w:p>
            <w:pPr>
              <w:pStyle w:val="TableParagraph"/>
              <w:spacing w:line="252" w:lineRule="exact" w:before="4"/>
              <w:ind w:left="108" w:right="185"/>
              <w:rPr>
                <w:sz w:val="22"/>
              </w:rPr>
            </w:pPr>
            <w:r>
              <w:rPr>
                <w:sz w:val="22"/>
              </w:rPr>
              <w:t>Dr Tehmina Mubarika &amp; Dr Jane Widders</w:t>
            </w:r>
          </w:p>
        </w:tc>
      </w:tr>
      <w:tr>
        <w:trPr>
          <w:trHeight w:val="249" w:hRule="atLeast"/>
        </w:trPr>
        <w:tc>
          <w:tcPr>
            <w:tcW w:w="2254" w:type="dxa"/>
          </w:tcPr>
          <w:p>
            <w:pPr>
              <w:pStyle w:val="TableParagraph"/>
              <w:spacing w:line="229" w:lineRule="exact"/>
              <w:ind w:left="110"/>
              <w:rPr>
                <w:sz w:val="22"/>
              </w:rPr>
            </w:pPr>
            <w:r>
              <w:rPr>
                <w:sz w:val="22"/>
              </w:rPr>
              <w:t>North Network</w:t>
            </w:r>
          </w:p>
        </w:tc>
        <w:tc>
          <w:tcPr>
            <w:tcW w:w="1570" w:type="dxa"/>
          </w:tcPr>
          <w:p>
            <w:pPr>
              <w:pStyle w:val="TableParagraph"/>
              <w:spacing w:line="229" w:lineRule="exact"/>
              <w:ind w:left="109"/>
              <w:rPr>
                <w:sz w:val="22"/>
              </w:rPr>
            </w:pPr>
            <w:r>
              <w:rPr>
                <w:w w:val="100"/>
                <w:sz w:val="22"/>
              </w:rPr>
              <w:t>3</w:t>
            </w:r>
          </w:p>
        </w:tc>
        <w:tc>
          <w:tcPr>
            <w:tcW w:w="2552" w:type="dxa"/>
          </w:tcPr>
          <w:p>
            <w:pPr>
              <w:pStyle w:val="TableParagraph"/>
              <w:spacing w:line="229" w:lineRule="exact"/>
              <w:ind w:left="111"/>
              <w:rPr>
                <w:sz w:val="22"/>
              </w:rPr>
            </w:pPr>
            <w:r>
              <w:rPr>
                <w:sz w:val="22"/>
              </w:rPr>
              <w:t>33,000</w:t>
            </w:r>
          </w:p>
        </w:tc>
        <w:tc>
          <w:tcPr>
            <w:tcW w:w="2646" w:type="dxa"/>
          </w:tcPr>
          <w:p>
            <w:pPr>
              <w:pStyle w:val="TableParagraph"/>
              <w:spacing w:line="229" w:lineRule="exact"/>
              <w:ind w:left="108"/>
              <w:rPr>
                <w:sz w:val="22"/>
              </w:rPr>
            </w:pPr>
            <w:r>
              <w:rPr>
                <w:sz w:val="22"/>
              </w:rPr>
              <w:t>Dr Toby Blumenthal</w:t>
            </w:r>
          </w:p>
        </w:tc>
      </w:tr>
      <w:tr>
        <w:trPr>
          <w:trHeight w:val="510" w:hRule="atLeast"/>
        </w:trPr>
        <w:tc>
          <w:tcPr>
            <w:tcW w:w="2254" w:type="dxa"/>
          </w:tcPr>
          <w:p>
            <w:pPr>
              <w:pStyle w:val="TableParagraph"/>
              <w:ind w:left="110"/>
              <w:rPr>
                <w:sz w:val="22"/>
              </w:rPr>
            </w:pPr>
            <w:r>
              <w:rPr>
                <w:sz w:val="22"/>
              </w:rPr>
              <w:t>West Network</w:t>
            </w:r>
          </w:p>
        </w:tc>
        <w:tc>
          <w:tcPr>
            <w:tcW w:w="1570" w:type="dxa"/>
          </w:tcPr>
          <w:p>
            <w:pPr>
              <w:pStyle w:val="TableParagraph"/>
              <w:ind w:left="109"/>
              <w:rPr>
                <w:sz w:val="22"/>
              </w:rPr>
            </w:pPr>
            <w:r>
              <w:rPr>
                <w:w w:val="100"/>
                <w:sz w:val="22"/>
              </w:rPr>
              <w:t>5</w:t>
            </w:r>
          </w:p>
        </w:tc>
        <w:tc>
          <w:tcPr>
            <w:tcW w:w="2552" w:type="dxa"/>
          </w:tcPr>
          <w:p>
            <w:pPr>
              <w:pStyle w:val="TableParagraph"/>
              <w:ind w:left="111"/>
              <w:rPr>
                <w:sz w:val="22"/>
              </w:rPr>
            </w:pPr>
            <w:r>
              <w:rPr>
                <w:sz w:val="22"/>
              </w:rPr>
              <w:t>44,000</w:t>
            </w:r>
          </w:p>
        </w:tc>
        <w:tc>
          <w:tcPr>
            <w:tcW w:w="2646" w:type="dxa"/>
          </w:tcPr>
          <w:p>
            <w:pPr>
              <w:pStyle w:val="TableParagraph"/>
              <w:spacing w:line="254" w:lineRule="exact" w:before="3"/>
              <w:ind w:left="108" w:right="669"/>
              <w:rPr>
                <w:sz w:val="22"/>
              </w:rPr>
            </w:pPr>
            <w:r>
              <w:rPr>
                <w:sz w:val="22"/>
              </w:rPr>
              <w:t>Dr Pratik Basu &amp; Dr Gary Armstrong</w:t>
            </w:r>
          </w:p>
        </w:tc>
      </w:tr>
    </w:tbl>
    <w:p>
      <w:pPr>
        <w:pStyle w:val="BodyText"/>
        <w:rPr>
          <w:sz w:val="20"/>
        </w:rPr>
      </w:pPr>
    </w:p>
    <w:p>
      <w:pPr>
        <w:pStyle w:val="BodyText"/>
        <w:spacing w:before="6"/>
      </w:pPr>
    </w:p>
    <w:p>
      <w:pPr>
        <w:pStyle w:val="Heading4"/>
        <w:spacing w:before="92"/>
      </w:pPr>
      <w:bookmarkStart w:name="Covid-19" w:id="62"/>
      <w:bookmarkEnd w:id="62"/>
      <w:r>
        <w:rPr>
          <w:b w:val="0"/>
        </w:rPr>
      </w:r>
      <w:r>
        <w:rPr>
          <w:color w:val="4F81BB"/>
        </w:rPr>
        <w:t>Covid-19</w:t>
      </w:r>
    </w:p>
    <w:p>
      <w:pPr>
        <w:pStyle w:val="BodyText"/>
        <w:rPr>
          <w:b/>
          <w:sz w:val="21"/>
        </w:rPr>
      </w:pPr>
    </w:p>
    <w:p>
      <w:pPr>
        <w:pStyle w:val="BodyText"/>
        <w:spacing w:line="242" w:lineRule="auto" w:before="1"/>
        <w:ind w:left="680" w:right="733"/>
      </w:pPr>
      <w:r>
        <w:rPr>
          <w:color w:val="222222"/>
        </w:rPr>
        <w:t>Following the commencement of the Covid-19 vaccination programme, all four Primary Care Networks, three community pharmacies and Scunthorpe Vaccination Centre all signed up to deliver the vaccination programme, and have successfully vaccinated more than 378,000 doses in North Lincolnshire.</w:t>
      </w:r>
    </w:p>
    <w:p>
      <w:pPr>
        <w:pStyle w:val="BodyText"/>
        <w:rPr>
          <w:sz w:val="20"/>
        </w:rPr>
      </w:pPr>
    </w:p>
    <w:p>
      <w:pPr>
        <w:pStyle w:val="BodyText"/>
        <w:spacing w:before="4"/>
        <w:rPr>
          <w:sz w:val="18"/>
        </w:rPr>
      </w:pPr>
    </w:p>
    <w:tbl>
      <w:tblPr>
        <w:tblW w:w="0" w:type="auto"/>
        <w:jc w:val="left"/>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8"/>
        <w:gridCol w:w="3828"/>
      </w:tblGrid>
      <w:tr>
        <w:trPr>
          <w:trHeight w:val="251" w:hRule="atLeast"/>
        </w:trPr>
        <w:tc>
          <w:tcPr>
            <w:tcW w:w="5098" w:type="dxa"/>
            <w:shd w:val="clear" w:color="auto" w:fill="B8CCE2"/>
          </w:tcPr>
          <w:p>
            <w:pPr>
              <w:pStyle w:val="TableParagraph"/>
              <w:spacing w:line="232" w:lineRule="exact"/>
              <w:ind w:left="110"/>
              <w:rPr>
                <w:b/>
                <w:sz w:val="22"/>
              </w:rPr>
            </w:pPr>
            <w:r>
              <w:rPr>
                <w:b/>
                <w:sz w:val="22"/>
              </w:rPr>
              <w:t>Covid-19 Vaccination sites</w:t>
            </w:r>
          </w:p>
        </w:tc>
        <w:tc>
          <w:tcPr>
            <w:tcW w:w="3828" w:type="dxa"/>
            <w:shd w:val="clear" w:color="auto" w:fill="B8CCE2"/>
          </w:tcPr>
          <w:p>
            <w:pPr>
              <w:pStyle w:val="TableParagraph"/>
              <w:spacing w:line="232" w:lineRule="exact"/>
              <w:ind w:left="109"/>
              <w:rPr>
                <w:b/>
                <w:sz w:val="22"/>
              </w:rPr>
            </w:pPr>
            <w:r>
              <w:rPr>
                <w:b/>
                <w:sz w:val="22"/>
              </w:rPr>
              <w:t>Type of site</w:t>
            </w:r>
          </w:p>
        </w:tc>
      </w:tr>
      <w:tr>
        <w:trPr>
          <w:trHeight w:val="253" w:hRule="atLeast"/>
        </w:trPr>
        <w:tc>
          <w:tcPr>
            <w:tcW w:w="5098" w:type="dxa"/>
          </w:tcPr>
          <w:p>
            <w:pPr>
              <w:pStyle w:val="TableParagraph"/>
              <w:spacing w:line="234" w:lineRule="exact"/>
              <w:ind w:left="110"/>
              <w:rPr>
                <w:sz w:val="22"/>
              </w:rPr>
            </w:pPr>
            <w:r>
              <w:rPr>
                <w:sz w:val="22"/>
              </w:rPr>
              <w:t>East PCN - Riverside Surgery</w:t>
            </w:r>
          </w:p>
        </w:tc>
        <w:tc>
          <w:tcPr>
            <w:tcW w:w="3828" w:type="dxa"/>
          </w:tcPr>
          <w:p>
            <w:pPr>
              <w:pStyle w:val="TableParagraph"/>
              <w:spacing w:line="234" w:lineRule="exact"/>
              <w:ind w:left="109"/>
              <w:rPr>
                <w:sz w:val="22"/>
              </w:rPr>
            </w:pPr>
            <w:r>
              <w:rPr>
                <w:sz w:val="22"/>
              </w:rPr>
              <w:t>Local Vaccination site (LVS)</w:t>
            </w:r>
          </w:p>
        </w:tc>
      </w:tr>
      <w:tr>
        <w:trPr>
          <w:trHeight w:val="249" w:hRule="atLeast"/>
        </w:trPr>
        <w:tc>
          <w:tcPr>
            <w:tcW w:w="5098" w:type="dxa"/>
          </w:tcPr>
          <w:p>
            <w:pPr>
              <w:pStyle w:val="TableParagraph"/>
              <w:spacing w:line="229" w:lineRule="exact"/>
              <w:ind w:left="110"/>
              <w:rPr>
                <w:sz w:val="22"/>
              </w:rPr>
            </w:pPr>
            <w:r>
              <w:rPr>
                <w:sz w:val="22"/>
              </w:rPr>
              <w:t>South PCN - The Ironstone Centre, Scunthorpe</w:t>
            </w:r>
          </w:p>
        </w:tc>
        <w:tc>
          <w:tcPr>
            <w:tcW w:w="3828" w:type="dxa"/>
          </w:tcPr>
          <w:p>
            <w:pPr>
              <w:pStyle w:val="TableParagraph"/>
              <w:spacing w:line="229" w:lineRule="exact"/>
              <w:ind w:left="109"/>
              <w:rPr>
                <w:sz w:val="22"/>
              </w:rPr>
            </w:pPr>
            <w:r>
              <w:rPr>
                <w:sz w:val="22"/>
              </w:rPr>
              <w:t>Local Vaccination site (LVS)</w:t>
            </w:r>
          </w:p>
        </w:tc>
      </w:tr>
      <w:tr>
        <w:trPr>
          <w:trHeight w:val="254" w:hRule="atLeast"/>
        </w:trPr>
        <w:tc>
          <w:tcPr>
            <w:tcW w:w="5098" w:type="dxa"/>
          </w:tcPr>
          <w:p>
            <w:pPr>
              <w:pStyle w:val="TableParagraph"/>
              <w:spacing w:line="234" w:lineRule="exact"/>
              <w:ind w:left="110"/>
              <w:rPr>
                <w:sz w:val="22"/>
              </w:rPr>
            </w:pPr>
            <w:r>
              <w:rPr>
                <w:sz w:val="22"/>
              </w:rPr>
              <w:t>North PCN - Central Surgery, Barton</w:t>
            </w:r>
          </w:p>
        </w:tc>
        <w:tc>
          <w:tcPr>
            <w:tcW w:w="3828" w:type="dxa"/>
          </w:tcPr>
          <w:p>
            <w:pPr>
              <w:pStyle w:val="TableParagraph"/>
              <w:spacing w:line="234" w:lineRule="exact"/>
              <w:ind w:left="109"/>
              <w:rPr>
                <w:sz w:val="22"/>
              </w:rPr>
            </w:pPr>
            <w:r>
              <w:rPr>
                <w:sz w:val="22"/>
              </w:rPr>
              <w:t>Local Vaccination site (LVS)</w:t>
            </w:r>
          </w:p>
        </w:tc>
      </w:tr>
      <w:tr>
        <w:trPr>
          <w:trHeight w:val="253" w:hRule="atLeast"/>
        </w:trPr>
        <w:tc>
          <w:tcPr>
            <w:tcW w:w="5098" w:type="dxa"/>
          </w:tcPr>
          <w:p>
            <w:pPr>
              <w:pStyle w:val="TableParagraph"/>
              <w:spacing w:line="234" w:lineRule="exact"/>
              <w:ind w:left="110"/>
              <w:rPr>
                <w:sz w:val="22"/>
              </w:rPr>
            </w:pPr>
            <w:r>
              <w:rPr>
                <w:sz w:val="22"/>
              </w:rPr>
              <w:t>West PCN - Pinfold Surgery, Owston Ferry</w:t>
            </w:r>
          </w:p>
        </w:tc>
        <w:tc>
          <w:tcPr>
            <w:tcW w:w="3828" w:type="dxa"/>
          </w:tcPr>
          <w:p>
            <w:pPr>
              <w:pStyle w:val="TableParagraph"/>
              <w:spacing w:line="234" w:lineRule="exact"/>
              <w:ind w:left="109"/>
              <w:rPr>
                <w:sz w:val="22"/>
              </w:rPr>
            </w:pPr>
            <w:r>
              <w:rPr>
                <w:sz w:val="22"/>
              </w:rPr>
              <w:t>Local Vaccination site (LVS)</w:t>
            </w:r>
          </w:p>
        </w:tc>
      </w:tr>
      <w:tr>
        <w:trPr>
          <w:trHeight w:val="251" w:hRule="atLeast"/>
        </w:trPr>
        <w:tc>
          <w:tcPr>
            <w:tcW w:w="5098" w:type="dxa"/>
          </w:tcPr>
          <w:p>
            <w:pPr>
              <w:pStyle w:val="TableParagraph"/>
              <w:spacing w:line="232" w:lineRule="exact"/>
              <w:ind w:left="110"/>
              <w:rPr>
                <w:sz w:val="22"/>
              </w:rPr>
            </w:pPr>
            <w:r>
              <w:rPr>
                <w:sz w:val="22"/>
              </w:rPr>
              <w:t>Scunthorpe Vaccination Centre</w:t>
            </w:r>
          </w:p>
        </w:tc>
        <w:tc>
          <w:tcPr>
            <w:tcW w:w="3828" w:type="dxa"/>
          </w:tcPr>
          <w:p>
            <w:pPr>
              <w:pStyle w:val="TableParagraph"/>
              <w:spacing w:line="232" w:lineRule="exact"/>
              <w:ind w:left="109"/>
              <w:rPr>
                <w:sz w:val="22"/>
              </w:rPr>
            </w:pPr>
            <w:r>
              <w:rPr>
                <w:sz w:val="22"/>
              </w:rPr>
              <w:t>Vaccination Centre (VC)</w:t>
            </w:r>
          </w:p>
        </w:tc>
      </w:tr>
      <w:tr>
        <w:trPr>
          <w:trHeight w:val="251" w:hRule="atLeast"/>
        </w:trPr>
        <w:tc>
          <w:tcPr>
            <w:tcW w:w="5098" w:type="dxa"/>
          </w:tcPr>
          <w:p>
            <w:pPr>
              <w:pStyle w:val="TableParagraph"/>
              <w:spacing w:line="232" w:lineRule="exact"/>
              <w:ind w:left="110"/>
              <w:rPr>
                <w:sz w:val="22"/>
              </w:rPr>
            </w:pPr>
            <w:r>
              <w:rPr>
                <w:sz w:val="22"/>
              </w:rPr>
              <w:t>Broughton Pharmacy</w:t>
            </w:r>
          </w:p>
        </w:tc>
        <w:tc>
          <w:tcPr>
            <w:tcW w:w="3828" w:type="dxa"/>
          </w:tcPr>
          <w:p>
            <w:pPr>
              <w:pStyle w:val="TableParagraph"/>
              <w:spacing w:line="232" w:lineRule="exact"/>
              <w:ind w:left="109"/>
              <w:rPr>
                <w:sz w:val="22"/>
              </w:rPr>
            </w:pPr>
            <w:r>
              <w:rPr>
                <w:sz w:val="22"/>
              </w:rPr>
              <w:t>Community Pharmacy (CP)</w:t>
            </w:r>
          </w:p>
        </w:tc>
      </w:tr>
      <w:tr>
        <w:trPr>
          <w:trHeight w:val="251" w:hRule="atLeast"/>
        </w:trPr>
        <w:tc>
          <w:tcPr>
            <w:tcW w:w="5098" w:type="dxa"/>
          </w:tcPr>
          <w:p>
            <w:pPr>
              <w:pStyle w:val="TableParagraph"/>
              <w:spacing w:line="232" w:lineRule="exact"/>
              <w:ind w:left="110"/>
              <w:rPr>
                <w:sz w:val="22"/>
              </w:rPr>
            </w:pPr>
            <w:r>
              <w:rPr>
                <w:sz w:val="22"/>
              </w:rPr>
              <w:t>Ancora Pharmacy</w:t>
            </w:r>
          </w:p>
        </w:tc>
        <w:tc>
          <w:tcPr>
            <w:tcW w:w="3828" w:type="dxa"/>
          </w:tcPr>
          <w:p>
            <w:pPr>
              <w:pStyle w:val="TableParagraph"/>
              <w:spacing w:line="232" w:lineRule="exact"/>
              <w:ind w:left="109"/>
              <w:rPr>
                <w:sz w:val="22"/>
              </w:rPr>
            </w:pPr>
            <w:r>
              <w:rPr>
                <w:sz w:val="22"/>
              </w:rPr>
              <w:t>Community Pharmacy (CP)</w:t>
            </w:r>
          </w:p>
        </w:tc>
      </w:tr>
      <w:tr>
        <w:trPr>
          <w:trHeight w:val="253" w:hRule="atLeast"/>
        </w:trPr>
        <w:tc>
          <w:tcPr>
            <w:tcW w:w="5098" w:type="dxa"/>
          </w:tcPr>
          <w:p>
            <w:pPr>
              <w:pStyle w:val="TableParagraph"/>
              <w:spacing w:line="234" w:lineRule="exact"/>
              <w:ind w:left="110"/>
              <w:rPr>
                <w:sz w:val="22"/>
              </w:rPr>
            </w:pPr>
            <w:r>
              <w:rPr>
                <w:sz w:val="22"/>
              </w:rPr>
              <w:t>Goxhill Pharmacy</w:t>
            </w:r>
          </w:p>
        </w:tc>
        <w:tc>
          <w:tcPr>
            <w:tcW w:w="3828" w:type="dxa"/>
          </w:tcPr>
          <w:p>
            <w:pPr>
              <w:pStyle w:val="TableParagraph"/>
              <w:spacing w:line="234" w:lineRule="exact"/>
              <w:ind w:left="109"/>
              <w:rPr>
                <w:sz w:val="22"/>
              </w:rPr>
            </w:pPr>
            <w:r>
              <w:rPr>
                <w:sz w:val="22"/>
              </w:rPr>
              <w:t>Community Pharmacy (CP)</w:t>
            </w:r>
          </w:p>
        </w:tc>
      </w:tr>
    </w:tbl>
    <w:p>
      <w:pPr>
        <w:pStyle w:val="BodyText"/>
        <w:rPr>
          <w:sz w:val="20"/>
        </w:rPr>
      </w:pPr>
    </w:p>
    <w:p>
      <w:pPr>
        <w:pStyle w:val="BodyText"/>
        <w:spacing w:before="9"/>
      </w:pPr>
    </w:p>
    <w:p>
      <w:pPr>
        <w:pStyle w:val="Heading4"/>
      </w:pPr>
      <w:bookmarkStart w:name="Member practices 2021-22" w:id="63"/>
      <w:bookmarkEnd w:id="63"/>
      <w:r>
        <w:rPr>
          <w:b w:val="0"/>
        </w:rPr>
      </w:r>
      <w:r>
        <w:rPr>
          <w:color w:val="4F81BB"/>
        </w:rPr>
        <w:t>Member practices 2021-22</w:t>
      </w:r>
    </w:p>
    <w:p>
      <w:pPr>
        <w:pStyle w:val="BodyText"/>
        <w:spacing w:before="43"/>
        <w:ind w:left="680"/>
      </w:pPr>
      <w:r>
        <w:rPr>
          <w:color w:val="222222"/>
        </w:rPr>
        <w:t>Practice name sites and PCNs from which services are delivered.</w:t>
      </w:r>
    </w:p>
    <w:p>
      <w:pPr>
        <w:pStyle w:val="BodyText"/>
        <w:rPr>
          <w:sz w:val="20"/>
        </w:rPr>
      </w:pPr>
    </w:p>
    <w:p>
      <w:pPr>
        <w:pStyle w:val="BodyText"/>
        <w:spacing w:before="5" w:after="1"/>
      </w:pPr>
    </w:p>
    <w:tbl>
      <w:tblPr>
        <w:tblW w:w="0" w:type="auto"/>
        <w:jc w:val="left"/>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26"/>
      </w:tblGrid>
      <w:tr>
        <w:trPr>
          <w:trHeight w:val="249" w:hRule="atLeast"/>
        </w:trPr>
        <w:tc>
          <w:tcPr>
            <w:tcW w:w="8926" w:type="dxa"/>
            <w:shd w:val="clear" w:color="auto" w:fill="B8CCE2"/>
          </w:tcPr>
          <w:p>
            <w:pPr>
              <w:pStyle w:val="TableParagraph"/>
              <w:spacing w:line="229" w:lineRule="exact"/>
              <w:ind w:left="110"/>
              <w:rPr>
                <w:b/>
                <w:sz w:val="22"/>
              </w:rPr>
            </w:pPr>
            <w:r>
              <w:rPr>
                <w:b/>
                <w:sz w:val="22"/>
              </w:rPr>
              <w:t>North Primary Care Network</w:t>
            </w:r>
          </w:p>
        </w:tc>
      </w:tr>
      <w:tr>
        <w:trPr>
          <w:trHeight w:val="765" w:hRule="atLeast"/>
        </w:trPr>
        <w:tc>
          <w:tcPr>
            <w:tcW w:w="8926" w:type="dxa"/>
          </w:tcPr>
          <w:p>
            <w:pPr>
              <w:pStyle w:val="TableParagraph"/>
              <w:spacing w:line="252" w:lineRule="exact" w:before="9"/>
              <w:ind w:left="110" w:right="2659"/>
              <w:rPr>
                <w:sz w:val="22"/>
              </w:rPr>
            </w:pPr>
            <w:r>
              <w:rPr>
                <w:color w:val="222222"/>
                <w:sz w:val="22"/>
              </w:rPr>
              <w:t>Central Surgery, King Street, Barton Upon Humber, DN18 5ER Winterton Surgery, Manlake Avenue, Winterton, DN15 9TA Bridge Street Surgery, Brigg, North Lincs, DN20</w:t>
            </w:r>
          </w:p>
        </w:tc>
      </w:tr>
      <w:tr>
        <w:trPr>
          <w:trHeight w:val="246" w:hRule="atLeast"/>
        </w:trPr>
        <w:tc>
          <w:tcPr>
            <w:tcW w:w="8926" w:type="dxa"/>
            <w:shd w:val="clear" w:color="auto" w:fill="D24667"/>
          </w:tcPr>
          <w:p>
            <w:pPr>
              <w:pStyle w:val="TableParagraph"/>
              <w:spacing w:line="227" w:lineRule="exact"/>
              <w:ind w:left="110"/>
              <w:rPr>
                <w:b/>
                <w:sz w:val="22"/>
              </w:rPr>
            </w:pPr>
            <w:r>
              <w:rPr>
                <w:b/>
                <w:sz w:val="22"/>
              </w:rPr>
              <w:t>East Primary Care Network</w:t>
            </w:r>
          </w:p>
        </w:tc>
      </w:tr>
      <w:tr>
        <w:trPr>
          <w:trHeight w:val="1269" w:hRule="atLeast"/>
        </w:trPr>
        <w:tc>
          <w:tcPr>
            <w:tcW w:w="8926" w:type="dxa"/>
          </w:tcPr>
          <w:p>
            <w:pPr>
              <w:pStyle w:val="TableParagraph"/>
              <w:ind w:left="110" w:right="3246"/>
              <w:rPr>
                <w:sz w:val="22"/>
              </w:rPr>
            </w:pPr>
            <w:r>
              <w:rPr>
                <w:color w:val="222222"/>
                <w:sz w:val="22"/>
              </w:rPr>
              <w:t>Riverside Surgery, Barnard Avenue, Brigg, DN20 8AS The Killingholme Surgery, South Killingholme, DN40 3EL West Town Surgery, Barton Upon Humber, DN18 5PU</w:t>
            </w:r>
          </w:p>
          <w:p>
            <w:pPr>
              <w:pStyle w:val="TableParagraph"/>
              <w:spacing w:line="252" w:lineRule="exact" w:before="6"/>
              <w:ind w:left="110" w:right="2525"/>
              <w:rPr>
                <w:sz w:val="22"/>
              </w:rPr>
            </w:pPr>
            <w:r>
              <w:rPr>
                <w:color w:val="222222"/>
                <w:sz w:val="22"/>
              </w:rPr>
              <w:t>Trent View Medical Practice, 45 Trent View, Keadby, DN17 3DR The Medical Centre, Victoria Road, Barnetby, DN38 6HZ</w:t>
            </w:r>
          </w:p>
        </w:tc>
      </w:tr>
      <w:tr>
        <w:trPr>
          <w:trHeight w:val="249" w:hRule="atLeast"/>
        </w:trPr>
        <w:tc>
          <w:tcPr>
            <w:tcW w:w="8926" w:type="dxa"/>
            <w:shd w:val="clear" w:color="auto" w:fill="F79446"/>
          </w:tcPr>
          <w:p>
            <w:pPr>
              <w:pStyle w:val="TableParagraph"/>
              <w:spacing w:line="229" w:lineRule="exact"/>
              <w:ind w:left="110"/>
              <w:rPr>
                <w:b/>
                <w:sz w:val="22"/>
              </w:rPr>
            </w:pPr>
            <w:r>
              <w:rPr>
                <w:b/>
                <w:sz w:val="22"/>
              </w:rPr>
              <w:t>South Primary Care Network</w:t>
            </w:r>
          </w:p>
        </w:tc>
      </w:tr>
    </w:tbl>
    <w:p>
      <w:pPr>
        <w:spacing w:after="0" w:line="229" w:lineRule="exact"/>
        <w:rPr>
          <w:sz w:val="22"/>
        </w:rPr>
        <w:sectPr>
          <w:pgSz w:w="11920" w:h="16850"/>
          <w:pgMar w:header="0" w:footer="363" w:top="1320" w:bottom="640" w:left="760" w:right="420"/>
        </w:sectPr>
      </w:pPr>
    </w:p>
    <w:tbl>
      <w:tblPr>
        <w:tblW w:w="0" w:type="auto"/>
        <w:jc w:val="left"/>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26"/>
      </w:tblGrid>
      <w:tr>
        <w:trPr>
          <w:trHeight w:val="1516" w:hRule="atLeast"/>
        </w:trPr>
        <w:tc>
          <w:tcPr>
            <w:tcW w:w="8926" w:type="dxa"/>
          </w:tcPr>
          <w:p>
            <w:pPr>
              <w:pStyle w:val="TableParagraph"/>
              <w:spacing w:before="2"/>
              <w:ind w:left="110" w:right="3284"/>
              <w:rPr>
                <w:sz w:val="22"/>
              </w:rPr>
            </w:pPr>
            <w:r>
              <w:rPr>
                <w:color w:val="222222"/>
                <w:sz w:val="22"/>
              </w:rPr>
              <w:t>Ashby Turn Primary Care Partners, The Link, DN16 2UT West Common Lane Teaching Practice, DN17 1YH Cedar Medical Practice, 275 Ashby Road, DN16 2AB Ancora Medical Practice, 291 Ashby Road, DN16 2AB The Surgery, Traingate, Kirton in Lindsey, DN21 4PQ</w:t>
            </w:r>
          </w:p>
          <w:p>
            <w:pPr>
              <w:pStyle w:val="TableParagraph"/>
              <w:spacing w:line="229" w:lineRule="exact"/>
              <w:ind w:left="110"/>
              <w:rPr>
                <w:sz w:val="22"/>
              </w:rPr>
            </w:pPr>
            <w:r>
              <w:rPr>
                <w:color w:val="222222"/>
                <w:sz w:val="22"/>
              </w:rPr>
              <w:t>Cambridge Avenue Medical Centre, Bottesford, DN16 3LG</w:t>
            </w:r>
          </w:p>
        </w:tc>
      </w:tr>
      <w:tr>
        <w:trPr>
          <w:trHeight w:val="254" w:hRule="atLeast"/>
        </w:trPr>
        <w:tc>
          <w:tcPr>
            <w:tcW w:w="8926" w:type="dxa"/>
            <w:shd w:val="clear" w:color="auto" w:fill="FFC000"/>
          </w:tcPr>
          <w:p>
            <w:pPr>
              <w:pStyle w:val="TableParagraph"/>
              <w:spacing w:line="234" w:lineRule="exact"/>
              <w:ind w:left="110"/>
              <w:rPr>
                <w:b/>
                <w:sz w:val="22"/>
              </w:rPr>
            </w:pPr>
            <w:r>
              <w:rPr>
                <w:b/>
                <w:sz w:val="22"/>
              </w:rPr>
              <w:t>West Primary Care Network</w:t>
            </w:r>
          </w:p>
        </w:tc>
      </w:tr>
      <w:tr>
        <w:trPr>
          <w:trHeight w:val="1269" w:hRule="atLeast"/>
        </w:trPr>
        <w:tc>
          <w:tcPr>
            <w:tcW w:w="8926" w:type="dxa"/>
          </w:tcPr>
          <w:p>
            <w:pPr>
              <w:pStyle w:val="TableParagraph"/>
              <w:ind w:left="110" w:right="2819"/>
              <w:rPr>
                <w:sz w:val="22"/>
              </w:rPr>
            </w:pPr>
            <w:r>
              <w:rPr>
                <w:color w:val="222222"/>
                <w:sz w:val="22"/>
              </w:rPr>
              <w:t>The Birches Medical Practice, Ironstone Centre, DN15 6HX The Oak Tree Medical Practice, Ironstone Centre, DN15 6HX Church Lane Medical Centre, Orchid Rise, DN15 7AN</w:t>
            </w:r>
          </w:p>
          <w:p>
            <w:pPr>
              <w:pStyle w:val="TableParagraph"/>
              <w:spacing w:line="254" w:lineRule="exact" w:before="2"/>
              <w:ind w:left="110" w:right="2855"/>
              <w:rPr>
                <w:sz w:val="22"/>
              </w:rPr>
            </w:pPr>
            <w:r>
              <w:rPr>
                <w:color w:val="222222"/>
                <w:sz w:val="22"/>
              </w:rPr>
              <w:t>The Oswald Road Medical Centre, Oswald Road, DN15 7PG South Axholme Practice, The Surgery, Epworth, DN9 1EP</w:t>
            </w:r>
          </w:p>
        </w:tc>
      </w:tr>
    </w:tbl>
    <w:p>
      <w:pPr>
        <w:pStyle w:val="BodyText"/>
        <w:rPr>
          <w:sz w:val="20"/>
        </w:rPr>
      </w:pPr>
    </w:p>
    <w:p>
      <w:pPr>
        <w:pStyle w:val="BodyText"/>
        <w:spacing w:before="7"/>
      </w:pPr>
    </w:p>
    <w:p>
      <w:pPr>
        <w:pStyle w:val="Heading4"/>
        <w:spacing w:before="1"/>
      </w:pPr>
      <w:bookmarkStart w:name="Access" w:id="64"/>
      <w:bookmarkEnd w:id="64"/>
      <w:r>
        <w:rPr>
          <w:b w:val="0"/>
        </w:rPr>
      </w:r>
      <w:r>
        <w:rPr>
          <w:color w:val="4F81BB"/>
        </w:rPr>
        <w:t>Access</w:t>
      </w:r>
    </w:p>
    <w:p>
      <w:pPr>
        <w:pStyle w:val="BodyText"/>
        <w:rPr>
          <w:b/>
          <w:sz w:val="21"/>
        </w:rPr>
      </w:pPr>
    </w:p>
    <w:p>
      <w:pPr>
        <w:pStyle w:val="BodyText"/>
        <w:ind w:left="679" w:right="722"/>
      </w:pPr>
      <w:r>
        <w:rPr/>
        <w:t>Following the Covid-19 pandemic, practices continue to introduce digital solutions and new innovations to allow greater accessibility for patients requiring clinical services which includes utilising video consultations and total triage freeing up space for patients who require a face to face consultation. Despite the winter pressures and vaccination programme, practices in North Lincolnshire were able to provide a 10% increase in appointments for patients from the previous year in December 2021.</w:t>
      </w:r>
    </w:p>
    <w:p>
      <w:pPr>
        <w:pStyle w:val="BodyText"/>
        <w:rPr>
          <w:sz w:val="20"/>
        </w:rPr>
      </w:pPr>
    </w:p>
    <w:p>
      <w:pPr>
        <w:pStyle w:val="BodyText"/>
        <w:spacing w:before="4"/>
        <w:rPr>
          <w:sz w:val="19"/>
        </w:rPr>
      </w:pPr>
    </w:p>
    <w:tbl>
      <w:tblPr>
        <w:tblW w:w="0" w:type="auto"/>
        <w:jc w:val="left"/>
        <w:tblInd w:w="7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58"/>
        <w:gridCol w:w="4656"/>
      </w:tblGrid>
      <w:tr>
        <w:trPr>
          <w:trHeight w:val="980" w:hRule="atLeast"/>
        </w:trPr>
        <w:tc>
          <w:tcPr>
            <w:tcW w:w="4658" w:type="dxa"/>
          </w:tcPr>
          <w:p>
            <w:pPr>
              <w:pStyle w:val="TableParagraph"/>
              <w:spacing w:before="4"/>
              <w:ind w:left="117"/>
              <w:rPr>
                <w:sz w:val="22"/>
              </w:rPr>
            </w:pPr>
            <w:r>
              <w:rPr>
                <w:sz w:val="22"/>
              </w:rPr>
              <w:t>Total Appointments</w:t>
            </w:r>
          </w:p>
        </w:tc>
        <w:tc>
          <w:tcPr>
            <w:tcW w:w="4656" w:type="dxa"/>
          </w:tcPr>
          <w:p>
            <w:pPr>
              <w:pStyle w:val="TableParagraph"/>
              <w:spacing w:before="4"/>
              <w:ind w:left="115"/>
              <w:rPr>
                <w:sz w:val="22"/>
              </w:rPr>
            </w:pPr>
            <w:r>
              <w:rPr>
                <w:sz w:val="22"/>
              </w:rPr>
              <w:t>December 2021 – 89,725 appointments</w:t>
            </w:r>
          </w:p>
          <w:p>
            <w:pPr>
              <w:pStyle w:val="TableParagraph"/>
              <w:spacing w:before="7"/>
              <w:rPr>
                <w:sz w:val="20"/>
              </w:rPr>
            </w:pPr>
          </w:p>
          <w:p>
            <w:pPr>
              <w:pStyle w:val="TableParagraph"/>
              <w:ind w:left="115"/>
              <w:rPr>
                <w:sz w:val="22"/>
              </w:rPr>
            </w:pPr>
            <w:r>
              <w:rPr>
                <w:sz w:val="22"/>
              </w:rPr>
              <w:t>10% increase from Dec 2019</w:t>
            </w:r>
          </w:p>
        </w:tc>
      </w:tr>
      <w:tr>
        <w:trPr>
          <w:trHeight w:val="491" w:hRule="atLeast"/>
        </w:trPr>
        <w:tc>
          <w:tcPr>
            <w:tcW w:w="4658" w:type="dxa"/>
          </w:tcPr>
          <w:p>
            <w:pPr>
              <w:pStyle w:val="TableParagraph"/>
              <w:spacing w:before="2"/>
              <w:ind w:left="117"/>
              <w:rPr>
                <w:sz w:val="22"/>
              </w:rPr>
            </w:pPr>
            <w:r>
              <w:rPr>
                <w:sz w:val="22"/>
              </w:rPr>
              <w:t>Face to face appointments</w:t>
            </w:r>
          </w:p>
        </w:tc>
        <w:tc>
          <w:tcPr>
            <w:tcW w:w="4656" w:type="dxa"/>
          </w:tcPr>
          <w:p>
            <w:pPr>
              <w:pStyle w:val="TableParagraph"/>
              <w:spacing w:before="2"/>
              <w:ind w:left="115"/>
              <w:rPr>
                <w:sz w:val="22"/>
              </w:rPr>
            </w:pPr>
            <w:r>
              <w:rPr>
                <w:sz w:val="22"/>
              </w:rPr>
              <w:t>76%</w:t>
            </w:r>
          </w:p>
        </w:tc>
      </w:tr>
      <w:tr>
        <w:trPr>
          <w:trHeight w:val="491" w:hRule="atLeast"/>
        </w:trPr>
        <w:tc>
          <w:tcPr>
            <w:tcW w:w="4658" w:type="dxa"/>
          </w:tcPr>
          <w:p>
            <w:pPr>
              <w:pStyle w:val="TableParagraph"/>
              <w:spacing w:before="2"/>
              <w:ind w:left="117"/>
              <w:rPr>
                <w:sz w:val="22"/>
              </w:rPr>
            </w:pPr>
            <w:r>
              <w:rPr>
                <w:sz w:val="22"/>
              </w:rPr>
              <w:t>Same day appointments</w:t>
            </w:r>
          </w:p>
        </w:tc>
        <w:tc>
          <w:tcPr>
            <w:tcW w:w="4656" w:type="dxa"/>
          </w:tcPr>
          <w:p>
            <w:pPr>
              <w:pStyle w:val="TableParagraph"/>
              <w:spacing w:before="2"/>
              <w:ind w:left="115"/>
              <w:rPr>
                <w:sz w:val="22"/>
              </w:rPr>
            </w:pPr>
            <w:r>
              <w:rPr>
                <w:sz w:val="22"/>
              </w:rPr>
              <w:t>40%</w:t>
            </w:r>
          </w:p>
        </w:tc>
      </w:tr>
    </w:tbl>
    <w:p>
      <w:pPr>
        <w:pStyle w:val="BodyText"/>
        <w:rPr>
          <w:sz w:val="20"/>
        </w:rPr>
      </w:pPr>
    </w:p>
    <w:p>
      <w:pPr>
        <w:pStyle w:val="BodyText"/>
        <w:spacing w:before="9"/>
      </w:pPr>
    </w:p>
    <w:p>
      <w:pPr>
        <w:pStyle w:val="Heading4"/>
      </w:pPr>
      <w:bookmarkStart w:name="NHS 111 direct booking" w:id="65"/>
      <w:bookmarkEnd w:id="65"/>
      <w:r>
        <w:rPr>
          <w:b w:val="0"/>
        </w:rPr>
      </w:r>
      <w:r>
        <w:rPr>
          <w:color w:val="4F81BB"/>
        </w:rPr>
        <w:t>NHS 111 direct booking</w:t>
      </w:r>
    </w:p>
    <w:p>
      <w:pPr>
        <w:pStyle w:val="BodyText"/>
        <w:spacing w:before="10"/>
        <w:rPr>
          <w:b/>
          <w:sz w:val="20"/>
        </w:rPr>
      </w:pPr>
    </w:p>
    <w:p>
      <w:pPr>
        <w:pStyle w:val="BodyText"/>
        <w:ind w:left="680" w:right="1137"/>
      </w:pPr>
      <w:r>
        <w:rPr/>
        <w:t>NHS 111 direct booking in North Lincolnshire is now live for all practices and allows the 111 service to directly book into a GP appointment slot when appropriate to create a smoother process for patients who need to see a clinician.</w:t>
      </w:r>
    </w:p>
    <w:p>
      <w:pPr>
        <w:spacing w:after="0"/>
        <w:sectPr>
          <w:pgSz w:w="11920" w:h="16850"/>
          <w:pgMar w:header="0" w:footer="363" w:top="1400" w:bottom="640" w:left="760" w:right="420"/>
        </w:sectPr>
      </w:pPr>
    </w:p>
    <w:p>
      <w:pPr>
        <w:pStyle w:val="Heading4"/>
        <w:spacing w:before="79"/>
      </w:pPr>
      <w:bookmarkStart w:name="Digital enabled care" w:id="66"/>
      <w:bookmarkEnd w:id="66"/>
      <w:r>
        <w:rPr>
          <w:b w:val="0"/>
        </w:rPr>
      </w:r>
      <w:r>
        <w:rPr>
          <w:color w:val="528DD2"/>
        </w:rPr>
        <w:t>Digital enabled care</w:t>
      </w:r>
    </w:p>
    <w:p>
      <w:pPr>
        <w:pStyle w:val="BodyText"/>
        <w:spacing w:before="198"/>
        <w:ind w:left="680" w:right="893" w:hanging="1"/>
      </w:pPr>
      <w:r>
        <w:rPr/>
        <w:t>Following significant change as a result of the Covid-19 pandemic, over the last 12 months we have seen a number of digital enhancements to benefit our population and professionals, to ensure that we continue to empower the best possible level of</w:t>
      </w:r>
      <w:r>
        <w:rPr>
          <w:spacing w:val="-23"/>
        </w:rPr>
        <w:t> </w:t>
      </w:r>
      <w:r>
        <w:rPr/>
        <w:t>care.</w:t>
      </w:r>
    </w:p>
    <w:p>
      <w:pPr>
        <w:pStyle w:val="BodyText"/>
        <w:spacing w:before="201"/>
        <w:ind w:left="680" w:right="893"/>
      </w:pPr>
      <w:r>
        <w:rPr/>
        <w:t>We have a number of key programmes of work under way to ensure that our health and social care teams have access to the latest digital tools in their</w:t>
      </w:r>
      <w:r>
        <w:rPr>
          <w:spacing w:val="-22"/>
        </w:rPr>
        <w:t> </w:t>
      </w:r>
      <w:r>
        <w:rPr/>
        <w:t>workplace:</w:t>
      </w:r>
    </w:p>
    <w:p>
      <w:pPr>
        <w:pStyle w:val="ListParagraph"/>
        <w:numPr>
          <w:ilvl w:val="1"/>
          <w:numId w:val="5"/>
        </w:numPr>
        <w:tabs>
          <w:tab w:pos="1400" w:val="left" w:leader="none"/>
          <w:tab w:pos="1401" w:val="left" w:leader="none"/>
        </w:tabs>
        <w:spacing w:line="237" w:lineRule="auto" w:before="204" w:after="0"/>
        <w:ind w:left="1400" w:right="778" w:hanging="361"/>
        <w:jc w:val="left"/>
        <w:rPr>
          <w:rFonts w:ascii="Symbol" w:hAnsi="Symbol"/>
          <w:sz w:val="22"/>
        </w:rPr>
      </w:pPr>
      <w:r>
        <w:rPr>
          <w:sz w:val="22"/>
        </w:rPr>
        <w:t>We believe that every patient should only have to tell their story once, so to ensure that each professional directly involved in a patient’s care is fully informed to make decisions we have accelerated the deployment of our shared care record system – The Yorkshire and Humber Care Record.</w:t>
      </w:r>
    </w:p>
    <w:p>
      <w:pPr>
        <w:pStyle w:val="BodyText"/>
        <w:spacing w:before="5"/>
        <w:ind w:left="1400" w:right="1065"/>
      </w:pPr>
      <w:r>
        <w:rPr/>
        <w:t>Across the Humber and North Yorkshire we have connected hospital, social care, primary care and end of life records, to allow health professionals to access a holistic view of patient care, when it is appropriate to do so.</w:t>
      </w:r>
    </w:p>
    <w:p>
      <w:pPr>
        <w:pStyle w:val="ListParagraph"/>
        <w:numPr>
          <w:ilvl w:val="1"/>
          <w:numId w:val="5"/>
        </w:numPr>
        <w:tabs>
          <w:tab w:pos="1400" w:val="left" w:leader="none"/>
          <w:tab w:pos="1401" w:val="left" w:leader="none"/>
        </w:tabs>
        <w:spacing w:line="237" w:lineRule="auto" w:before="3" w:after="0"/>
        <w:ind w:left="1400" w:right="984" w:hanging="361"/>
        <w:jc w:val="left"/>
        <w:rPr>
          <w:rFonts w:ascii="Symbol" w:hAnsi="Symbol"/>
          <w:sz w:val="22"/>
        </w:rPr>
      </w:pPr>
      <w:r>
        <w:rPr>
          <w:sz w:val="22"/>
        </w:rPr>
        <w:t>We have continued to replace older computers in GP practices to ensure that practice teams have access to appropriate equipment and continue to sustain a high level of digital</w:t>
      </w:r>
      <w:r>
        <w:rPr>
          <w:spacing w:val="-1"/>
          <w:sz w:val="22"/>
        </w:rPr>
        <w:t> </w:t>
      </w:r>
      <w:r>
        <w:rPr>
          <w:sz w:val="22"/>
        </w:rPr>
        <w:t>maturity.</w:t>
      </w:r>
    </w:p>
    <w:p>
      <w:pPr>
        <w:pStyle w:val="ListParagraph"/>
        <w:numPr>
          <w:ilvl w:val="1"/>
          <w:numId w:val="5"/>
        </w:numPr>
        <w:tabs>
          <w:tab w:pos="1400" w:val="left" w:leader="none"/>
          <w:tab w:pos="1401" w:val="left" w:leader="none"/>
        </w:tabs>
        <w:spacing w:line="237" w:lineRule="auto" w:before="0" w:after="0"/>
        <w:ind w:left="1400" w:right="819" w:hanging="361"/>
        <w:jc w:val="left"/>
        <w:rPr>
          <w:rFonts w:ascii="Symbol" w:hAnsi="Symbol"/>
          <w:sz w:val="22"/>
        </w:rPr>
      </w:pPr>
      <w:r>
        <w:rPr>
          <w:sz w:val="22"/>
        </w:rPr>
        <w:t>We have started to implement a secure clinician to clinician messaging solution to allow care professionals to seek advice from their</w:t>
      </w:r>
      <w:r>
        <w:rPr>
          <w:spacing w:val="-11"/>
          <w:sz w:val="22"/>
        </w:rPr>
        <w:t> </w:t>
      </w:r>
      <w:r>
        <w:rPr>
          <w:sz w:val="22"/>
        </w:rPr>
        <w:t>peers.</w:t>
      </w:r>
    </w:p>
    <w:p>
      <w:pPr>
        <w:pStyle w:val="BodyText"/>
        <w:spacing w:before="10"/>
        <w:rPr>
          <w:sz w:val="21"/>
        </w:rPr>
      </w:pPr>
    </w:p>
    <w:p>
      <w:pPr>
        <w:pStyle w:val="BodyText"/>
        <w:ind w:left="680" w:right="1332"/>
      </w:pPr>
      <w:r>
        <w:rPr/>
        <w:t>We have worked hard to provide the appropriate solutions to empower patients to interact digitally with their care services:</w:t>
      </w:r>
    </w:p>
    <w:p>
      <w:pPr>
        <w:pStyle w:val="BodyText"/>
        <w:spacing w:before="6"/>
        <w:rPr>
          <w:sz w:val="21"/>
        </w:rPr>
      </w:pPr>
    </w:p>
    <w:p>
      <w:pPr>
        <w:pStyle w:val="ListParagraph"/>
        <w:numPr>
          <w:ilvl w:val="1"/>
          <w:numId w:val="5"/>
        </w:numPr>
        <w:tabs>
          <w:tab w:pos="1400" w:val="left" w:leader="none"/>
          <w:tab w:pos="1401" w:val="left" w:leader="none"/>
        </w:tabs>
        <w:spacing w:line="240" w:lineRule="auto" w:before="1" w:after="0"/>
        <w:ind w:left="1400" w:right="0" w:hanging="361"/>
        <w:jc w:val="left"/>
        <w:rPr>
          <w:rFonts w:ascii="Symbol" w:hAnsi="Symbol"/>
          <w:sz w:val="22"/>
        </w:rPr>
      </w:pPr>
      <w:r>
        <w:rPr>
          <w:sz w:val="22"/>
        </w:rPr>
        <w:t>All practices have access to online and video consultation</w:t>
      </w:r>
      <w:r>
        <w:rPr>
          <w:spacing w:val="-15"/>
          <w:sz w:val="22"/>
        </w:rPr>
        <w:t> </w:t>
      </w:r>
      <w:r>
        <w:rPr>
          <w:sz w:val="22"/>
        </w:rPr>
        <w:t>facilities</w:t>
      </w:r>
    </w:p>
    <w:p>
      <w:pPr>
        <w:pStyle w:val="ListParagraph"/>
        <w:numPr>
          <w:ilvl w:val="1"/>
          <w:numId w:val="5"/>
        </w:numPr>
        <w:tabs>
          <w:tab w:pos="1400" w:val="left" w:leader="none"/>
          <w:tab w:pos="1401" w:val="left" w:leader="none"/>
        </w:tabs>
        <w:spacing w:line="235" w:lineRule="auto" w:before="8" w:after="0"/>
        <w:ind w:left="1400" w:right="877" w:hanging="361"/>
        <w:jc w:val="left"/>
        <w:rPr>
          <w:rFonts w:ascii="Symbol" w:hAnsi="Symbol"/>
          <w:sz w:val="22"/>
        </w:rPr>
      </w:pPr>
      <w:r>
        <w:rPr>
          <w:sz w:val="22"/>
        </w:rPr>
        <w:t>We have continued to develop the use of the NHS app to provide convenient access to GP services and to assist patients to manage their own care</w:t>
      </w:r>
      <w:r>
        <w:rPr>
          <w:spacing w:val="-32"/>
          <w:sz w:val="22"/>
        </w:rPr>
        <w:t> </w:t>
      </w:r>
      <w:r>
        <w:rPr>
          <w:sz w:val="22"/>
        </w:rPr>
        <w:t>requirements</w:t>
      </w:r>
    </w:p>
    <w:p>
      <w:pPr>
        <w:pStyle w:val="ListParagraph"/>
        <w:numPr>
          <w:ilvl w:val="1"/>
          <w:numId w:val="5"/>
        </w:numPr>
        <w:tabs>
          <w:tab w:pos="1400" w:val="left" w:leader="none"/>
          <w:tab w:pos="1401" w:val="left" w:leader="none"/>
        </w:tabs>
        <w:spacing w:line="235" w:lineRule="auto" w:before="6" w:after="0"/>
        <w:ind w:left="1400" w:right="1268" w:hanging="361"/>
        <w:jc w:val="left"/>
        <w:rPr>
          <w:rFonts w:ascii="Symbol" w:hAnsi="Symbol"/>
          <w:sz w:val="22"/>
        </w:rPr>
      </w:pPr>
      <w:r>
        <w:rPr>
          <w:sz w:val="22"/>
        </w:rPr>
        <w:t>Over the last year we have added hospital records to the NHS app, for some of </w:t>
      </w:r>
      <w:r>
        <w:rPr>
          <w:spacing w:val="-5"/>
          <w:sz w:val="22"/>
        </w:rPr>
        <w:t>our </w:t>
      </w:r>
      <w:r>
        <w:rPr>
          <w:sz w:val="22"/>
        </w:rPr>
        <w:t>population</w:t>
      </w:r>
    </w:p>
    <w:p>
      <w:pPr>
        <w:pStyle w:val="ListParagraph"/>
        <w:numPr>
          <w:ilvl w:val="1"/>
          <w:numId w:val="5"/>
        </w:numPr>
        <w:tabs>
          <w:tab w:pos="1401" w:val="left" w:leader="none"/>
        </w:tabs>
        <w:spacing w:line="235" w:lineRule="auto" w:before="6" w:after="0"/>
        <w:ind w:left="1400" w:right="794" w:hanging="361"/>
        <w:jc w:val="both"/>
        <w:rPr>
          <w:rFonts w:ascii="Symbol" w:hAnsi="Symbol"/>
          <w:sz w:val="22"/>
        </w:rPr>
      </w:pPr>
      <w:r>
        <w:rPr>
          <w:sz w:val="22"/>
        </w:rPr>
        <w:t>We have continued to develop our online self-care app store and expanded it to cover a wider geography, this allows more of the local population to easily access suitable apps to support their</w:t>
      </w:r>
      <w:r>
        <w:rPr>
          <w:spacing w:val="-4"/>
          <w:sz w:val="22"/>
        </w:rPr>
        <w:t> </w:t>
      </w:r>
      <w:r>
        <w:rPr>
          <w:sz w:val="22"/>
        </w:rPr>
        <w:t>wellbeing.</w:t>
      </w:r>
    </w:p>
    <w:p>
      <w:pPr>
        <w:pStyle w:val="BodyText"/>
        <w:rPr>
          <w:sz w:val="24"/>
        </w:rPr>
      </w:pPr>
    </w:p>
    <w:p>
      <w:pPr>
        <w:pStyle w:val="BodyText"/>
        <w:spacing w:before="185"/>
        <w:ind w:left="680" w:right="917"/>
      </w:pPr>
      <w:r>
        <w:rPr/>
        <w:t>We recognise that digital solutions do not always provide the most accessible or appropriate method of communication for all patients, so to support access we have undertaken a number of programmes of work:</w:t>
      </w:r>
    </w:p>
    <w:p>
      <w:pPr>
        <w:pStyle w:val="ListParagraph"/>
        <w:numPr>
          <w:ilvl w:val="1"/>
          <w:numId w:val="5"/>
        </w:numPr>
        <w:tabs>
          <w:tab w:pos="1443" w:val="left" w:leader="none"/>
          <w:tab w:pos="1444" w:val="left" w:leader="none"/>
        </w:tabs>
        <w:spacing w:line="240" w:lineRule="auto" w:before="198" w:after="0"/>
        <w:ind w:left="1443" w:right="882" w:hanging="361"/>
        <w:jc w:val="left"/>
        <w:rPr>
          <w:rFonts w:ascii="Symbol" w:hAnsi="Symbol"/>
          <w:sz w:val="22"/>
        </w:rPr>
      </w:pPr>
      <w:r>
        <w:rPr>
          <w:sz w:val="22"/>
        </w:rPr>
        <w:t>We have worked with </w:t>
      </w:r>
      <w:r>
        <w:rPr>
          <w:spacing w:val="-4"/>
          <w:sz w:val="22"/>
        </w:rPr>
        <w:t>NHS </w:t>
      </w:r>
      <w:r>
        <w:rPr>
          <w:sz w:val="22"/>
        </w:rPr>
        <w:t>England to develop a resource pack, to support patients to know how to best access their practices for digital, non-digital and face to face access. This work formed the basis for a national resource pack to be used nationally within general</w:t>
      </w:r>
      <w:r>
        <w:rPr>
          <w:spacing w:val="-1"/>
          <w:sz w:val="22"/>
        </w:rPr>
        <w:t> </w:t>
      </w:r>
      <w:r>
        <w:rPr>
          <w:sz w:val="22"/>
        </w:rPr>
        <w:t>practice</w:t>
      </w:r>
    </w:p>
    <w:p>
      <w:pPr>
        <w:pStyle w:val="ListParagraph"/>
        <w:numPr>
          <w:ilvl w:val="1"/>
          <w:numId w:val="5"/>
        </w:numPr>
        <w:tabs>
          <w:tab w:pos="1443" w:val="left" w:leader="none"/>
          <w:tab w:pos="1444" w:val="left" w:leader="none"/>
        </w:tabs>
        <w:spacing w:line="235" w:lineRule="auto" w:before="1" w:after="0"/>
        <w:ind w:left="1443" w:right="1372" w:hanging="361"/>
        <w:jc w:val="left"/>
        <w:rPr>
          <w:rFonts w:ascii="Symbol" w:hAnsi="Symbol"/>
          <w:sz w:val="22"/>
        </w:rPr>
      </w:pPr>
      <w:r>
        <w:rPr>
          <w:sz w:val="22"/>
        </w:rPr>
        <w:t>We are actively working to ensure that all practice websites are as easy to use as possible</w:t>
      </w:r>
    </w:p>
    <w:p>
      <w:pPr>
        <w:pStyle w:val="ListParagraph"/>
        <w:numPr>
          <w:ilvl w:val="1"/>
          <w:numId w:val="5"/>
        </w:numPr>
        <w:tabs>
          <w:tab w:pos="1446" w:val="left" w:leader="none"/>
          <w:tab w:pos="1447" w:val="left" w:leader="none"/>
        </w:tabs>
        <w:spacing w:line="235" w:lineRule="auto" w:before="6" w:after="0"/>
        <w:ind w:left="1446" w:right="943" w:hanging="363"/>
        <w:jc w:val="left"/>
        <w:rPr>
          <w:rFonts w:ascii="Symbol" w:hAnsi="Symbol"/>
          <w:sz w:val="22"/>
        </w:rPr>
      </w:pPr>
      <w:r>
        <w:rPr>
          <w:sz w:val="22"/>
        </w:rPr>
        <w:t>We have begun to provide practices with systems to record the digital maturity of their patients,</w:t>
      </w:r>
      <w:r>
        <w:rPr>
          <w:spacing w:val="-5"/>
          <w:sz w:val="22"/>
        </w:rPr>
        <w:t> </w:t>
      </w:r>
      <w:r>
        <w:rPr>
          <w:sz w:val="22"/>
        </w:rPr>
        <w:t>to</w:t>
      </w:r>
      <w:r>
        <w:rPr>
          <w:spacing w:val="-1"/>
          <w:sz w:val="22"/>
        </w:rPr>
        <w:t> </w:t>
      </w:r>
      <w:r>
        <w:rPr>
          <w:sz w:val="22"/>
        </w:rPr>
        <w:t>ensure</w:t>
      </w:r>
      <w:r>
        <w:rPr>
          <w:spacing w:val="-3"/>
          <w:sz w:val="22"/>
        </w:rPr>
        <w:t> </w:t>
      </w:r>
      <w:r>
        <w:rPr>
          <w:sz w:val="22"/>
        </w:rPr>
        <w:t>that</w:t>
      </w:r>
      <w:r>
        <w:rPr>
          <w:spacing w:val="-2"/>
          <w:sz w:val="22"/>
        </w:rPr>
        <w:t> </w:t>
      </w:r>
      <w:r>
        <w:rPr>
          <w:sz w:val="22"/>
        </w:rPr>
        <w:t>they</w:t>
      </w:r>
      <w:r>
        <w:rPr>
          <w:spacing w:val="-1"/>
          <w:sz w:val="22"/>
        </w:rPr>
        <w:t> </w:t>
      </w:r>
      <w:r>
        <w:rPr>
          <w:sz w:val="22"/>
        </w:rPr>
        <w:t>offer</w:t>
      </w:r>
      <w:r>
        <w:rPr>
          <w:spacing w:val="-2"/>
          <w:sz w:val="22"/>
        </w:rPr>
        <w:t> </w:t>
      </w:r>
      <w:r>
        <w:rPr>
          <w:sz w:val="22"/>
        </w:rPr>
        <w:t>the</w:t>
      </w:r>
      <w:r>
        <w:rPr>
          <w:spacing w:val="-5"/>
          <w:sz w:val="22"/>
        </w:rPr>
        <w:t> </w:t>
      </w:r>
      <w:r>
        <w:rPr>
          <w:sz w:val="22"/>
        </w:rPr>
        <w:t>most</w:t>
      </w:r>
      <w:r>
        <w:rPr>
          <w:spacing w:val="-2"/>
          <w:sz w:val="22"/>
        </w:rPr>
        <w:t> </w:t>
      </w:r>
      <w:r>
        <w:rPr>
          <w:sz w:val="22"/>
        </w:rPr>
        <w:t>appropriate</w:t>
      </w:r>
      <w:r>
        <w:rPr>
          <w:spacing w:val="-1"/>
          <w:sz w:val="22"/>
        </w:rPr>
        <w:t> </w:t>
      </w:r>
      <w:r>
        <w:rPr>
          <w:sz w:val="22"/>
        </w:rPr>
        <w:t>style</w:t>
      </w:r>
      <w:r>
        <w:rPr>
          <w:spacing w:val="-1"/>
          <w:sz w:val="22"/>
        </w:rPr>
        <w:t> </w:t>
      </w:r>
      <w:r>
        <w:rPr>
          <w:sz w:val="22"/>
        </w:rPr>
        <w:t>of</w:t>
      </w:r>
      <w:r>
        <w:rPr>
          <w:spacing w:val="1"/>
          <w:sz w:val="22"/>
        </w:rPr>
        <w:t> </w:t>
      </w:r>
      <w:r>
        <w:rPr>
          <w:sz w:val="22"/>
        </w:rPr>
        <w:t>care</w:t>
      </w:r>
      <w:r>
        <w:rPr>
          <w:spacing w:val="-4"/>
          <w:sz w:val="22"/>
        </w:rPr>
        <w:t> </w:t>
      </w:r>
      <w:r>
        <w:rPr>
          <w:sz w:val="22"/>
        </w:rPr>
        <w:t>to</w:t>
      </w:r>
      <w:r>
        <w:rPr>
          <w:spacing w:val="-30"/>
          <w:sz w:val="22"/>
        </w:rPr>
        <w:t> </w:t>
      </w:r>
      <w:r>
        <w:rPr>
          <w:sz w:val="22"/>
        </w:rPr>
        <w:t>individuals</w:t>
      </w:r>
    </w:p>
    <w:p>
      <w:pPr>
        <w:pStyle w:val="ListParagraph"/>
        <w:numPr>
          <w:ilvl w:val="1"/>
          <w:numId w:val="5"/>
        </w:numPr>
        <w:tabs>
          <w:tab w:pos="1446" w:val="left" w:leader="none"/>
          <w:tab w:pos="1447" w:val="left" w:leader="none"/>
        </w:tabs>
        <w:spacing w:line="235" w:lineRule="auto" w:before="6" w:after="0"/>
        <w:ind w:left="1446" w:right="820" w:hanging="363"/>
        <w:jc w:val="left"/>
        <w:rPr>
          <w:rFonts w:ascii="Symbol" w:hAnsi="Symbol"/>
          <w:sz w:val="22"/>
        </w:rPr>
      </w:pPr>
      <w:r>
        <w:rPr>
          <w:sz w:val="22"/>
        </w:rPr>
        <w:t>We recognise the importance of understanding the best access method for everyone, so we have a dedicated Digital Inclusion Network, to ensure that service accessibility is at the heart of everything we</w:t>
      </w:r>
      <w:r>
        <w:rPr>
          <w:spacing w:val="-8"/>
          <w:sz w:val="22"/>
        </w:rPr>
        <w:t> </w:t>
      </w:r>
      <w:r>
        <w:rPr>
          <w:sz w:val="22"/>
        </w:rPr>
        <w:t>do</w:t>
      </w:r>
    </w:p>
    <w:p>
      <w:pPr>
        <w:pStyle w:val="ListParagraph"/>
        <w:numPr>
          <w:ilvl w:val="1"/>
          <w:numId w:val="5"/>
        </w:numPr>
        <w:tabs>
          <w:tab w:pos="1446" w:val="left" w:leader="none"/>
          <w:tab w:pos="1447" w:val="left" w:leader="none"/>
        </w:tabs>
        <w:spacing w:line="235" w:lineRule="auto" w:before="8" w:after="0"/>
        <w:ind w:left="1446" w:right="808" w:hanging="363"/>
        <w:jc w:val="left"/>
        <w:rPr>
          <w:rFonts w:ascii="Symbol" w:hAnsi="Symbol"/>
          <w:sz w:val="22"/>
        </w:rPr>
      </w:pPr>
      <w:r>
        <w:rPr>
          <w:sz w:val="22"/>
        </w:rPr>
        <w:t>We have workstreams under way looking at how we can provide supported digital access to those patients who normally wouldn’t be able to access, for example tools for digital access within rural locations such as village</w:t>
      </w:r>
      <w:r>
        <w:rPr>
          <w:spacing w:val="-17"/>
          <w:sz w:val="22"/>
        </w:rPr>
        <w:t> </w:t>
      </w:r>
      <w:r>
        <w:rPr>
          <w:sz w:val="22"/>
        </w:rPr>
        <w:t>halls.</w:t>
      </w:r>
    </w:p>
    <w:p>
      <w:pPr>
        <w:pStyle w:val="BodyText"/>
        <w:rPr>
          <w:sz w:val="24"/>
        </w:rPr>
      </w:pPr>
    </w:p>
    <w:p>
      <w:pPr>
        <w:pStyle w:val="BodyText"/>
        <w:spacing w:before="2"/>
        <w:rPr>
          <w:sz w:val="19"/>
        </w:rPr>
      </w:pPr>
    </w:p>
    <w:p>
      <w:pPr>
        <w:pStyle w:val="BodyText"/>
        <w:spacing w:line="244" w:lineRule="auto"/>
        <w:ind w:left="682" w:right="854"/>
      </w:pPr>
      <w:r>
        <w:rPr/>
        <w:t>Care homes are an important element within our care community, providing proving residential care for a large number of our population.</w:t>
      </w:r>
    </w:p>
    <w:p>
      <w:pPr>
        <w:spacing w:after="0" w:line="244" w:lineRule="auto"/>
        <w:sectPr>
          <w:pgSz w:w="11920" w:h="16850"/>
          <w:pgMar w:header="0" w:footer="363" w:top="1320" w:bottom="640" w:left="760" w:right="420"/>
        </w:sectPr>
      </w:pPr>
    </w:p>
    <w:p>
      <w:pPr>
        <w:pStyle w:val="BodyText"/>
        <w:spacing w:before="81"/>
        <w:ind w:left="679" w:right="1089"/>
      </w:pPr>
      <w:r>
        <w:rPr/>
        <w:t>We understand that a great deal of care needs to take place within a care provider premises and we are working hard to ensure that all care homes are connected to the wider care community:</w:t>
      </w:r>
    </w:p>
    <w:p>
      <w:pPr>
        <w:pStyle w:val="ListParagraph"/>
        <w:numPr>
          <w:ilvl w:val="1"/>
          <w:numId w:val="5"/>
        </w:numPr>
        <w:tabs>
          <w:tab w:pos="1400" w:val="left" w:leader="none"/>
          <w:tab w:pos="1401" w:val="left" w:leader="none"/>
        </w:tabs>
        <w:spacing w:line="240" w:lineRule="auto" w:before="190" w:after="0"/>
        <w:ind w:left="1400" w:right="0" w:hanging="364"/>
        <w:jc w:val="left"/>
        <w:rPr>
          <w:rFonts w:ascii="Symbol" w:hAnsi="Symbol"/>
          <w:sz w:val="22"/>
        </w:rPr>
      </w:pPr>
      <w:r>
        <w:rPr>
          <w:sz w:val="22"/>
        </w:rPr>
        <w:t>All our care homes are provided with access to a secure NHS Mail</w:t>
      </w:r>
      <w:r>
        <w:rPr>
          <w:spacing w:val="-28"/>
          <w:sz w:val="22"/>
        </w:rPr>
        <w:t> </w:t>
      </w:r>
      <w:r>
        <w:rPr>
          <w:sz w:val="22"/>
        </w:rPr>
        <w:t>address</w:t>
      </w:r>
    </w:p>
    <w:p>
      <w:pPr>
        <w:pStyle w:val="ListParagraph"/>
        <w:numPr>
          <w:ilvl w:val="1"/>
          <w:numId w:val="5"/>
        </w:numPr>
        <w:tabs>
          <w:tab w:pos="1400" w:val="left" w:leader="none"/>
          <w:tab w:pos="1401" w:val="left" w:leader="none"/>
        </w:tabs>
        <w:spacing w:line="235" w:lineRule="auto" w:before="11" w:after="0"/>
        <w:ind w:left="1400" w:right="800" w:hanging="361"/>
        <w:jc w:val="left"/>
        <w:rPr>
          <w:rFonts w:ascii="Symbol" w:hAnsi="Symbol"/>
          <w:sz w:val="22"/>
        </w:rPr>
      </w:pPr>
      <w:r>
        <w:rPr>
          <w:sz w:val="22"/>
        </w:rPr>
        <w:t>All have been provided with a connected tablet to allow access to video consultations, proxy</w:t>
      </w:r>
      <w:r>
        <w:rPr>
          <w:spacing w:val="-6"/>
          <w:sz w:val="22"/>
        </w:rPr>
        <w:t> </w:t>
      </w:r>
      <w:r>
        <w:rPr>
          <w:sz w:val="22"/>
        </w:rPr>
        <w:t>medication</w:t>
      </w:r>
      <w:r>
        <w:rPr>
          <w:spacing w:val="-5"/>
          <w:sz w:val="22"/>
        </w:rPr>
        <w:t> </w:t>
      </w:r>
      <w:r>
        <w:rPr>
          <w:sz w:val="22"/>
        </w:rPr>
        <w:t>ordering</w:t>
      </w:r>
      <w:r>
        <w:rPr>
          <w:spacing w:val="-3"/>
          <w:sz w:val="22"/>
        </w:rPr>
        <w:t> </w:t>
      </w:r>
      <w:r>
        <w:rPr>
          <w:sz w:val="22"/>
        </w:rPr>
        <w:t>and</w:t>
      </w:r>
      <w:r>
        <w:rPr>
          <w:spacing w:val="-3"/>
          <w:sz w:val="22"/>
        </w:rPr>
        <w:t> </w:t>
      </w:r>
      <w:r>
        <w:rPr>
          <w:sz w:val="22"/>
        </w:rPr>
        <w:t>other</w:t>
      </w:r>
      <w:r>
        <w:rPr>
          <w:spacing w:val="-4"/>
          <w:sz w:val="22"/>
        </w:rPr>
        <w:t> </w:t>
      </w:r>
      <w:r>
        <w:rPr>
          <w:sz w:val="22"/>
        </w:rPr>
        <w:t>online</w:t>
      </w:r>
      <w:r>
        <w:rPr>
          <w:spacing w:val="-3"/>
          <w:sz w:val="22"/>
        </w:rPr>
        <w:t> </w:t>
      </w:r>
      <w:r>
        <w:rPr>
          <w:sz w:val="22"/>
        </w:rPr>
        <w:t>health</w:t>
      </w:r>
      <w:r>
        <w:rPr>
          <w:spacing w:val="-5"/>
          <w:sz w:val="22"/>
        </w:rPr>
        <w:t> </w:t>
      </w:r>
      <w:r>
        <w:rPr>
          <w:sz w:val="22"/>
        </w:rPr>
        <w:t>services</w:t>
      </w:r>
      <w:r>
        <w:rPr>
          <w:spacing w:val="-5"/>
          <w:sz w:val="22"/>
        </w:rPr>
        <w:t> </w:t>
      </w:r>
      <w:r>
        <w:rPr>
          <w:sz w:val="22"/>
        </w:rPr>
        <w:t>from</w:t>
      </w:r>
      <w:r>
        <w:rPr>
          <w:spacing w:val="-2"/>
          <w:sz w:val="22"/>
        </w:rPr>
        <w:t> </w:t>
      </w:r>
      <w:r>
        <w:rPr>
          <w:sz w:val="22"/>
        </w:rPr>
        <w:t>within</w:t>
      </w:r>
      <w:r>
        <w:rPr>
          <w:spacing w:val="-3"/>
          <w:sz w:val="22"/>
        </w:rPr>
        <w:t> </w:t>
      </w:r>
      <w:r>
        <w:rPr>
          <w:sz w:val="22"/>
        </w:rPr>
        <w:t>a</w:t>
      </w:r>
      <w:r>
        <w:rPr>
          <w:spacing w:val="-5"/>
          <w:sz w:val="22"/>
        </w:rPr>
        <w:t> </w:t>
      </w:r>
      <w:r>
        <w:rPr>
          <w:sz w:val="22"/>
        </w:rPr>
        <w:t>resident’s</w:t>
      </w:r>
      <w:r>
        <w:rPr>
          <w:spacing w:val="-42"/>
          <w:sz w:val="22"/>
        </w:rPr>
        <w:t> </w:t>
      </w:r>
      <w:r>
        <w:rPr>
          <w:sz w:val="22"/>
        </w:rPr>
        <w:t>room</w:t>
      </w:r>
    </w:p>
    <w:p>
      <w:pPr>
        <w:pStyle w:val="ListParagraph"/>
        <w:numPr>
          <w:ilvl w:val="1"/>
          <w:numId w:val="5"/>
        </w:numPr>
        <w:tabs>
          <w:tab w:pos="1400" w:val="left" w:leader="none"/>
          <w:tab w:pos="1401" w:val="left" w:leader="none"/>
        </w:tabs>
        <w:spacing w:line="235" w:lineRule="auto" w:before="4" w:after="0"/>
        <w:ind w:left="1400" w:right="791" w:hanging="361"/>
        <w:jc w:val="left"/>
        <w:rPr>
          <w:rFonts w:ascii="Symbol" w:hAnsi="Symbol"/>
          <w:sz w:val="22"/>
        </w:rPr>
      </w:pPr>
      <w:r>
        <w:rPr>
          <w:sz w:val="22"/>
        </w:rPr>
        <w:t>We are working with our IT partners to look at how we can provide improved Wi-Fi access within care homes, allowing staff and visiting clinicians to remain fully connected to their</w:t>
      </w:r>
      <w:r>
        <w:rPr>
          <w:spacing w:val="-4"/>
          <w:sz w:val="22"/>
        </w:rPr>
        <w:t> </w:t>
      </w:r>
      <w:r>
        <w:rPr>
          <w:sz w:val="22"/>
        </w:rPr>
        <w:t>systems</w:t>
      </w:r>
    </w:p>
    <w:p>
      <w:pPr>
        <w:pStyle w:val="ListParagraph"/>
        <w:numPr>
          <w:ilvl w:val="1"/>
          <w:numId w:val="5"/>
        </w:numPr>
        <w:tabs>
          <w:tab w:pos="1400" w:val="left" w:leader="none"/>
          <w:tab w:pos="1401" w:val="left" w:leader="none"/>
        </w:tabs>
        <w:spacing w:line="235" w:lineRule="auto" w:before="11" w:after="0"/>
        <w:ind w:left="1400" w:right="987" w:hanging="361"/>
        <w:jc w:val="left"/>
        <w:rPr>
          <w:rFonts w:ascii="Symbol" w:hAnsi="Symbol"/>
          <w:sz w:val="22"/>
        </w:rPr>
      </w:pPr>
      <w:r>
        <w:rPr>
          <w:sz w:val="22"/>
        </w:rPr>
        <w:t>Our care community has developed a support team to support care homes to improve their digital</w:t>
      </w:r>
      <w:r>
        <w:rPr>
          <w:spacing w:val="-4"/>
          <w:sz w:val="22"/>
        </w:rPr>
        <w:t> </w:t>
      </w:r>
      <w:r>
        <w:rPr>
          <w:sz w:val="22"/>
        </w:rPr>
        <w:t>maturity</w:t>
      </w:r>
    </w:p>
    <w:p>
      <w:pPr>
        <w:pStyle w:val="ListParagraph"/>
        <w:numPr>
          <w:ilvl w:val="1"/>
          <w:numId w:val="5"/>
        </w:numPr>
        <w:tabs>
          <w:tab w:pos="1400" w:val="left" w:leader="none"/>
          <w:tab w:pos="1401" w:val="left" w:leader="none"/>
        </w:tabs>
        <w:spacing w:line="235" w:lineRule="auto" w:before="6" w:after="0"/>
        <w:ind w:left="1400" w:right="827" w:hanging="361"/>
        <w:jc w:val="left"/>
        <w:rPr>
          <w:rFonts w:ascii="Symbol" w:hAnsi="Symbol"/>
          <w:sz w:val="22"/>
        </w:rPr>
      </w:pPr>
      <w:r>
        <w:rPr>
          <w:sz w:val="22"/>
        </w:rPr>
        <w:t>We have developed a first of type care home IT Operating Model to outline the services and support required by providers, to ensure they receive the support required to allow digital</w:t>
      </w:r>
      <w:r>
        <w:rPr>
          <w:spacing w:val="-1"/>
          <w:sz w:val="22"/>
        </w:rPr>
        <w:t> </w:t>
      </w:r>
      <w:r>
        <w:rPr>
          <w:sz w:val="22"/>
        </w:rPr>
        <w:t>access.</w:t>
      </w:r>
    </w:p>
    <w:p>
      <w:pPr>
        <w:pStyle w:val="BodyText"/>
        <w:rPr>
          <w:sz w:val="24"/>
        </w:rPr>
      </w:pPr>
    </w:p>
    <w:p>
      <w:pPr>
        <w:pStyle w:val="BodyText"/>
        <w:spacing w:before="182"/>
        <w:ind w:left="680" w:right="819"/>
      </w:pPr>
      <w:r>
        <w:rPr/>
        <w:t>It is important that we support the reconfiguration of clinical services to ensure that patients are seen in the most appropriate location and to increase capacity within the care system and to support this we have a number of exciting projects underway:</w:t>
      </w:r>
    </w:p>
    <w:p>
      <w:pPr>
        <w:pStyle w:val="ListParagraph"/>
        <w:numPr>
          <w:ilvl w:val="1"/>
          <w:numId w:val="5"/>
        </w:numPr>
        <w:tabs>
          <w:tab w:pos="1400" w:val="left" w:leader="none"/>
          <w:tab w:pos="1401" w:val="left" w:leader="none"/>
        </w:tabs>
        <w:spacing w:line="235" w:lineRule="auto" w:before="205" w:after="0"/>
        <w:ind w:left="1400" w:right="913" w:hanging="361"/>
        <w:jc w:val="left"/>
        <w:rPr>
          <w:rFonts w:ascii="Symbol" w:hAnsi="Symbol"/>
          <w:sz w:val="22"/>
        </w:rPr>
      </w:pPr>
      <w:r>
        <w:rPr>
          <w:sz w:val="22"/>
        </w:rPr>
        <w:t>We have implemented a clinical booking system which allows NHS 111 to book callers into urgent care settings and we are now developing this system further to allow any care provider to directly book into any other care</w:t>
      </w:r>
      <w:r>
        <w:rPr>
          <w:spacing w:val="-25"/>
          <w:sz w:val="22"/>
        </w:rPr>
        <w:t> </w:t>
      </w:r>
      <w:r>
        <w:rPr>
          <w:sz w:val="22"/>
        </w:rPr>
        <w:t>provider.</w:t>
      </w:r>
    </w:p>
    <w:p>
      <w:pPr>
        <w:pStyle w:val="BodyText"/>
        <w:spacing w:before="4"/>
        <w:ind w:left="1400"/>
      </w:pPr>
      <w:r>
        <w:rPr/>
        <w:t>This will allow a quicker and easier experience for patients</w:t>
      </w:r>
    </w:p>
    <w:p>
      <w:pPr>
        <w:pStyle w:val="ListParagraph"/>
        <w:numPr>
          <w:ilvl w:val="1"/>
          <w:numId w:val="5"/>
        </w:numPr>
        <w:tabs>
          <w:tab w:pos="1400" w:val="left" w:leader="none"/>
          <w:tab w:pos="1401" w:val="left" w:leader="none"/>
        </w:tabs>
        <w:spacing w:line="235" w:lineRule="auto" w:before="5" w:after="0"/>
        <w:ind w:left="1400" w:right="1492" w:hanging="361"/>
        <w:jc w:val="left"/>
        <w:rPr>
          <w:rFonts w:ascii="Symbol" w:hAnsi="Symbol"/>
          <w:sz w:val="22"/>
        </w:rPr>
      </w:pPr>
      <w:r>
        <w:rPr>
          <w:sz w:val="22"/>
        </w:rPr>
        <w:t>We have supported the process to move diagnostic services into the community, increasing capacity within other local</w:t>
      </w:r>
      <w:r>
        <w:rPr>
          <w:spacing w:val="-4"/>
          <w:sz w:val="22"/>
        </w:rPr>
        <w:t> </w:t>
      </w:r>
      <w:r>
        <w:rPr>
          <w:sz w:val="22"/>
        </w:rPr>
        <w:t>services.</w:t>
      </w:r>
    </w:p>
    <w:p>
      <w:pPr>
        <w:spacing w:after="0" w:line="235" w:lineRule="auto"/>
        <w:jc w:val="left"/>
        <w:rPr>
          <w:rFonts w:ascii="Symbol" w:hAnsi="Symbol"/>
          <w:sz w:val="22"/>
        </w:rPr>
        <w:sectPr>
          <w:pgSz w:w="11920" w:h="16850"/>
          <w:pgMar w:header="0" w:footer="363" w:top="1320" w:bottom="640" w:left="760" w:right="420"/>
        </w:sectPr>
      </w:pPr>
    </w:p>
    <w:p>
      <w:pPr>
        <w:pStyle w:val="Heading3"/>
      </w:pPr>
      <w:bookmarkStart w:name="Highlights of the year 2021-22" w:id="67"/>
      <w:bookmarkEnd w:id="67"/>
      <w:r>
        <w:rPr>
          <w:b w:val="0"/>
        </w:rPr>
      </w:r>
      <w:bookmarkStart w:name="_bookmark13" w:id="68"/>
      <w:bookmarkEnd w:id="68"/>
      <w:r>
        <w:rPr>
          <w:b w:val="0"/>
        </w:rPr>
      </w:r>
      <w:r>
        <w:rPr>
          <w:color w:val="4F81BB"/>
        </w:rPr>
        <w:t>Highlights of the year 2021-22</w:t>
      </w:r>
    </w:p>
    <w:p>
      <w:pPr>
        <w:pStyle w:val="Heading4"/>
        <w:spacing w:before="253"/>
      </w:pPr>
      <w:bookmarkStart w:name="Continuing to tackle Covid-19" w:id="69"/>
      <w:bookmarkEnd w:id="69"/>
      <w:r>
        <w:rPr>
          <w:b w:val="0"/>
        </w:rPr>
      </w:r>
      <w:r>
        <w:rPr>
          <w:color w:val="4F81BB"/>
        </w:rPr>
        <w:t>Continuing to tackle Covid-19</w:t>
      </w:r>
    </w:p>
    <w:p>
      <w:pPr>
        <w:pStyle w:val="BodyText"/>
        <w:rPr>
          <w:b/>
          <w:sz w:val="24"/>
        </w:rPr>
      </w:pPr>
    </w:p>
    <w:p>
      <w:pPr>
        <w:pStyle w:val="BodyText"/>
        <w:ind w:left="680" w:right="893"/>
      </w:pPr>
      <w:r>
        <w:rPr/>
        <w:t>Since the launch of Covid-19 vaccinations, NHS North Lincolnshire CCG has led an extremely successful vaccination programme, through its GP practices, pharmacies, community venues through its outreach programme, and through the Scunthorpe Vaccination Centre at the Ironstone Centre in Scunthorpe.</w:t>
      </w:r>
    </w:p>
    <w:p>
      <w:pPr>
        <w:pStyle w:val="BodyText"/>
      </w:pPr>
    </w:p>
    <w:p>
      <w:pPr>
        <w:pStyle w:val="BodyText"/>
        <w:ind w:left="680" w:right="708"/>
      </w:pPr>
      <w:r>
        <w:rPr/>
        <w:t>To date, more than 375,000 vaccinations have been administered across North Lincolnshire, including first, second and booster jabs. The close partnership working and efforts to tackle misinformation and inequalities have been recognised regionally and nationally as best practice. Part of the outreach vaccination programme saw well attended pop up clinics take place at The Islamic Centre and the Guru Nanak Gurudwara in Scunthorpe, with the aim of boosting the uptake among our culturally diverse communities.</w:t>
      </w:r>
    </w:p>
    <w:p>
      <w:pPr>
        <w:pStyle w:val="BodyText"/>
        <w:rPr>
          <w:sz w:val="24"/>
        </w:rPr>
      </w:pPr>
    </w:p>
    <w:p>
      <w:pPr>
        <w:pStyle w:val="BodyText"/>
        <w:spacing w:before="2"/>
        <w:rPr>
          <w:sz w:val="20"/>
        </w:rPr>
      </w:pPr>
    </w:p>
    <w:p>
      <w:pPr>
        <w:pStyle w:val="Heading4"/>
      </w:pPr>
      <w:bookmarkStart w:name="Success of The Foundry temporary Covid-1" w:id="70"/>
      <w:bookmarkEnd w:id="70"/>
      <w:r>
        <w:rPr>
          <w:b w:val="0"/>
        </w:rPr>
      </w:r>
      <w:r>
        <w:rPr>
          <w:color w:val="4F81BB"/>
        </w:rPr>
        <w:t>Success of The Foundry temporary Covid-19 vaccination centre</w:t>
      </w:r>
    </w:p>
    <w:p>
      <w:pPr>
        <w:pStyle w:val="BodyText"/>
        <w:spacing w:before="1"/>
        <w:rPr>
          <w:b/>
        </w:rPr>
      </w:pPr>
    </w:p>
    <w:p>
      <w:pPr>
        <w:pStyle w:val="BodyText"/>
        <w:ind w:left="680" w:right="978"/>
      </w:pPr>
      <w:r>
        <w:rPr/>
        <w:t>Impressive partnership working saw a walk-in vaccine centre launch in central Scunthorpe on 21 December 2021 in a bid to bolster North Lincolnshire’s vaccination programme.</w:t>
      </w:r>
    </w:p>
    <w:p>
      <w:pPr>
        <w:pStyle w:val="BodyText"/>
        <w:spacing w:before="8"/>
        <w:rPr>
          <w:sz w:val="21"/>
        </w:rPr>
      </w:pPr>
    </w:p>
    <w:p>
      <w:pPr>
        <w:pStyle w:val="BodyText"/>
        <w:spacing w:before="1"/>
        <w:ind w:left="679" w:right="806"/>
        <w:jc w:val="both"/>
      </w:pPr>
      <w:r>
        <w:rPr/>
        <w:t>NHS North Lincolnshire CCG, NLaG and North Lincolnshire Council came together to open the facility inside The Foundry in the build up to Christmas – giving residents more flexibility in their search for a vaccine.</w:t>
      </w:r>
    </w:p>
    <w:p>
      <w:pPr>
        <w:pStyle w:val="BodyText"/>
      </w:pPr>
    </w:p>
    <w:p>
      <w:pPr>
        <w:pStyle w:val="BodyText"/>
        <w:ind w:left="679" w:right="783"/>
      </w:pPr>
      <w:r>
        <w:rPr/>
        <w:t>In the month the service was open, almost 2,500 people were vaccinated. The vast majority of those administered were booster doses but an impressive number of people also came forward for first and second doses.</w:t>
      </w:r>
    </w:p>
    <w:p>
      <w:pPr>
        <w:pStyle w:val="BodyText"/>
        <w:rPr>
          <w:sz w:val="24"/>
        </w:rPr>
      </w:pPr>
    </w:p>
    <w:p>
      <w:pPr>
        <w:pStyle w:val="BodyText"/>
        <w:spacing w:before="1"/>
        <w:rPr>
          <w:sz w:val="20"/>
        </w:rPr>
      </w:pPr>
    </w:p>
    <w:p>
      <w:pPr>
        <w:pStyle w:val="Heading4"/>
        <w:jc w:val="both"/>
      </w:pPr>
      <w:bookmarkStart w:name="Scunthorpe Vaccination Centre celebrates" w:id="71"/>
      <w:bookmarkEnd w:id="71"/>
      <w:r>
        <w:rPr>
          <w:b w:val="0"/>
        </w:rPr>
      </w:r>
      <w:r>
        <w:rPr>
          <w:color w:val="4F81BB"/>
        </w:rPr>
        <w:t>Scunthorpe Vaccination Centre celebrates one year anniversary</w:t>
      </w:r>
    </w:p>
    <w:p>
      <w:pPr>
        <w:pStyle w:val="BodyText"/>
        <w:spacing w:before="11"/>
        <w:rPr>
          <w:b/>
          <w:sz w:val="23"/>
        </w:rPr>
      </w:pPr>
    </w:p>
    <w:p>
      <w:pPr>
        <w:pStyle w:val="BodyText"/>
        <w:ind w:left="680" w:right="1467"/>
      </w:pPr>
      <w:r>
        <w:rPr>
          <w:color w:val="0E101A"/>
        </w:rPr>
        <w:t>The Scunthorpe Vaccination Centre located at the Ironstone Centre marked its one-year anniversary on 19 March.</w:t>
      </w:r>
    </w:p>
    <w:p>
      <w:pPr>
        <w:pStyle w:val="BodyText"/>
        <w:spacing w:before="11"/>
        <w:rPr>
          <w:sz w:val="21"/>
        </w:rPr>
      </w:pPr>
    </w:p>
    <w:p>
      <w:pPr>
        <w:pStyle w:val="BodyText"/>
        <w:ind w:left="680" w:right="907"/>
        <w:jc w:val="both"/>
      </w:pPr>
      <w:r>
        <w:rPr>
          <w:color w:val="0E101A"/>
        </w:rPr>
        <w:t>The vaccination programme managed by Safecare Network started at The Baths Hall in 2021, and a year on, as of 19 March, it had administered more than 105,000 vaccinations.</w:t>
      </w:r>
    </w:p>
    <w:p>
      <w:pPr>
        <w:pStyle w:val="BodyText"/>
        <w:rPr>
          <w:sz w:val="24"/>
        </w:rPr>
      </w:pPr>
    </w:p>
    <w:p>
      <w:pPr>
        <w:pStyle w:val="BodyText"/>
        <w:spacing w:before="7"/>
      </w:pPr>
    </w:p>
    <w:p>
      <w:pPr>
        <w:pStyle w:val="Heading4"/>
        <w:jc w:val="both"/>
      </w:pPr>
      <w:bookmarkStart w:name="Primary care access" w:id="72"/>
      <w:bookmarkEnd w:id="72"/>
      <w:r>
        <w:rPr>
          <w:b w:val="0"/>
        </w:rPr>
      </w:r>
      <w:r>
        <w:rPr>
          <w:color w:val="4F81BB"/>
        </w:rPr>
        <w:t>Primary care access</w:t>
      </w:r>
    </w:p>
    <w:p>
      <w:pPr>
        <w:pStyle w:val="BodyText"/>
        <w:spacing w:before="11"/>
        <w:rPr>
          <w:b/>
          <w:sz w:val="23"/>
        </w:rPr>
      </w:pPr>
    </w:p>
    <w:p>
      <w:pPr>
        <w:pStyle w:val="BodyText"/>
        <w:ind w:left="680" w:right="784"/>
      </w:pPr>
      <w:r>
        <w:rPr/>
        <w:t>We launched a primary care access communications plan, and this continues to be a critical and long running piece of work. We welcomed BBC Look North into a North Lincolnshire surgery to promote wider primary care network roles such as physiotherapists, pharmacists, nurses, mental health workers, paramedics, social prescribers and many more. These roles will once again be promoted in a series of short videos that are being produced for wider sharing across social media and on websites.</w:t>
      </w:r>
    </w:p>
    <w:p>
      <w:pPr>
        <w:pStyle w:val="BodyText"/>
        <w:spacing w:before="200"/>
        <w:ind w:left="680" w:right="1015"/>
      </w:pPr>
      <w:r>
        <w:rPr/>
        <w:t>We have also published an ‘open letter’ from primary care to patients via our website and the Scunthorpe Telegraph – explaining just how hard everyone in general practice is working.</w:t>
      </w:r>
    </w:p>
    <w:p>
      <w:pPr>
        <w:pStyle w:val="BodyText"/>
        <w:spacing w:before="198"/>
        <w:ind w:left="680" w:right="966"/>
      </w:pPr>
      <w:r>
        <w:rPr/>
        <w:t>Each month we are promoting the number of appointments there have been in primary care across North Lincolnshire, as well as the number of face to face and same day appointments.</w:t>
      </w:r>
    </w:p>
    <w:p>
      <w:pPr>
        <w:spacing w:after="0"/>
        <w:sectPr>
          <w:pgSz w:w="11920" w:h="16850"/>
          <w:pgMar w:header="0" w:footer="363" w:top="1320" w:bottom="640" w:left="760" w:right="420"/>
        </w:sectPr>
      </w:pPr>
    </w:p>
    <w:p>
      <w:pPr>
        <w:pStyle w:val="BodyText"/>
        <w:spacing w:before="81"/>
        <w:ind w:left="680" w:right="782"/>
        <w:jc w:val="both"/>
      </w:pPr>
      <w:r>
        <w:rPr/>
        <w:t>There has been continued promotion of, not just wider PCN roles, but how and when to use the system correctly, i.e.: NHS 111, 111 Online, pharmacies, mental health support services, social prescribing, A&amp;E.</w:t>
      </w:r>
    </w:p>
    <w:p>
      <w:pPr>
        <w:pStyle w:val="BodyText"/>
        <w:rPr>
          <w:sz w:val="24"/>
        </w:rPr>
      </w:pPr>
    </w:p>
    <w:p>
      <w:pPr>
        <w:pStyle w:val="Heading4"/>
        <w:spacing w:before="175"/>
        <w:jc w:val="both"/>
      </w:pPr>
      <w:bookmarkStart w:name="North Lincolnshire residents encouraged " w:id="73"/>
      <w:bookmarkEnd w:id="73"/>
      <w:r>
        <w:rPr>
          <w:b w:val="0"/>
        </w:rPr>
      </w:r>
      <w:r>
        <w:rPr>
          <w:color w:val="4F81BB"/>
        </w:rPr>
        <w:t>North Lincolnshire residents encouraged to download NHS App</w:t>
      </w:r>
    </w:p>
    <w:p>
      <w:pPr>
        <w:pStyle w:val="BodyText"/>
        <w:spacing w:before="11"/>
        <w:rPr>
          <w:b/>
          <w:sz w:val="23"/>
        </w:rPr>
      </w:pPr>
    </w:p>
    <w:p>
      <w:pPr>
        <w:pStyle w:val="BodyText"/>
        <w:ind w:left="680" w:right="858"/>
        <w:jc w:val="both"/>
      </w:pPr>
      <w:r>
        <w:rPr/>
        <w:t>North Lincolnshire residents are being encouraged by their local NHS and council to download the NHS App. In November 2021, only 18% of residents in North Lincolnshire had downloaded the NHS App.</w:t>
      </w:r>
    </w:p>
    <w:p>
      <w:pPr>
        <w:pStyle w:val="BodyText"/>
        <w:spacing w:before="10"/>
        <w:rPr>
          <w:sz w:val="21"/>
        </w:rPr>
      </w:pPr>
    </w:p>
    <w:p>
      <w:pPr>
        <w:pStyle w:val="BodyText"/>
        <w:ind w:left="679" w:right="752"/>
      </w:pPr>
      <w:r>
        <w:rPr/>
        <w:t>In North Lincolnshire we have a dedicated marketing and communications campaign running to promote the use of the </w:t>
      </w:r>
      <w:r>
        <w:rPr>
          <w:spacing w:val="-4"/>
        </w:rPr>
        <w:t>NHS </w:t>
      </w:r>
      <w:r>
        <w:rPr/>
        <w:t>App. That plan includes the creation of a how to guide, printed leaflets, banner, bus panel advertisements and much more. The plan also includes the new role of ‘Health Promotions Officer’ to support the campaign, speaking to people who have just been vaccinated at the mass vaccination centre, and to people waiting in GP practices – encouraging them to download the app and supporting them with any questions or help they may need to download it. As of 1 April, 40% of residents in North Lincolnshire have downloaded the app, with the target of hitting 50% by the end of</w:t>
      </w:r>
      <w:r>
        <w:rPr>
          <w:spacing w:val="-25"/>
        </w:rPr>
        <w:t> </w:t>
      </w:r>
      <w:r>
        <w:rPr/>
        <w:t>summer.</w:t>
      </w:r>
    </w:p>
    <w:p>
      <w:pPr>
        <w:pStyle w:val="BodyText"/>
        <w:rPr>
          <w:sz w:val="24"/>
        </w:rPr>
      </w:pPr>
    </w:p>
    <w:p>
      <w:pPr>
        <w:pStyle w:val="BodyText"/>
        <w:rPr>
          <w:sz w:val="20"/>
        </w:rPr>
      </w:pPr>
    </w:p>
    <w:p>
      <w:pPr>
        <w:pStyle w:val="Heading4"/>
      </w:pPr>
      <w:bookmarkStart w:name="Urgent GP access hub" w:id="74"/>
      <w:bookmarkEnd w:id="74"/>
      <w:r>
        <w:rPr>
          <w:b w:val="0"/>
        </w:rPr>
      </w:r>
      <w:r>
        <w:rPr>
          <w:color w:val="4F81BB"/>
        </w:rPr>
        <w:t>Urgent GP access hub</w:t>
      </w:r>
    </w:p>
    <w:p>
      <w:pPr>
        <w:pStyle w:val="BodyText"/>
        <w:spacing w:before="11"/>
        <w:rPr>
          <w:b/>
          <w:sz w:val="23"/>
        </w:rPr>
      </w:pPr>
    </w:p>
    <w:p>
      <w:pPr>
        <w:pStyle w:val="BodyText"/>
        <w:ind w:left="679" w:right="735"/>
      </w:pPr>
      <w:r>
        <w:rPr/>
        <w:t>A new urgent GP hub opened at the Ironstone Centre in Scunthorpe and will remain there while winter pressures remain high. This new service, open Monday to Thursday, is for patients who require an urgent face-to-face appointment with primary care, but their own practice is unable to see them promptly due to staffing issues. Up to 250 appointments per week have been made available here for residents registered with a North Lincolnshire practice. Patients cannot self- present to the hub unless referred by their own practice.</w:t>
      </w:r>
    </w:p>
    <w:p>
      <w:pPr>
        <w:pStyle w:val="BodyText"/>
      </w:pPr>
    </w:p>
    <w:p>
      <w:pPr>
        <w:pStyle w:val="BodyText"/>
        <w:ind w:left="679" w:right="1151"/>
      </w:pPr>
      <w:r>
        <w:rPr/>
        <w:t>Dr Faisel Baig, GP &amp; Chair at NHS North Lincolnshire CCG, said: “The urgent GP hub is an excellent development for North Lincolnshire, and I would like to thank our GP federation, Safecare and Cedar Medical Practice for helping with staffing and premises.</w:t>
      </w:r>
    </w:p>
    <w:p>
      <w:pPr>
        <w:pStyle w:val="BodyText"/>
        <w:spacing w:before="1"/>
      </w:pPr>
    </w:p>
    <w:p>
      <w:pPr>
        <w:pStyle w:val="BodyText"/>
        <w:ind w:left="682" w:right="1502"/>
      </w:pPr>
      <w:r>
        <w:rPr/>
        <w:t>“The service is all about GPs coming together and working at a central location to assist practices with staff shortages, allowing patients to be seen promptly.</w:t>
      </w:r>
    </w:p>
    <w:p>
      <w:pPr>
        <w:pStyle w:val="BodyText"/>
      </w:pPr>
    </w:p>
    <w:p>
      <w:pPr>
        <w:pStyle w:val="BodyText"/>
        <w:ind w:left="682" w:right="792"/>
      </w:pPr>
      <w:r>
        <w:rPr/>
        <w:t>“It is beneficial to both patients and practices, and we hope that we will be able to build on such innovative models in the future.”</w:t>
      </w:r>
    </w:p>
    <w:p>
      <w:pPr>
        <w:pStyle w:val="BodyText"/>
        <w:rPr>
          <w:sz w:val="24"/>
        </w:rPr>
      </w:pPr>
    </w:p>
    <w:p>
      <w:pPr>
        <w:pStyle w:val="BodyText"/>
        <w:spacing w:before="1"/>
        <w:rPr>
          <w:sz w:val="20"/>
        </w:rPr>
      </w:pPr>
    </w:p>
    <w:p>
      <w:pPr>
        <w:pStyle w:val="Heading4"/>
      </w:pPr>
      <w:bookmarkStart w:name="Contact a local pharmacy online about mi" w:id="75"/>
      <w:bookmarkEnd w:id="75"/>
      <w:r>
        <w:rPr>
          <w:b w:val="0"/>
        </w:rPr>
      </w:r>
      <w:r>
        <w:rPr>
          <w:color w:val="4F81BB"/>
        </w:rPr>
        <w:t>Contact a local pharmacy online about minor health concerns</w:t>
      </w:r>
    </w:p>
    <w:p>
      <w:pPr>
        <w:pStyle w:val="BodyText"/>
        <w:rPr>
          <w:b/>
          <w:sz w:val="24"/>
        </w:rPr>
      </w:pPr>
    </w:p>
    <w:p>
      <w:pPr>
        <w:pStyle w:val="BodyText"/>
        <w:ind w:left="680" w:right="709"/>
      </w:pPr>
      <w:r>
        <w:rPr/>
        <w:t>Residents in North Lincolnshire experiencing minor illness or ailments, are being encouraged by their local NHS to speak directly to a community pharmacy online first.</w:t>
      </w:r>
    </w:p>
    <w:p>
      <w:pPr>
        <w:pStyle w:val="BodyText"/>
        <w:spacing w:before="4"/>
        <w:rPr>
          <w:sz w:val="31"/>
        </w:rPr>
      </w:pPr>
    </w:p>
    <w:p>
      <w:pPr>
        <w:pStyle w:val="BodyText"/>
        <w:ind w:left="680" w:right="782"/>
      </w:pPr>
      <w:r>
        <w:rPr/>
        <w:t>The Humber, Coast and Vale Health and Care Partnership is running a pilot project across North Lincolnshire initially, to trial online pharmacy consultations. The aim is to encourage patients and their carers to contact a pharmacy first using online consultations, before their GP, for conditions and enquiries that a pharmacy can help with.</w:t>
      </w:r>
    </w:p>
    <w:p>
      <w:pPr>
        <w:pStyle w:val="BodyText"/>
        <w:spacing w:before="2"/>
        <w:rPr>
          <w:sz w:val="31"/>
        </w:rPr>
      </w:pPr>
    </w:p>
    <w:p>
      <w:pPr>
        <w:pStyle w:val="BodyText"/>
        <w:ind w:left="680" w:right="795"/>
      </w:pPr>
      <w:r>
        <w:rPr/>
        <w:t>Patients can visit </w:t>
      </w:r>
      <w:hyperlink r:id="rId18">
        <w:r>
          <w:rPr>
            <w:color w:val="0079C2"/>
            <w:u w:val="single" w:color="0079C2"/>
          </w:rPr>
          <w:t>northlincspharmacies.nhs.uk</w:t>
        </w:r>
        <w:r>
          <w:rPr>
            <w:color w:val="0079C2"/>
          </w:rPr>
          <w:t> </w:t>
        </w:r>
      </w:hyperlink>
      <w:r>
        <w:rPr/>
        <w:t>and search for their specific problem or medicine. The search results will display self-help material, and if further information is needed, the patient can:</w:t>
      </w:r>
    </w:p>
    <w:p>
      <w:pPr>
        <w:spacing w:after="0"/>
        <w:sectPr>
          <w:pgSz w:w="11920" w:h="16850"/>
          <w:pgMar w:header="0" w:footer="363" w:top="1320" w:bottom="640" w:left="760" w:right="420"/>
        </w:sectPr>
      </w:pPr>
    </w:p>
    <w:p>
      <w:pPr>
        <w:pStyle w:val="ListParagraph"/>
        <w:numPr>
          <w:ilvl w:val="1"/>
          <w:numId w:val="5"/>
        </w:numPr>
        <w:tabs>
          <w:tab w:pos="1399" w:val="left" w:leader="none"/>
          <w:tab w:pos="1400" w:val="left" w:leader="none"/>
        </w:tabs>
        <w:spacing w:line="240" w:lineRule="auto" w:before="81" w:after="0"/>
        <w:ind w:left="1400" w:right="999" w:hanging="360"/>
        <w:jc w:val="left"/>
        <w:rPr>
          <w:rFonts w:ascii="Symbol" w:hAnsi="Symbol"/>
          <w:sz w:val="20"/>
        </w:rPr>
      </w:pPr>
      <w:r>
        <w:rPr>
          <w:sz w:val="22"/>
        </w:rPr>
        <w:t>Contact a local pharmacy directly online at a time to suit, without the need to attend in person</w:t>
      </w:r>
    </w:p>
    <w:p>
      <w:pPr>
        <w:pStyle w:val="ListParagraph"/>
        <w:numPr>
          <w:ilvl w:val="1"/>
          <w:numId w:val="5"/>
        </w:numPr>
        <w:tabs>
          <w:tab w:pos="1399" w:val="left" w:leader="none"/>
          <w:tab w:pos="1400" w:val="left" w:leader="none"/>
        </w:tabs>
        <w:spacing w:line="240" w:lineRule="auto" w:before="0" w:after="0"/>
        <w:ind w:left="1400" w:right="1189" w:hanging="361"/>
        <w:jc w:val="left"/>
        <w:rPr>
          <w:rFonts w:ascii="Symbol" w:hAnsi="Symbol"/>
          <w:sz w:val="20"/>
        </w:rPr>
      </w:pPr>
      <w:r>
        <w:rPr>
          <w:sz w:val="22"/>
        </w:rPr>
        <w:t>Attach relevant photos if needed (for example for cuts, burns, acne and more). The pharmacy</w:t>
      </w:r>
      <w:r>
        <w:rPr>
          <w:spacing w:val="-5"/>
          <w:sz w:val="22"/>
        </w:rPr>
        <w:t> </w:t>
      </w:r>
      <w:r>
        <w:rPr>
          <w:sz w:val="22"/>
        </w:rPr>
        <w:t>will</w:t>
      </w:r>
      <w:r>
        <w:rPr>
          <w:spacing w:val="-2"/>
          <w:sz w:val="22"/>
        </w:rPr>
        <w:t> </w:t>
      </w:r>
      <w:r>
        <w:rPr>
          <w:sz w:val="22"/>
        </w:rPr>
        <w:t>respond</w:t>
      </w:r>
      <w:r>
        <w:rPr>
          <w:spacing w:val="-5"/>
          <w:sz w:val="22"/>
        </w:rPr>
        <w:t> </w:t>
      </w:r>
      <w:r>
        <w:rPr>
          <w:sz w:val="22"/>
        </w:rPr>
        <w:t>and</w:t>
      </w:r>
      <w:r>
        <w:rPr>
          <w:spacing w:val="-2"/>
          <w:sz w:val="22"/>
        </w:rPr>
        <w:t> </w:t>
      </w:r>
      <w:r>
        <w:rPr>
          <w:sz w:val="22"/>
        </w:rPr>
        <w:t>can</w:t>
      </w:r>
      <w:r>
        <w:rPr>
          <w:spacing w:val="-3"/>
          <w:sz w:val="22"/>
        </w:rPr>
        <w:t> </w:t>
      </w:r>
      <w:r>
        <w:rPr>
          <w:sz w:val="22"/>
        </w:rPr>
        <w:t>advise</w:t>
      </w:r>
      <w:r>
        <w:rPr>
          <w:spacing w:val="-4"/>
          <w:sz w:val="22"/>
        </w:rPr>
        <w:t> </w:t>
      </w:r>
      <w:r>
        <w:rPr>
          <w:sz w:val="22"/>
        </w:rPr>
        <w:t>online,</w:t>
      </w:r>
      <w:r>
        <w:rPr>
          <w:spacing w:val="-1"/>
          <w:sz w:val="22"/>
        </w:rPr>
        <w:t> </w:t>
      </w:r>
      <w:r>
        <w:rPr>
          <w:sz w:val="22"/>
        </w:rPr>
        <w:t>or in</w:t>
      </w:r>
      <w:r>
        <w:rPr>
          <w:spacing w:val="-3"/>
          <w:sz w:val="22"/>
        </w:rPr>
        <w:t> </w:t>
      </w:r>
      <w:r>
        <w:rPr>
          <w:sz w:val="22"/>
        </w:rPr>
        <w:t>person</w:t>
      </w:r>
      <w:r>
        <w:rPr>
          <w:spacing w:val="-4"/>
          <w:sz w:val="22"/>
        </w:rPr>
        <w:t> </w:t>
      </w:r>
      <w:r>
        <w:rPr>
          <w:sz w:val="22"/>
        </w:rPr>
        <w:t>if</w:t>
      </w:r>
      <w:r>
        <w:rPr>
          <w:spacing w:val="-4"/>
          <w:sz w:val="22"/>
        </w:rPr>
        <w:t> </w:t>
      </w:r>
      <w:r>
        <w:rPr>
          <w:sz w:val="22"/>
        </w:rPr>
        <w:t>they</w:t>
      </w:r>
      <w:r>
        <w:rPr>
          <w:spacing w:val="-4"/>
          <w:sz w:val="22"/>
        </w:rPr>
        <w:t> </w:t>
      </w:r>
      <w:r>
        <w:rPr>
          <w:sz w:val="22"/>
        </w:rPr>
        <w:t>feel</w:t>
      </w:r>
      <w:r>
        <w:rPr>
          <w:spacing w:val="-3"/>
          <w:sz w:val="22"/>
        </w:rPr>
        <w:t> </w:t>
      </w:r>
      <w:r>
        <w:rPr>
          <w:sz w:val="22"/>
        </w:rPr>
        <w:t>it’s</w:t>
      </w:r>
      <w:r>
        <w:rPr>
          <w:spacing w:val="-42"/>
          <w:sz w:val="22"/>
        </w:rPr>
        <w:t> </w:t>
      </w:r>
      <w:r>
        <w:rPr>
          <w:sz w:val="22"/>
        </w:rPr>
        <w:t>necessary.</w:t>
      </w:r>
    </w:p>
    <w:p>
      <w:pPr>
        <w:pStyle w:val="BodyText"/>
        <w:rPr>
          <w:sz w:val="24"/>
        </w:rPr>
      </w:pPr>
    </w:p>
    <w:p>
      <w:pPr>
        <w:pStyle w:val="BodyText"/>
        <w:ind w:left="680" w:right="1051"/>
      </w:pPr>
      <w:r>
        <w:rPr/>
        <w:t>Pharmacies will be able to contact the patient online using secure online messaging or video consulting.</w:t>
      </w:r>
    </w:p>
    <w:p>
      <w:pPr>
        <w:pStyle w:val="BodyText"/>
        <w:spacing w:before="5"/>
        <w:rPr>
          <w:sz w:val="31"/>
        </w:rPr>
      </w:pPr>
    </w:p>
    <w:p>
      <w:pPr>
        <w:pStyle w:val="Heading4"/>
        <w:ind w:right="1318"/>
      </w:pPr>
      <w:bookmarkStart w:name="Thousands of people set to benefit as NH" w:id="76"/>
      <w:bookmarkEnd w:id="76"/>
      <w:r>
        <w:rPr>
          <w:b w:val="0"/>
        </w:rPr>
      </w:r>
      <w:r>
        <w:rPr>
          <w:color w:val="4F81BB"/>
        </w:rPr>
        <w:t>Thousands of people set to benefit as NHS lung health checks confirmed for North Lincolnshire and North East Lincolnshire</w:t>
      </w:r>
    </w:p>
    <w:p>
      <w:pPr>
        <w:pStyle w:val="BodyText"/>
        <w:spacing w:before="11"/>
        <w:rPr>
          <w:b/>
          <w:sz w:val="23"/>
        </w:rPr>
      </w:pPr>
    </w:p>
    <w:p>
      <w:pPr>
        <w:pStyle w:val="BodyText"/>
        <w:ind w:left="680" w:right="898"/>
        <w:jc w:val="both"/>
      </w:pPr>
      <w:r>
        <w:rPr/>
        <w:t>Past and current smokers in North Lincolnshire and North East Lincolnshire will be invited to a NHS lung health check service in a drive to improve earlier diagnosis of lung cancer and save more lives.</w:t>
      </w:r>
    </w:p>
    <w:p>
      <w:pPr>
        <w:pStyle w:val="BodyText"/>
      </w:pPr>
    </w:p>
    <w:p>
      <w:pPr>
        <w:pStyle w:val="BodyText"/>
        <w:spacing w:before="1"/>
        <w:ind w:left="680" w:right="1174"/>
      </w:pPr>
      <w:r>
        <w:rPr/>
        <w:t>NHS England and NHS Improvement has confirmed that North Lincolnshire and North East Lincolnshire will be two of 43 places across the country to run NHS Targeted Lung Health Check programme.</w:t>
      </w:r>
    </w:p>
    <w:p>
      <w:pPr>
        <w:pStyle w:val="BodyText"/>
        <w:spacing w:before="1"/>
      </w:pPr>
    </w:p>
    <w:p>
      <w:pPr>
        <w:pStyle w:val="BodyText"/>
        <w:ind w:left="680" w:right="1088"/>
      </w:pPr>
      <w:r>
        <w:rPr/>
        <w:t>Expected to start in Spring 2022, the initiative means approximately 45,000 past and current smokers, aged 55 to less than 75, in North Lincolnshire and North East Lincolnshire will be invited to a lung health check by their GP. This will identify an estimated 440 cases of lung cancer earlier than otherwise would have been.</w:t>
      </w:r>
    </w:p>
    <w:p>
      <w:pPr>
        <w:pStyle w:val="BodyText"/>
        <w:spacing w:before="9"/>
        <w:rPr>
          <w:sz w:val="21"/>
        </w:rPr>
      </w:pPr>
    </w:p>
    <w:p>
      <w:pPr>
        <w:pStyle w:val="BodyText"/>
        <w:ind w:left="680" w:right="1174"/>
      </w:pPr>
      <w:r>
        <w:rPr/>
        <w:t>Those invited will have an initial phone assessment with a specially trained health care professional. If the assessment finds the person to be at high risk, they will be offered a low dose CT scan of the lungs for further investigation.</w:t>
      </w:r>
    </w:p>
    <w:p>
      <w:pPr>
        <w:pStyle w:val="BodyText"/>
      </w:pPr>
    </w:p>
    <w:p>
      <w:pPr>
        <w:pStyle w:val="BodyText"/>
        <w:ind w:left="680" w:right="795"/>
      </w:pPr>
      <w:r>
        <w:rPr/>
        <w:t>The scanner will be housed in a mobile unit and taken to convenient locations, such as supermarket or sport venue car parks, across North and North East Lincolnshire. Stop smoking advice will also be offered to support current smokers wanting to quit.</w:t>
      </w:r>
    </w:p>
    <w:p>
      <w:pPr>
        <w:spacing w:after="0"/>
        <w:sectPr>
          <w:pgSz w:w="11920" w:h="16850"/>
          <w:pgMar w:header="0" w:footer="363" w:top="1320" w:bottom="640" w:left="760" w:right="420"/>
        </w:sectPr>
      </w:pPr>
    </w:p>
    <w:p>
      <w:pPr>
        <w:pStyle w:val="Heading3"/>
      </w:pPr>
      <w:bookmarkStart w:name="Performance analysis - how are we doing?" w:id="77"/>
      <w:bookmarkEnd w:id="77"/>
      <w:r>
        <w:rPr>
          <w:b w:val="0"/>
        </w:rPr>
      </w:r>
      <w:bookmarkStart w:name="_bookmark14" w:id="78"/>
      <w:bookmarkEnd w:id="78"/>
      <w:r>
        <w:rPr>
          <w:b w:val="0"/>
        </w:rPr>
      </w:r>
      <w:r>
        <w:rPr>
          <w:color w:val="4F81BA"/>
        </w:rPr>
        <w:t>Performance analysis - how are we doing?</w:t>
      </w:r>
    </w:p>
    <w:p>
      <w:pPr>
        <w:pStyle w:val="BodyText"/>
        <w:spacing w:before="3"/>
        <w:rPr>
          <w:b/>
          <w:sz w:val="28"/>
        </w:rPr>
      </w:pPr>
    </w:p>
    <w:p>
      <w:pPr>
        <w:pStyle w:val="Heading4"/>
      </w:pPr>
      <w:bookmarkStart w:name="Introduction" w:id="79"/>
      <w:bookmarkEnd w:id="79"/>
      <w:r>
        <w:rPr>
          <w:b w:val="0"/>
        </w:rPr>
      </w:r>
      <w:r>
        <w:rPr>
          <w:color w:val="4F81BB"/>
        </w:rPr>
        <w:t>Introduction</w:t>
      </w:r>
    </w:p>
    <w:p>
      <w:pPr>
        <w:pStyle w:val="BodyText"/>
        <w:rPr>
          <w:b/>
          <w:sz w:val="24"/>
        </w:rPr>
      </w:pPr>
    </w:p>
    <w:p>
      <w:pPr>
        <w:pStyle w:val="BodyText"/>
        <w:ind w:left="679" w:right="1451"/>
      </w:pPr>
      <w:r>
        <w:rPr>
          <w:color w:val="1F2A2E"/>
        </w:rPr>
        <w:t>Clinical Commissioning Groups (CCGs) were established on 1 April 2013 and are clinically-led organisations. NHS England has a statutory duty (under the Health and Social Care Act 2012) to conduct an annual assessment of every CCG. The approach to the 2020/21 assessment (latest available) was simplified due to the continued impact of Covid-19 and the change in priorities this has required to enable the CCG to respond.</w:t>
      </w:r>
    </w:p>
    <w:p>
      <w:pPr>
        <w:pStyle w:val="BodyText"/>
        <w:ind w:left="680" w:right="1627"/>
      </w:pPr>
      <w:r>
        <w:rPr>
          <w:color w:val="1F2A2E"/>
        </w:rPr>
        <w:t>This means that CCGs will not be given an overall performance rating. Instead, a letter provides a narrative assessment of CCG performance.</w:t>
      </w:r>
    </w:p>
    <w:p>
      <w:pPr>
        <w:pStyle w:val="BodyText"/>
        <w:spacing w:before="7"/>
        <w:rPr>
          <w:sz w:val="19"/>
        </w:rPr>
      </w:pPr>
    </w:p>
    <w:p>
      <w:pPr>
        <w:pStyle w:val="BodyText"/>
        <w:ind w:left="680" w:right="1393"/>
      </w:pPr>
      <w:r>
        <w:rPr>
          <w:color w:val="1F2A2E"/>
        </w:rPr>
        <w:t>In recent years it has become increasingly clear that the best way to manage NHS resources to deliver high quality, sustainable care is to focus on organising health at both system and organisation level.</w:t>
      </w:r>
    </w:p>
    <w:p>
      <w:pPr>
        <w:pStyle w:val="BodyText"/>
        <w:rPr>
          <w:sz w:val="24"/>
        </w:rPr>
      </w:pPr>
    </w:p>
    <w:p>
      <w:pPr>
        <w:pStyle w:val="Heading4"/>
      </w:pPr>
      <w:bookmarkStart w:name="NHS System Oversight Framework" w:id="80"/>
      <w:bookmarkEnd w:id="80"/>
      <w:r>
        <w:rPr>
          <w:b w:val="0"/>
        </w:rPr>
      </w:r>
      <w:r>
        <w:rPr>
          <w:color w:val="4F81BB"/>
        </w:rPr>
        <w:t>NHS System Oversight Framework</w:t>
      </w:r>
    </w:p>
    <w:p>
      <w:pPr>
        <w:pStyle w:val="BodyText"/>
        <w:rPr>
          <w:b/>
          <w:sz w:val="24"/>
        </w:rPr>
      </w:pPr>
    </w:p>
    <w:p>
      <w:pPr>
        <w:pStyle w:val="BodyText"/>
        <w:ind w:left="680" w:right="735"/>
      </w:pPr>
      <w:r>
        <w:rPr>
          <w:color w:val="1F2A2E"/>
        </w:rPr>
        <w:t>The </w:t>
      </w:r>
      <w:hyperlink r:id="rId19">
        <w:r>
          <w:rPr>
            <w:color w:val="1F2A2E"/>
          </w:rPr>
          <w:t>NHS System Oversight Framework for 2021/22 </w:t>
        </w:r>
      </w:hyperlink>
      <w:r>
        <w:rPr>
          <w:color w:val="1F2A2E"/>
        </w:rPr>
        <w:t>replaces the </w:t>
      </w:r>
      <w:hyperlink r:id="rId20">
        <w:r>
          <w:rPr>
            <w:color w:val="1F2A2E"/>
          </w:rPr>
          <w:t>NHS Oversight Framework for</w:t>
        </w:r>
      </w:hyperlink>
      <w:r>
        <w:rPr>
          <w:color w:val="1F2A2E"/>
        </w:rPr>
        <w:t> </w:t>
      </w:r>
      <w:hyperlink r:id="rId20">
        <w:r>
          <w:rPr>
            <w:color w:val="1F2A2E"/>
          </w:rPr>
          <w:t>2019/20</w:t>
        </w:r>
      </w:hyperlink>
      <w:r>
        <w:rPr>
          <w:color w:val="1F2A2E"/>
        </w:rPr>
        <w:t>, which brought together arrangements for provider and CCG oversight in a single document.</w:t>
      </w:r>
    </w:p>
    <w:p>
      <w:pPr>
        <w:pStyle w:val="BodyText"/>
        <w:spacing w:before="7"/>
        <w:rPr>
          <w:sz w:val="21"/>
        </w:rPr>
      </w:pPr>
    </w:p>
    <w:p>
      <w:pPr>
        <w:pStyle w:val="BodyText"/>
        <w:ind w:left="680"/>
      </w:pPr>
      <w:r>
        <w:rPr>
          <w:color w:val="1F2A2E"/>
        </w:rPr>
        <w:t>The NHS System Oversight Framework reflects an approach to oversight that reinforces</w:t>
      </w:r>
    </w:p>
    <w:p>
      <w:pPr>
        <w:pStyle w:val="BodyText"/>
        <w:spacing w:before="4"/>
        <w:ind w:left="679" w:right="710"/>
      </w:pPr>
      <w:r>
        <w:rPr>
          <w:color w:val="1F2A2E"/>
        </w:rPr>
        <w:t>system-led delivery of integrated care, in line with the vision set out in the </w:t>
      </w:r>
      <w:hyperlink r:id="rId21">
        <w:r>
          <w:rPr>
            <w:color w:val="1F2A2E"/>
          </w:rPr>
          <w:t>NHS Long Term Plan</w:t>
        </w:r>
      </w:hyperlink>
      <w:r>
        <w:rPr>
          <w:color w:val="1F2A2E"/>
        </w:rPr>
        <w:t>, the White Paper – </w:t>
      </w:r>
      <w:hyperlink r:id="rId22">
        <w:r>
          <w:rPr>
            <w:color w:val="1F2A2E"/>
          </w:rPr>
          <w:t>Integration and innovation: Working together to improve health and social</w:t>
        </w:r>
      </w:hyperlink>
      <w:r>
        <w:rPr>
          <w:color w:val="1F2A2E"/>
        </w:rPr>
        <w:t> </w:t>
      </w:r>
      <w:hyperlink r:id="rId22">
        <w:r>
          <w:rPr>
            <w:color w:val="1F2A2E"/>
          </w:rPr>
          <w:t>care for all</w:t>
        </w:r>
      </w:hyperlink>
      <w:r>
        <w:rPr>
          <w:color w:val="1F2A2E"/>
        </w:rPr>
        <w:t>, and aligns with the priorities set out in the </w:t>
      </w:r>
      <w:hyperlink r:id="rId23">
        <w:r>
          <w:rPr>
            <w:color w:val="1F2A2E"/>
          </w:rPr>
          <w:t>2021/22 Operational Planning Guidance</w:t>
        </w:r>
      </w:hyperlink>
      <w:r>
        <w:rPr>
          <w:color w:val="1F2A2E"/>
        </w:rPr>
        <w:t>.</w:t>
      </w:r>
    </w:p>
    <w:p>
      <w:pPr>
        <w:pStyle w:val="BodyText"/>
        <w:spacing w:before="1"/>
      </w:pPr>
    </w:p>
    <w:p>
      <w:pPr>
        <w:pStyle w:val="BodyText"/>
        <w:ind w:left="680" w:right="894"/>
      </w:pPr>
      <w:r>
        <w:rPr>
          <w:color w:val="1F2A2E"/>
        </w:rPr>
        <w:t>This framework applies to all Integrated Care Systems (ICSs), Clinical Commissioning Groups (CCGs), NHS trusts and foundation trusts. It gives a single set of oversight metrics, applicable to ICSs, CCGs, and trusts, which is used to flag potential issues and prompt further investigation of support needs with ICSs, place-based systems and/or individual trusts and commissioners.</w:t>
      </w:r>
    </w:p>
    <w:p>
      <w:pPr>
        <w:pStyle w:val="BodyText"/>
        <w:spacing w:before="1"/>
      </w:pPr>
    </w:p>
    <w:p>
      <w:pPr>
        <w:pStyle w:val="BodyText"/>
        <w:ind w:left="680" w:right="745"/>
      </w:pPr>
      <w:r>
        <w:rPr>
          <w:color w:val="1F2A2E"/>
        </w:rPr>
        <w:t>These metrics align to the five national themes of the System Oversight Framework: quality of care, access, and outcomes; preventing ill health and reducing inequalities; people; finance and use of resources; and leadership and capability.</w:t>
      </w:r>
    </w:p>
    <w:p>
      <w:pPr>
        <w:pStyle w:val="BodyText"/>
        <w:spacing w:before="9"/>
        <w:rPr>
          <w:sz w:val="32"/>
        </w:rPr>
      </w:pPr>
    </w:p>
    <w:p>
      <w:pPr>
        <w:pStyle w:val="Heading4"/>
        <w:ind w:right="970"/>
      </w:pPr>
      <w:bookmarkStart w:name="CCG applicable NHS System Oversight Fram" w:id="81"/>
      <w:bookmarkEnd w:id="81"/>
      <w:r>
        <w:rPr>
          <w:b w:val="0"/>
        </w:rPr>
      </w:r>
      <w:r>
        <w:rPr>
          <w:color w:val="4F81BB"/>
        </w:rPr>
        <w:t>CCG applicable NHS System Oversight Framework measures facing challenges in year include:</w:t>
      </w:r>
    </w:p>
    <w:p>
      <w:pPr>
        <w:pStyle w:val="BodyText"/>
        <w:spacing w:before="7"/>
        <w:rPr>
          <w:b/>
          <w:sz w:val="21"/>
        </w:rPr>
      </w:pPr>
    </w:p>
    <w:p>
      <w:pPr>
        <w:pStyle w:val="ListParagraph"/>
        <w:numPr>
          <w:ilvl w:val="1"/>
          <w:numId w:val="5"/>
        </w:numPr>
        <w:tabs>
          <w:tab w:pos="1400" w:val="left" w:leader="none"/>
          <w:tab w:pos="1401" w:val="left" w:leader="none"/>
        </w:tabs>
        <w:spacing w:line="240" w:lineRule="auto" w:before="1" w:after="0"/>
        <w:ind w:left="1400" w:right="0" w:hanging="364"/>
        <w:jc w:val="left"/>
        <w:rPr>
          <w:rFonts w:ascii="Symbol" w:hAnsi="Symbol"/>
          <w:sz w:val="22"/>
        </w:rPr>
      </w:pPr>
      <w:r>
        <w:rPr>
          <w:sz w:val="22"/>
        </w:rPr>
        <w:t>Number of appointments in GP practices were just below the H1 and H2 plan</w:t>
      </w:r>
      <w:r>
        <w:rPr>
          <w:spacing w:val="-35"/>
          <w:sz w:val="22"/>
        </w:rPr>
        <w:t> </w:t>
      </w:r>
      <w:r>
        <w:rPr>
          <w:sz w:val="22"/>
        </w:rPr>
        <w:t>figures</w:t>
      </w:r>
    </w:p>
    <w:p>
      <w:pPr>
        <w:pStyle w:val="ListParagraph"/>
        <w:numPr>
          <w:ilvl w:val="1"/>
          <w:numId w:val="5"/>
        </w:numPr>
        <w:tabs>
          <w:tab w:pos="1400" w:val="left" w:leader="none"/>
          <w:tab w:pos="1401" w:val="left" w:leader="none"/>
        </w:tabs>
        <w:spacing w:line="235" w:lineRule="auto" w:before="8" w:after="0"/>
        <w:ind w:left="1400" w:right="1133" w:hanging="361"/>
        <w:jc w:val="left"/>
        <w:rPr>
          <w:rFonts w:ascii="Symbol" w:hAnsi="Symbol"/>
          <w:color w:val="1F2A2E"/>
          <w:sz w:val="22"/>
        </w:rPr>
      </w:pPr>
      <w:r>
        <w:rPr>
          <w:color w:val="1F2A2E"/>
          <w:sz w:val="22"/>
        </w:rPr>
        <w:t>Patients waiting more than 52 weeks to start consultant-led treatment was above H1 and H2 plan</w:t>
      </w:r>
      <w:r>
        <w:rPr>
          <w:color w:val="1F2A2E"/>
          <w:spacing w:val="-5"/>
          <w:sz w:val="22"/>
        </w:rPr>
        <w:t> </w:t>
      </w:r>
      <w:r>
        <w:rPr>
          <w:color w:val="1F2A2E"/>
          <w:sz w:val="22"/>
        </w:rPr>
        <w:t>figures</w:t>
      </w:r>
    </w:p>
    <w:p>
      <w:pPr>
        <w:pStyle w:val="ListParagraph"/>
        <w:numPr>
          <w:ilvl w:val="1"/>
          <w:numId w:val="5"/>
        </w:numPr>
        <w:tabs>
          <w:tab w:pos="1400" w:val="left" w:leader="none"/>
          <w:tab w:pos="1401" w:val="left" w:leader="none"/>
        </w:tabs>
        <w:spacing w:line="264" w:lineRule="exact" w:before="0" w:after="0"/>
        <w:ind w:left="1400" w:right="0" w:hanging="361"/>
        <w:jc w:val="left"/>
        <w:rPr>
          <w:rFonts w:ascii="Symbol" w:hAnsi="Symbol"/>
          <w:color w:val="1F2A2E"/>
          <w:sz w:val="22"/>
        </w:rPr>
      </w:pPr>
      <w:r>
        <w:rPr>
          <w:color w:val="1F2A2E"/>
          <w:sz w:val="22"/>
        </w:rPr>
        <w:t>Cancer patients waiting longer than 62 days was below national</w:t>
      </w:r>
      <w:r>
        <w:rPr>
          <w:color w:val="1F2A2E"/>
          <w:spacing w:val="-23"/>
          <w:sz w:val="22"/>
        </w:rPr>
        <w:t> </w:t>
      </w:r>
      <w:r>
        <w:rPr>
          <w:color w:val="1F2A2E"/>
          <w:sz w:val="22"/>
        </w:rPr>
        <w:t>threshold</w:t>
      </w:r>
    </w:p>
    <w:p>
      <w:pPr>
        <w:pStyle w:val="ListParagraph"/>
        <w:numPr>
          <w:ilvl w:val="1"/>
          <w:numId w:val="5"/>
        </w:numPr>
        <w:tabs>
          <w:tab w:pos="1400" w:val="left" w:leader="none"/>
          <w:tab w:pos="1401" w:val="left" w:leader="none"/>
        </w:tabs>
        <w:spacing w:line="269" w:lineRule="exact" w:before="0" w:after="0"/>
        <w:ind w:left="1400" w:right="0" w:hanging="361"/>
        <w:jc w:val="left"/>
        <w:rPr>
          <w:rFonts w:ascii="Symbol" w:hAnsi="Symbol"/>
          <w:color w:val="1F2A2E"/>
          <w:sz w:val="22"/>
        </w:rPr>
      </w:pPr>
      <w:r>
        <w:rPr>
          <w:color w:val="1F2A2E"/>
          <w:sz w:val="22"/>
        </w:rPr>
        <w:t>Elective activity levels did not reach H1 and H2 plan</w:t>
      </w:r>
      <w:r>
        <w:rPr>
          <w:color w:val="1F2A2E"/>
          <w:spacing w:val="-18"/>
          <w:sz w:val="22"/>
        </w:rPr>
        <w:t> </w:t>
      </w:r>
      <w:r>
        <w:rPr>
          <w:color w:val="1F2A2E"/>
          <w:sz w:val="22"/>
        </w:rPr>
        <w:t>figures</w:t>
      </w:r>
    </w:p>
    <w:p>
      <w:pPr>
        <w:pStyle w:val="ListParagraph"/>
        <w:numPr>
          <w:ilvl w:val="1"/>
          <w:numId w:val="5"/>
        </w:numPr>
        <w:tabs>
          <w:tab w:pos="1400" w:val="left" w:leader="none"/>
          <w:tab w:pos="1401" w:val="left" w:leader="none"/>
        </w:tabs>
        <w:spacing w:line="235" w:lineRule="auto" w:before="9" w:after="0"/>
        <w:ind w:left="1400" w:right="768" w:hanging="361"/>
        <w:jc w:val="left"/>
        <w:rPr>
          <w:rFonts w:ascii="Symbol" w:hAnsi="Symbol"/>
          <w:color w:val="1F2A2E"/>
          <w:sz w:val="22"/>
        </w:rPr>
      </w:pPr>
      <w:r>
        <w:rPr>
          <w:color w:val="1F2A2E"/>
          <w:sz w:val="22"/>
        </w:rPr>
        <w:t>Patients waiting more than 52 weeks to start consultant-led treatment was above the H2 plan figure</w:t>
      </w:r>
    </w:p>
    <w:p>
      <w:pPr>
        <w:pStyle w:val="ListParagraph"/>
        <w:numPr>
          <w:ilvl w:val="1"/>
          <w:numId w:val="5"/>
        </w:numPr>
        <w:tabs>
          <w:tab w:pos="1400" w:val="left" w:leader="none"/>
          <w:tab w:pos="1401" w:val="left" w:leader="none"/>
        </w:tabs>
        <w:spacing w:line="240" w:lineRule="auto" w:before="1" w:after="0"/>
        <w:ind w:left="1400" w:right="0" w:hanging="361"/>
        <w:jc w:val="left"/>
        <w:rPr>
          <w:rFonts w:ascii="Symbol" w:hAnsi="Symbol"/>
          <w:color w:val="1F2A2E"/>
          <w:sz w:val="22"/>
        </w:rPr>
      </w:pPr>
      <w:r>
        <w:rPr>
          <w:color w:val="1F2A2E"/>
          <w:sz w:val="22"/>
        </w:rPr>
        <w:t>Overall size of the waiting list was above H2 plan</w:t>
      </w:r>
      <w:r>
        <w:rPr>
          <w:color w:val="1F2A2E"/>
          <w:spacing w:val="-23"/>
          <w:sz w:val="22"/>
        </w:rPr>
        <w:t> </w:t>
      </w:r>
      <w:r>
        <w:rPr>
          <w:color w:val="1F2A2E"/>
          <w:sz w:val="22"/>
        </w:rPr>
        <w:t>figures</w:t>
      </w:r>
    </w:p>
    <w:p>
      <w:pPr>
        <w:spacing w:after="0" w:line="240" w:lineRule="auto"/>
        <w:jc w:val="left"/>
        <w:rPr>
          <w:rFonts w:ascii="Symbol" w:hAnsi="Symbol"/>
          <w:sz w:val="22"/>
        </w:rPr>
        <w:sectPr>
          <w:pgSz w:w="11920" w:h="16850"/>
          <w:pgMar w:header="0" w:footer="363" w:top="1320" w:bottom="640" w:left="760" w:right="420"/>
        </w:sectPr>
      </w:pPr>
    </w:p>
    <w:p>
      <w:pPr>
        <w:pStyle w:val="Heading4"/>
        <w:spacing w:before="79"/>
        <w:ind w:right="929"/>
      </w:pPr>
      <w:bookmarkStart w:name="CCG applicable NHS System Oversight Fram" w:id="82"/>
      <w:bookmarkEnd w:id="82"/>
      <w:r>
        <w:rPr>
          <w:b w:val="0"/>
        </w:rPr>
      </w:r>
      <w:r>
        <w:rPr>
          <w:color w:val="4F81BB"/>
        </w:rPr>
        <w:t>CCG applicable NHS System Oversight Framework measures seeing success in year include:</w:t>
      </w:r>
    </w:p>
    <w:p>
      <w:pPr>
        <w:pStyle w:val="BodyText"/>
        <w:spacing w:before="4"/>
        <w:rPr>
          <w:b/>
        </w:rPr>
      </w:pPr>
    </w:p>
    <w:p>
      <w:pPr>
        <w:pStyle w:val="ListParagraph"/>
        <w:numPr>
          <w:ilvl w:val="1"/>
          <w:numId w:val="5"/>
        </w:numPr>
        <w:tabs>
          <w:tab w:pos="1400" w:val="left" w:leader="none"/>
          <w:tab w:pos="1401" w:val="left" w:leader="none"/>
        </w:tabs>
        <w:spacing w:line="235" w:lineRule="auto" w:before="1" w:after="0"/>
        <w:ind w:left="1400" w:right="719" w:hanging="361"/>
        <w:jc w:val="left"/>
        <w:rPr>
          <w:rFonts w:ascii="Symbol" w:hAnsi="Symbol"/>
          <w:sz w:val="22"/>
        </w:rPr>
      </w:pPr>
      <w:r>
        <w:rPr>
          <w:sz w:val="22"/>
        </w:rPr>
        <w:t>Number of people with a learning disability on the GP register receiving an annual health check exceeded the H1 and H2 plan with the actual being 71.7% against a target of 67.0%</w:t>
      </w:r>
    </w:p>
    <w:p>
      <w:pPr>
        <w:pStyle w:val="ListParagraph"/>
        <w:numPr>
          <w:ilvl w:val="1"/>
          <w:numId w:val="5"/>
        </w:numPr>
        <w:tabs>
          <w:tab w:pos="1400" w:val="left" w:leader="none"/>
          <w:tab w:pos="1401" w:val="left" w:leader="none"/>
        </w:tabs>
        <w:spacing w:line="268" w:lineRule="exact" w:before="0" w:after="0"/>
        <w:ind w:left="1400" w:right="0" w:hanging="364"/>
        <w:jc w:val="left"/>
        <w:rPr>
          <w:rFonts w:ascii="Symbol" w:hAnsi="Symbol"/>
          <w:sz w:val="22"/>
        </w:rPr>
      </w:pPr>
      <w:r>
        <w:rPr>
          <w:sz w:val="22"/>
        </w:rPr>
        <w:t>E. coli bloodstream infections were below target with the total for the year being</w:t>
      </w:r>
      <w:r>
        <w:rPr>
          <w:spacing w:val="-39"/>
          <w:sz w:val="22"/>
        </w:rPr>
        <w:t> </w:t>
      </w:r>
      <w:r>
        <w:rPr>
          <w:sz w:val="22"/>
        </w:rPr>
        <w:t>124</w:t>
      </w:r>
    </w:p>
    <w:p>
      <w:pPr>
        <w:pStyle w:val="ListParagraph"/>
        <w:numPr>
          <w:ilvl w:val="1"/>
          <w:numId w:val="5"/>
        </w:numPr>
        <w:tabs>
          <w:tab w:pos="1400" w:val="left" w:leader="none"/>
          <w:tab w:pos="1401" w:val="left" w:leader="none"/>
        </w:tabs>
        <w:spacing w:line="235" w:lineRule="auto" w:before="11" w:after="0"/>
        <w:ind w:left="1400" w:right="1167" w:hanging="361"/>
        <w:jc w:val="left"/>
        <w:rPr>
          <w:rFonts w:ascii="Symbol" w:hAnsi="Symbol"/>
          <w:color w:val="1F2A2E"/>
          <w:sz w:val="22"/>
        </w:rPr>
      </w:pPr>
      <w:r>
        <w:rPr>
          <w:color w:val="1F2A2E"/>
          <w:sz w:val="22"/>
        </w:rPr>
        <w:t>Antimicrobial resistance: appropriate prescribing of antibiotics and broad-spectrum antibiotics</w:t>
      </w:r>
      <w:r>
        <w:rPr>
          <w:color w:val="1F2A2E"/>
          <w:spacing w:val="-3"/>
          <w:sz w:val="22"/>
        </w:rPr>
        <w:t> </w:t>
      </w:r>
      <w:r>
        <w:rPr>
          <w:color w:val="1F2A2E"/>
          <w:sz w:val="22"/>
        </w:rPr>
        <w:t>in</w:t>
      </w:r>
      <w:r>
        <w:rPr>
          <w:color w:val="1F2A2E"/>
          <w:spacing w:val="-3"/>
          <w:sz w:val="22"/>
        </w:rPr>
        <w:t> </w:t>
      </w:r>
      <w:r>
        <w:rPr>
          <w:color w:val="1F2A2E"/>
          <w:sz w:val="22"/>
        </w:rPr>
        <w:t>primary</w:t>
      </w:r>
      <w:r>
        <w:rPr>
          <w:color w:val="1F2A2E"/>
          <w:spacing w:val="-5"/>
          <w:sz w:val="22"/>
        </w:rPr>
        <w:t> </w:t>
      </w:r>
      <w:r>
        <w:rPr>
          <w:color w:val="1F2A2E"/>
          <w:sz w:val="22"/>
        </w:rPr>
        <w:t>care</w:t>
      </w:r>
      <w:r>
        <w:rPr>
          <w:color w:val="1F2A2E"/>
          <w:spacing w:val="-3"/>
          <w:sz w:val="22"/>
        </w:rPr>
        <w:t> </w:t>
      </w:r>
      <w:r>
        <w:rPr>
          <w:color w:val="1F2A2E"/>
          <w:sz w:val="22"/>
        </w:rPr>
        <w:t>was</w:t>
      </w:r>
      <w:r>
        <w:rPr>
          <w:color w:val="1F2A2E"/>
          <w:spacing w:val="-2"/>
          <w:sz w:val="22"/>
        </w:rPr>
        <w:t> </w:t>
      </w:r>
      <w:r>
        <w:rPr>
          <w:color w:val="1F2A2E"/>
          <w:sz w:val="22"/>
        </w:rPr>
        <w:t>achieved</w:t>
      </w:r>
      <w:r>
        <w:rPr>
          <w:color w:val="1F2A2E"/>
          <w:spacing w:val="-5"/>
          <w:sz w:val="22"/>
        </w:rPr>
        <w:t> </w:t>
      </w:r>
      <w:r>
        <w:rPr>
          <w:color w:val="1F2A2E"/>
          <w:sz w:val="22"/>
        </w:rPr>
        <w:t>with</w:t>
      </w:r>
      <w:r>
        <w:rPr>
          <w:color w:val="1F2A2E"/>
          <w:spacing w:val="-3"/>
          <w:sz w:val="22"/>
        </w:rPr>
        <w:t> </w:t>
      </w:r>
      <w:r>
        <w:rPr>
          <w:color w:val="1F2A2E"/>
          <w:sz w:val="22"/>
        </w:rPr>
        <w:t>performance</w:t>
      </w:r>
      <w:r>
        <w:rPr>
          <w:color w:val="1F2A2E"/>
          <w:spacing w:val="-4"/>
          <w:sz w:val="22"/>
        </w:rPr>
        <w:t> </w:t>
      </w:r>
      <w:r>
        <w:rPr>
          <w:color w:val="1F2A2E"/>
          <w:sz w:val="22"/>
        </w:rPr>
        <w:t>of</w:t>
      </w:r>
      <w:r>
        <w:rPr>
          <w:color w:val="1F2A2E"/>
          <w:spacing w:val="-4"/>
          <w:sz w:val="22"/>
        </w:rPr>
        <w:t> </w:t>
      </w:r>
      <w:r>
        <w:rPr>
          <w:color w:val="1F2A2E"/>
          <w:sz w:val="22"/>
        </w:rPr>
        <w:t>9.84%</w:t>
      </w:r>
      <w:r>
        <w:rPr>
          <w:color w:val="1F2A2E"/>
          <w:spacing w:val="-4"/>
          <w:sz w:val="22"/>
        </w:rPr>
        <w:t> </w:t>
      </w:r>
      <w:r>
        <w:rPr>
          <w:color w:val="1F2A2E"/>
          <w:sz w:val="22"/>
        </w:rPr>
        <w:t>against</w:t>
      </w:r>
      <w:r>
        <w:rPr>
          <w:color w:val="1F2A2E"/>
          <w:spacing w:val="-4"/>
          <w:sz w:val="22"/>
        </w:rPr>
        <w:t> </w:t>
      </w:r>
      <w:r>
        <w:rPr>
          <w:color w:val="1F2A2E"/>
          <w:sz w:val="22"/>
        </w:rPr>
        <w:t>target</w:t>
      </w:r>
      <w:r>
        <w:rPr>
          <w:color w:val="1F2A2E"/>
          <w:spacing w:val="-41"/>
          <w:sz w:val="22"/>
        </w:rPr>
        <w:t> </w:t>
      </w:r>
      <w:r>
        <w:rPr>
          <w:color w:val="1F2A2E"/>
          <w:spacing w:val="-3"/>
          <w:sz w:val="22"/>
        </w:rPr>
        <w:t>of</w:t>
      </w:r>
    </w:p>
    <w:p>
      <w:pPr>
        <w:pStyle w:val="BodyText"/>
        <w:spacing w:line="248" w:lineRule="exact"/>
        <w:ind w:left="1400"/>
      </w:pPr>
      <w:r>
        <w:rPr>
          <w:color w:val="1F2A2E"/>
        </w:rPr>
        <w:t>&lt;10%</w:t>
      </w:r>
    </w:p>
    <w:p>
      <w:pPr>
        <w:pStyle w:val="ListParagraph"/>
        <w:numPr>
          <w:ilvl w:val="1"/>
          <w:numId w:val="5"/>
        </w:numPr>
        <w:tabs>
          <w:tab w:pos="1400" w:val="left" w:leader="none"/>
          <w:tab w:pos="1401" w:val="left" w:leader="none"/>
        </w:tabs>
        <w:spacing w:line="240" w:lineRule="auto" w:before="5" w:after="0"/>
        <w:ind w:left="1400" w:right="0" w:hanging="361"/>
        <w:jc w:val="left"/>
        <w:rPr>
          <w:rFonts w:ascii="Symbol" w:hAnsi="Symbol"/>
          <w:color w:val="1F2A2E"/>
          <w:sz w:val="22"/>
        </w:rPr>
      </w:pPr>
      <w:r>
        <w:rPr>
          <w:color w:val="1F2A2E"/>
          <w:sz w:val="22"/>
        </w:rPr>
        <w:t>Flu vaccination for persons aged 65 years and over was achieved in all four</w:t>
      </w:r>
      <w:r>
        <w:rPr>
          <w:color w:val="1F2A2E"/>
          <w:spacing w:val="-36"/>
          <w:sz w:val="22"/>
        </w:rPr>
        <w:t> </w:t>
      </w:r>
      <w:r>
        <w:rPr>
          <w:color w:val="1F2A2E"/>
          <w:sz w:val="22"/>
        </w:rPr>
        <w:t>PCNs.</w:t>
      </w:r>
    </w:p>
    <w:p>
      <w:pPr>
        <w:pStyle w:val="BodyText"/>
        <w:spacing w:before="7"/>
        <w:rPr>
          <w:sz w:val="32"/>
        </w:rPr>
      </w:pPr>
    </w:p>
    <w:p>
      <w:pPr>
        <w:pStyle w:val="Heading4"/>
      </w:pPr>
      <w:bookmarkStart w:name="How we measure performance" w:id="83"/>
      <w:bookmarkEnd w:id="83"/>
      <w:r>
        <w:rPr>
          <w:b w:val="0"/>
        </w:rPr>
      </w:r>
      <w:r>
        <w:rPr>
          <w:color w:val="4F81BB"/>
        </w:rPr>
        <w:t>How we measure performance</w:t>
      </w:r>
    </w:p>
    <w:p>
      <w:pPr>
        <w:pStyle w:val="BodyText"/>
        <w:rPr>
          <w:b/>
          <w:sz w:val="21"/>
        </w:rPr>
      </w:pPr>
    </w:p>
    <w:p>
      <w:pPr>
        <w:pStyle w:val="BodyText"/>
        <w:spacing w:before="1"/>
        <w:ind w:left="679" w:right="1321"/>
      </w:pPr>
      <w:r>
        <w:rPr>
          <w:color w:val="1F2A2E"/>
        </w:rPr>
        <w:t>Measuring our performance helps us to ensure our services are being delivered to a high- quality standard and providing value for money. The CCG has internal processes in place to manage performance against a range of national and local indicators including a mechanism to work with internal and external colleagues to identify areas of risk and implement action plans to mitigate these, this ensures improvements in performance are delivered. Throughout the year, reports are provided to our Governing Body setting out our performance against the agreed local and national measures.</w:t>
      </w:r>
    </w:p>
    <w:p>
      <w:pPr>
        <w:pStyle w:val="BodyText"/>
        <w:rPr>
          <w:sz w:val="24"/>
        </w:rPr>
      </w:pPr>
    </w:p>
    <w:p>
      <w:pPr>
        <w:pStyle w:val="Heading4"/>
        <w:spacing w:before="173"/>
      </w:pPr>
      <w:bookmarkStart w:name="Operational and constitutional indicator" w:id="84"/>
      <w:bookmarkEnd w:id="84"/>
      <w:r>
        <w:rPr>
          <w:b w:val="0"/>
        </w:rPr>
      </w:r>
      <w:r>
        <w:rPr>
          <w:color w:val="4F81BB"/>
        </w:rPr>
        <w:t>Operational and constitutional indicators</w:t>
      </w:r>
    </w:p>
    <w:p>
      <w:pPr>
        <w:pStyle w:val="BodyText"/>
        <w:spacing w:before="3"/>
        <w:rPr>
          <w:b/>
          <w:sz w:val="27"/>
        </w:rPr>
      </w:pPr>
    </w:p>
    <w:p>
      <w:pPr>
        <w:pStyle w:val="BodyText"/>
        <w:spacing w:before="1"/>
        <w:ind w:left="680" w:right="1051"/>
      </w:pPr>
      <w:r>
        <w:rPr/>
        <w:t>The CCG’s performance against the rights and pledges set out in the NHS Constitution and several identified areas of focus are reported to our Governing Body through a set of defined key indicators and associated targets.</w:t>
      </w:r>
    </w:p>
    <w:p>
      <w:pPr>
        <w:pStyle w:val="BodyText"/>
        <w:spacing w:before="174"/>
        <w:ind w:left="680" w:right="1027"/>
      </w:pPr>
      <w:r>
        <w:rPr/>
        <w:t>The CCG achieved 7 of these 29 standards (see tables below). This shows the most recent position available to the CCG for each indicator at the time of writing, which is as of March 2022, except the mental health IAPT indicators which are February 2022. (Report periods for each indicator can be found in the dashboard section of this report).</w:t>
      </w:r>
    </w:p>
    <w:p>
      <w:pPr>
        <w:pStyle w:val="BodyText"/>
        <w:spacing w:before="6"/>
        <w:rPr>
          <w:sz w:val="20"/>
        </w:rPr>
      </w:pPr>
    </w:p>
    <w:tbl>
      <w:tblPr>
        <w:tblW w:w="0" w:type="auto"/>
        <w:jc w:val="left"/>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50"/>
        <w:gridCol w:w="1875"/>
      </w:tblGrid>
      <w:tr>
        <w:trPr>
          <w:trHeight w:val="736" w:hRule="atLeast"/>
        </w:trPr>
        <w:tc>
          <w:tcPr>
            <w:tcW w:w="9325" w:type="dxa"/>
            <w:gridSpan w:val="2"/>
            <w:shd w:val="clear" w:color="auto" w:fill="DBE3EF"/>
          </w:tcPr>
          <w:p>
            <w:pPr>
              <w:pStyle w:val="TableParagraph"/>
              <w:spacing w:before="7"/>
              <w:rPr>
                <w:sz w:val="20"/>
              </w:rPr>
            </w:pPr>
          </w:p>
          <w:p>
            <w:pPr>
              <w:pStyle w:val="TableParagraph"/>
              <w:ind w:left="110"/>
              <w:rPr>
                <w:b/>
                <w:sz w:val="22"/>
              </w:rPr>
            </w:pPr>
            <w:r>
              <w:rPr>
                <w:b/>
                <w:sz w:val="22"/>
              </w:rPr>
              <w:t>Performance has been achieved in the following:</w:t>
            </w:r>
          </w:p>
        </w:tc>
      </w:tr>
      <w:tr>
        <w:trPr>
          <w:trHeight w:val="1809" w:hRule="atLeast"/>
        </w:trPr>
        <w:tc>
          <w:tcPr>
            <w:tcW w:w="7450" w:type="dxa"/>
          </w:tcPr>
          <w:p>
            <w:pPr>
              <w:pStyle w:val="TableParagraph"/>
              <w:numPr>
                <w:ilvl w:val="0"/>
                <w:numId w:val="9"/>
              </w:numPr>
              <w:tabs>
                <w:tab w:pos="471" w:val="left" w:leader="none"/>
              </w:tabs>
              <w:spacing w:line="248" w:lineRule="exact" w:before="0" w:after="0"/>
              <w:ind w:left="470" w:right="0" w:hanging="364"/>
              <w:jc w:val="left"/>
              <w:rPr>
                <w:sz w:val="22"/>
              </w:rPr>
            </w:pPr>
            <w:r>
              <w:rPr>
                <w:sz w:val="22"/>
              </w:rPr>
              <w:t>Cancer 62 Day Waiting Time – consultant decision to upgrade</w:t>
            </w:r>
            <w:r>
              <w:rPr>
                <w:spacing w:val="-45"/>
                <w:sz w:val="22"/>
              </w:rPr>
              <w:t> </w:t>
            </w:r>
            <w:r>
              <w:rPr>
                <w:sz w:val="22"/>
              </w:rPr>
              <w:t>status</w:t>
            </w:r>
          </w:p>
          <w:p>
            <w:pPr>
              <w:pStyle w:val="TableParagraph"/>
              <w:numPr>
                <w:ilvl w:val="0"/>
                <w:numId w:val="9"/>
              </w:numPr>
              <w:tabs>
                <w:tab w:pos="471" w:val="left" w:leader="none"/>
              </w:tabs>
              <w:spacing w:line="252" w:lineRule="exact" w:before="0" w:after="0"/>
              <w:ind w:left="470" w:right="0" w:hanging="364"/>
              <w:jc w:val="left"/>
              <w:rPr>
                <w:sz w:val="22"/>
              </w:rPr>
            </w:pPr>
            <w:r>
              <w:rPr>
                <w:sz w:val="22"/>
              </w:rPr>
              <w:t>IAPT % of patients moving to</w:t>
            </w:r>
            <w:r>
              <w:rPr>
                <w:spacing w:val="-13"/>
                <w:sz w:val="22"/>
              </w:rPr>
              <w:t> </w:t>
            </w:r>
            <w:r>
              <w:rPr>
                <w:sz w:val="22"/>
              </w:rPr>
              <w:t>recovery</w:t>
            </w:r>
          </w:p>
          <w:p>
            <w:pPr>
              <w:pStyle w:val="TableParagraph"/>
              <w:numPr>
                <w:ilvl w:val="0"/>
                <w:numId w:val="9"/>
              </w:numPr>
              <w:tabs>
                <w:tab w:pos="471" w:val="left" w:leader="none"/>
              </w:tabs>
              <w:spacing w:line="252" w:lineRule="exact" w:before="0" w:after="0"/>
              <w:ind w:left="470" w:right="0" w:hanging="364"/>
              <w:jc w:val="left"/>
              <w:rPr>
                <w:sz w:val="22"/>
              </w:rPr>
            </w:pPr>
            <w:r>
              <w:rPr>
                <w:sz w:val="22"/>
              </w:rPr>
              <w:t>Early intervention in psychosis</w:t>
            </w:r>
          </w:p>
          <w:p>
            <w:pPr>
              <w:pStyle w:val="TableParagraph"/>
              <w:numPr>
                <w:ilvl w:val="0"/>
                <w:numId w:val="9"/>
              </w:numPr>
              <w:tabs>
                <w:tab w:pos="471" w:val="left" w:leader="none"/>
              </w:tabs>
              <w:spacing w:line="252" w:lineRule="exact" w:before="1" w:after="0"/>
              <w:ind w:left="470" w:right="0" w:hanging="364"/>
              <w:jc w:val="left"/>
              <w:rPr>
                <w:sz w:val="22"/>
              </w:rPr>
            </w:pPr>
            <w:r>
              <w:rPr>
                <w:sz w:val="22"/>
              </w:rPr>
              <w:t>% Of patients who wait 18 weeks or less to access IAPT</w:t>
            </w:r>
            <w:r>
              <w:rPr>
                <w:spacing w:val="-25"/>
                <w:sz w:val="22"/>
              </w:rPr>
              <w:t> </w:t>
            </w:r>
            <w:r>
              <w:rPr>
                <w:sz w:val="22"/>
              </w:rPr>
              <w:t>services</w:t>
            </w:r>
          </w:p>
          <w:p>
            <w:pPr>
              <w:pStyle w:val="TableParagraph"/>
              <w:numPr>
                <w:ilvl w:val="0"/>
                <w:numId w:val="9"/>
              </w:numPr>
              <w:tabs>
                <w:tab w:pos="470" w:val="left" w:leader="none"/>
              </w:tabs>
              <w:spacing w:line="252" w:lineRule="exact" w:before="0" w:after="0"/>
              <w:ind w:left="469" w:right="0" w:hanging="363"/>
              <w:jc w:val="left"/>
              <w:rPr>
                <w:sz w:val="22"/>
              </w:rPr>
            </w:pPr>
            <w:r>
              <w:rPr>
                <w:sz w:val="22"/>
              </w:rPr>
              <w:t>% Of patients who wait 6 weeks or less to access IAPT</w:t>
            </w:r>
            <w:r>
              <w:rPr>
                <w:spacing w:val="-29"/>
                <w:sz w:val="22"/>
              </w:rPr>
              <w:t> </w:t>
            </w:r>
            <w:r>
              <w:rPr>
                <w:sz w:val="22"/>
              </w:rPr>
              <w:t>services</w:t>
            </w:r>
          </w:p>
          <w:p>
            <w:pPr>
              <w:pStyle w:val="TableParagraph"/>
              <w:numPr>
                <w:ilvl w:val="0"/>
                <w:numId w:val="9"/>
              </w:numPr>
              <w:tabs>
                <w:tab w:pos="470" w:val="left" w:leader="none"/>
              </w:tabs>
              <w:spacing w:line="252" w:lineRule="exact" w:before="0" w:after="0"/>
              <w:ind w:left="469" w:right="0" w:hanging="363"/>
              <w:jc w:val="left"/>
              <w:rPr>
                <w:sz w:val="22"/>
              </w:rPr>
            </w:pPr>
            <w:r>
              <w:rPr>
                <w:sz w:val="22"/>
              </w:rPr>
              <w:t>MRSA</w:t>
            </w:r>
          </w:p>
          <w:p>
            <w:pPr>
              <w:pStyle w:val="TableParagraph"/>
              <w:numPr>
                <w:ilvl w:val="0"/>
                <w:numId w:val="9"/>
              </w:numPr>
              <w:tabs>
                <w:tab w:pos="470" w:val="left" w:leader="none"/>
              </w:tabs>
              <w:spacing w:line="252" w:lineRule="exact" w:before="0" w:after="0"/>
              <w:ind w:left="469" w:right="0" w:hanging="363"/>
              <w:jc w:val="left"/>
              <w:rPr>
                <w:sz w:val="22"/>
              </w:rPr>
            </w:pPr>
            <w:r>
              <w:rPr>
                <w:sz w:val="22"/>
              </w:rPr>
              <w:t>Clostridiodes difficile</w:t>
            </w:r>
          </w:p>
        </w:tc>
        <w:tc>
          <w:tcPr>
            <w:tcW w:w="1875" w:type="dxa"/>
            <w:shd w:val="clear" w:color="auto" w:fill="9BB957"/>
          </w:tcPr>
          <w:p>
            <w:pPr>
              <w:pStyle w:val="TableParagraph"/>
              <w:rPr>
                <w:rFonts w:ascii="Times New Roman"/>
                <w:sz w:val="22"/>
              </w:rPr>
            </w:pPr>
          </w:p>
        </w:tc>
      </w:tr>
    </w:tbl>
    <w:p>
      <w:pPr>
        <w:pStyle w:val="BodyText"/>
        <w:spacing w:before="10"/>
        <w:rPr>
          <w:sz w:val="25"/>
        </w:rPr>
      </w:pPr>
    </w:p>
    <w:tbl>
      <w:tblPr>
        <w:tblW w:w="0" w:type="auto"/>
        <w:jc w:val="left"/>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57"/>
        <w:gridCol w:w="1867"/>
      </w:tblGrid>
      <w:tr>
        <w:trPr>
          <w:trHeight w:val="736" w:hRule="atLeast"/>
        </w:trPr>
        <w:tc>
          <w:tcPr>
            <w:tcW w:w="9324" w:type="dxa"/>
            <w:gridSpan w:val="2"/>
            <w:shd w:val="clear" w:color="auto" w:fill="DBE3EF"/>
          </w:tcPr>
          <w:p>
            <w:pPr>
              <w:pStyle w:val="TableParagraph"/>
              <w:spacing w:before="7"/>
              <w:rPr>
                <w:sz w:val="20"/>
              </w:rPr>
            </w:pPr>
          </w:p>
          <w:p>
            <w:pPr>
              <w:pStyle w:val="TableParagraph"/>
              <w:ind w:left="110"/>
              <w:rPr>
                <w:b/>
                <w:sz w:val="22"/>
              </w:rPr>
            </w:pPr>
            <w:r>
              <w:rPr>
                <w:b/>
                <w:sz w:val="22"/>
              </w:rPr>
              <w:t>Performance has not been achieved in the following:</w:t>
            </w:r>
          </w:p>
        </w:tc>
      </w:tr>
      <w:tr>
        <w:trPr>
          <w:trHeight w:val="1770" w:hRule="atLeast"/>
        </w:trPr>
        <w:tc>
          <w:tcPr>
            <w:tcW w:w="7457" w:type="dxa"/>
          </w:tcPr>
          <w:p>
            <w:pPr>
              <w:pStyle w:val="TableParagraph"/>
              <w:numPr>
                <w:ilvl w:val="0"/>
                <w:numId w:val="10"/>
              </w:numPr>
              <w:tabs>
                <w:tab w:pos="471" w:val="left" w:leader="none"/>
              </w:tabs>
              <w:spacing w:line="248" w:lineRule="exact" w:before="0" w:after="0"/>
              <w:ind w:left="470" w:right="0" w:hanging="364"/>
              <w:jc w:val="left"/>
              <w:rPr>
                <w:sz w:val="22"/>
              </w:rPr>
            </w:pPr>
            <w:r>
              <w:rPr>
                <w:sz w:val="22"/>
              </w:rPr>
              <w:t>18 Week Referral to Treatment (incomplete</w:t>
            </w:r>
            <w:r>
              <w:rPr>
                <w:spacing w:val="-23"/>
                <w:sz w:val="22"/>
              </w:rPr>
              <w:t> </w:t>
            </w:r>
            <w:r>
              <w:rPr>
                <w:sz w:val="22"/>
              </w:rPr>
              <w:t>pathways)</w:t>
            </w:r>
          </w:p>
          <w:p>
            <w:pPr>
              <w:pStyle w:val="TableParagraph"/>
              <w:numPr>
                <w:ilvl w:val="0"/>
                <w:numId w:val="10"/>
              </w:numPr>
              <w:tabs>
                <w:tab w:pos="471" w:val="left" w:leader="none"/>
              </w:tabs>
              <w:spacing w:line="252" w:lineRule="exact" w:before="0" w:after="0"/>
              <w:ind w:left="470" w:right="0" w:hanging="364"/>
              <w:jc w:val="left"/>
              <w:rPr>
                <w:sz w:val="22"/>
              </w:rPr>
            </w:pPr>
            <w:r>
              <w:rPr>
                <w:sz w:val="22"/>
              </w:rPr>
              <w:t>52 Week Waiting</w:t>
            </w:r>
            <w:r>
              <w:rPr>
                <w:spacing w:val="-19"/>
                <w:sz w:val="22"/>
              </w:rPr>
              <w:t> </w:t>
            </w:r>
            <w:r>
              <w:rPr>
                <w:sz w:val="22"/>
              </w:rPr>
              <w:t>Times</w:t>
            </w:r>
          </w:p>
          <w:p>
            <w:pPr>
              <w:pStyle w:val="TableParagraph"/>
              <w:numPr>
                <w:ilvl w:val="0"/>
                <w:numId w:val="10"/>
              </w:numPr>
              <w:tabs>
                <w:tab w:pos="471" w:val="left" w:leader="none"/>
              </w:tabs>
              <w:spacing w:line="252" w:lineRule="exact" w:before="0" w:after="0"/>
              <w:ind w:left="470" w:right="0" w:hanging="364"/>
              <w:jc w:val="left"/>
              <w:rPr>
                <w:sz w:val="22"/>
              </w:rPr>
            </w:pPr>
            <w:r>
              <w:rPr>
                <w:sz w:val="22"/>
              </w:rPr>
              <w:t>Diagnostic 6 week</w:t>
            </w:r>
            <w:r>
              <w:rPr>
                <w:spacing w:val="-23"/>
                <w:sz w:val="22"/>
              </w:rPr>
              <w:t> </w:t>
            </w:r>
            <w:r>
              <w:rPr>
                <w:sz w:val="22"/>
              </w:rPr>
              <w:t>waits</w:t>
            </w:r>
          </w:p>
          <w:p>
            <w:pPr>
              <w:pStyle w:val="TableParagraph"/>
              <w:numPr>
                <w:ilvl w:val="0"/>
                <w:numId w:val="10"/>
              </w:numPr>
              <w:tabs>
                <w:tab w:pos="471" w:val="left" w:leader="none"/>
              </w:tabs>
              <w:spacing w:line="252" w:lineRule="exact" w:before="1" w:after="0"/>
              <w:ind w:left="470" w:right="0" w:hanging="364"/>
              <w:jc w:val="left"/>
              <w:rPr>
                <w:sz w:val="22"/>
              </w:rPr>
            </w:pPr>
            <w:r>
              <w:rPr>
                <w:sz w:val="22"/>
              </w:rPr>
              <w:t>12 hour trolley waits</w:t>
            </w:r>
          </w:p>
          <w:p>
            <w:pPr>
              <w:pStyle w:val="TableParagraph"/>
              <w:numPr>
                <w:ilvl w:val="0"/>
                <w:numId w:val="10"/>
              </w:numPr>
              <w:tabs>
                <w:tab w:pos="471" w:val="left" w:leader="none"/>
              </w:tabs>
              <w:spacing w:line="252" w:lineRule="exact" w:before="0" w:after="0"/>
              <w:ind w:left="470" w:right="0" w:hanging="364"/>
              <w:jc w:val="left"/>
              <w:rPr>
                <w:sz w:val="22"/>
              </w:rPr>
            </w:pPr>
            <w:r>
              <w:rPr>
                <w:sz w:val="22"/>
              </w:rPr>
              <w:t>4 hour A&amp;E waiting times (Trust wide National SITREP</w:t>
            </w:r>
            <w:r>
              <w:rPr>
                <w:spacing w:val="-26"/>
                <w:sz w:val="22"/>
              </w:rPr>
              <w:t> </w:t>
            </w:r>
            <w:r>
              <w:rPr>
                <w:sz w:val="22"/>
              </w:rPr>
              <w:t>reporting)</w:t>
            </w:r>
          </w:p>
          <w:p>
            <w:pPr>
              <w:pStyle w:val="TableParagraph"/>
              <w:numPr>
                <w:ilvl w:val="0"/>
                <w:numId w:val="10"/>
              </w:numPr>
              <w:tabs>
                <w:tab w:pos="470" w:val="left" w:leader="none"/>
              </w:tabs>
              <w:spacing w:line="245" w:lineRule="exact" w:before="0" w:after="0"/>
              <w:ind w:left="469" w:right="0" w:hanging="363"/>
              <w:jc w:val="left"/>
              <w:rPr>
                <w:sz w:val="22"/>
              </w:rPr>
            </w:pPr>
            <w:r>
              <w:rPr>
                <w:sz w:val="22"/>
              </w:rPr>
              <w:t>Cancer 2 week waiting</w:t>
            </w:r>
            <w:r>
              <w:rPr>
                <w:spacing w:val="-4"/>
                <w:sz w:val="22"/>
              </w:rPr>
              <w:t> </w:t>
            </w:r>
            <w:r>
              <w:rPr>
                <w:sz w:val="22"/>
              </w:rPr>
              <w:t>times</w:t>
            </w:r>
          </w:p>
          <w:p>
            <w:pPr>
              <w:pStyle w:val="TableParagraph"/>
              <w:numPr>
                <w:ilvl w:val="0"/>
                <w:numId w:val="10"/>
              </w:numPr>
              <w:tabs>
                <w:tab w:pos="471" w:val="left" w:leader="none"/>
              </w:tabs>
              <w:spacing w:line="245" w:lineRule="exact" w:before="0" w:after="0"/>
              <w:ind w:left="470" w:right="0" w:hanging="364"/>
              <w:jc w:val="left"/>
              <w:rPr>
                <w:sz w:val="22"/>
              </w:rPr>
            </w:pPr>
            <w:r>
              <w:rPr>
                <w:sz w:val="22"/>
              </w:rPr>
              <w:t>Breast cancer 2 week</w:t>
            </w:r>
            <w:r>
              <w:rPr>
                <w:spacing w:val="-8"/>
                <w:sz w:val="22"/>
              </w:rPr>
              <w:t> </w:t>
            </w:r>
            <w:r>
              <w:rPr>
                <w:sz w:val="22"/>
              </w:rPr>
              <w:t>wait</w:t>
            </w:r>
          </w:p>
        </w:tc>
        <w:tc>
          <w:tcPr>
            <w:tcW w:w="1867" w:type="dxa"/>
            <w:shd w:val="clear" w:color="auto" w:fill="FF0000"/>
          </w:tcPr>
          <w:p>
            <w:pPr>
              <w:pStyle w:val="TableParagraph"/>
              <w:rPr>
                <w:rFonts w:ascii="Times New Roman"/>
                <w:sz w:val="22"/>
              </w:rPr>
            </w:pPr>
          </w:p>
        </w:tc>
      </w:tr>
    </w:tbl>
    <w:p>
      <w:pPr>
        <w:spacing w:after="0"/>
        <w:rPr>
          <w:rFonts w:ascii="Times New Roman"/>
          <w:sz w:val="22"/>
        </w:rPr>
        <w:sectPr>
          <w:pgSz w:w="11920" w:h="16850"/>
          <w:pgMar w:header="0" w:footer="363" w:top="1320" w:bottom="640" w:left="760" w:right="420"/>
        </w:sectPr>
      </w:pPr>
    </w:p>
    <w:tbl>
      <w:tblPr>
        <w:tblW w:w="0" w:type="auto"/>
        <w:jc w:val="left"/>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57"/>
        <w:gridCol w:w="1867"/>
      </w:tblGrid>
      <w:tr>
        <w:trPr>
          <w:trHeight w:val="4302" w:hRule="atLeast"/>
        </w:trPr>
        <w:tc>
          <w:tcPr>
            <w:tcW w:w="7457" w:type="dxa"/>
          </w:tcPr>
          <w:p>
            <w:pPr>
              <w:pStyle w:val="TableParagraph"/>
              <w:numPr>
                <w:ilvl w:val="0"/>
                <w:numId w:val="11"/>
              </w:numPr>
              <w:tabs>
                <w:tab w:pos="471" w:val="left" w:leader="none"/>
              </w:tabs>
              <w:spacing w:line="250" w:lineRule="exact" w:before="0" w:after="0"/>
              <w:ind w:left="470" w:right="0" w:hanging="364"/>
              <w:jc w:val="left"/>
              <w:rPr>
                <w:sz w:val="22"/>
              </w:rPr>
            </w:pPr>
            <w:r>
              <w:rPr>
                <w:sz w:val="22"/>
              </w:rPr>
              <w:t>Cancer 31 day wait – first definitive</w:t>
            </w:r>
            <w:r>
              <w:rPr>
                <w:spacing w:val="-7"/>
                <w:sz w:val="22"/>
              </w:rPr>
              <w:t> </w:t>
            </w:r>
            <w:r>
              <w:rPr>
                <w:sz w:val="22"/>
              </w:rPr>
              <w:t>treatment</w:t>
            </w:r>
          </w:p>
          <w:p>
            <w:pPr>
              <w:pStyle w:val="TableParagraph"/>
              <w:numPr>
                <w:ilvl w:val="0"/>
                <w:numId w:val="11"/>
              </w:numPr>
              <w:tabs>
                <w:tab w:pos="471" w:val="left" w:leader="none"/>
              </w:tabs>
              <w:spacing w:line="252" w:lineRule="exact" w:before="0" w:after="0"/>
              <w:ind w:left="470" w:right="0" w:hanging="364"/>
              <w:jc w:val="left"/>
              <w:rPr>
                <w:sz w:val="22"/>
              </w:rPr>
            </w:pPr>
            <w:r>
              <w:rPr>
                <w:sz w:val="22"/>
              </w:rPr>
              <w:t>Cancer 31 day subsequent waits –</w:t>
            </w:r>
            <w:r>
              <w:rPr>
                <w:spacing w:val="-2"/>
                <w:sz w:val="22"/>
              </w:rPr>
              <w:t> </w:t>
            </w:r>
            <w:r>
              <w:rPr>
                <w:sz w:val="22"/>
              </w:rPr>
              <w:t>surgery</w:t>
            </w:r>
          </w:p>
          <w:p>
            <w:pPr>
              <w:pStyle w:val="TableParagraph"/>
              <w:numPr>
                <w:ilvl w:val="0"/>
                <w:numId w:val="11"/>
              </w:numPr>
              <w:tabs>
                <w:tab w:pos="471" w:val="left" w:leader="none"/>
              </w:tabs>
              <w:spacing w:line="252" w:lineRule="exact" w:before="0" w:after="0"/>
              <w:ind w:left="470" w:right="0" w:hanging="364"/>
              <w:jc w:val="left"/>
              <w:rPr>
                <w:sz w:val="22"/>
              </w:rPr>
            </w:pPr>
            <w:r>
              <w:rPr>
                <w:sz w:val="22"/>
              </w:rPr>
              <w:t>Cancer 31 day subsequent waits – anti cancer drug</w:t>
            </w:r>
            <w:r>
              <w:rPr>
                <w:spacing w:val="-13"/>
                <w:sz w:val="22"/>
              </w:rPr>
              <w:t> </w:t>
            </w:r>
            <w:r>
              <w:rPr>
                <w:sz w:val="22"/>
              </w:rPr>
              <w:t>regimens</w:t>
            </w:r>
          </w:p>
          <w:p>
            <w:pPr>
              <w:pStyle w:val="TableParagraph"/>
              <w:numPr>
                <w:ilvl w:val="0"/>
                <w:numId w:val="11"/>
              </w:numPr>
              <w:tabs>
                <w:tab w:pos="470" w:val="left" w:leader="none"/>
              </w:tabs>
              <w:spacing w:line="252" w:lineRule="exact" w:before="0" w:after="0"/>
              <w:ind w:left="469" w:right="0" w:hanging="363"/>
              <w:jc w:val="left"/>
              <w:rPr>
                <w:sz w:val="22"/>
              </w:rPr>
            </w:pPr>
            <w:r>
              <w:rPr>
                <w:sz w:val="22"/>
              </w:rPr>
              <w:t>Cancer 31 day subsequent waits –</w:t>
            </w:r>
            <w:r>
              <w:rPr>
                <w:spacing w:val="-6"/>
                <w:sz w:val="22"/>
              </w:rPr>
              <w:t> </w:t>
            </w:r>
            <w:r>
              <w:rPr>
                <w:sz w:val="22"/>
              </w:rPr>
              <w:t>radiotherapy</w:t>
            </w:r>
          </w:p>
          <w:p>
            <w:pPr>
              <w:pStyle w:val="TableParagraph"/>
              <w:numPr>
                <w:ilvl w:val="0"/>
                <w:numId w:val="11"/>
              </w:numPr>
              <w:tabs>
                <w:tab w:pos="470" w:val="left" w:leader="none"/>
              </w:tabs>
              <w:spacing w:line="240" w:lineRule="auto" w:before="6" w:after="0"/>
              <w:ind w:left="469" w:right="221" w:hanging="360"/>
              <w:jc w:val="left"/>
              <w:rPr>
                <w:sz w:val="22"/>
              </w:rPr>
            </w:pPr>
            <w:r>
              <w:rPr>
                <w:sz w:val="22"/>
              </w:rPr>
              <w:t>Cancer 62 day wait referral to treatment times – first definitive referral from GP</w:t>
            </w:r>
            <w:r>
              <w:rPr>
                <w:spacing w:val="-7"/>
                <w:sz w:val="22"/>
              </w:rPr>
              <w:t> </w:t>
            </w:r>
            <w:r>
              <w:rPr>
                <w:sz w:val="22"/>
              </w:rPr>
              <w:t>referral</w:t>
            </w:r>
          </w:p>
          <w:p>
            <w:pPr>
              <w:pStyle w:val="TableParagraph"/>
              <w:numPr>
                <w:ilvl w:val="0"/>
                <w:numId w:val="11"/>
              </w:numPr>
              <w:tabs>
                <w:tab w:pos="468" w:val="left" w:leader="none"/>
              </w:tabs>
              <w:spacing w:line="246" w:lineRule="exact" w:before="0" w:after="0"/>
              <w:ind w:left="467" w:right="0" w:hanging="361"/>
              <w:jc w:val="left"/>
              <w:rPr>
                <w:sz w:val="22"/>
              </w:rPr>
            </w:pPr>
            <w:r>
              <w:rPr>
                <w:sz w:val="22"/>
              </w:rPr>
              <w:t>Cancer 62 day referral to treatment times – screening</w:t>
            </w:r>
            <w:r>
              <w:rPr>
                <w:spacing w:val="-29"/>
                <w:sz w:val="22"/>
              </w:rPr>
              <w:t> </w:t>
            </w:r>
            <w:r>
              <w:rPr>
                <w:sz w:val="22"/>
              </w:rPr>
              <w:t>service</w:t>
            </w:r>
          </w:p>
          <w:p>
            <w:pPr>
              <w:pStyle w:val="TableParagraph"/>
              <w:numPr>
                <w:ilvl w:val="0"/>
                <w:numId w:val="11"/>
              </w:numPr>
              <w:tabs>
                <w:tab w:pos="468" w:val="left" w:leader="none"/>
              </w:tabs>
              <w:spacing w:line="252" w:lineRule="exact" w:before="1" w:after="0"/>
              <w:ind w:left="467" w:right="0" w:hanging="361"/>
              <w:jc w:val="left"/>
              <w:rPr>
                <w:sz w:val="22"/>
              </w:rPr>
            </w:pPr>
            <w:r>
              <w:rPr>
                <w:sz w:val="22"/>
              </w:rPr>
              <w:t>Ambulance Category 1 mean waiting</w:t>
            </w:r>
            <w:r>
              <w:rPr>
                <w:spacing w:val="-11"/>
                <w:sz w:val="22"/>
              </w:rPr>
              <w:t> </w:t>
            </w:r>
            <w:r>
              <w:rPr>
                <w:sz w:val="22"/>
              </w:rPr>
              <w:t>time</w:t>
            </w:r>
          </w:p>
          <w:p>
            <w:pPr>
              <w:pStyle w:val="TableParagraph"/>
              <w:numPr>
                <w:ilvl w:val="0"/>
                <w:numId w:val="11"/>
              </w:numPr>
              <w:tabs>
                <w:tab w:pos="468" w:val="left" w:leader="none"/>
              </w:tabs>
              <w:spacing w:line="252" w:lineRule="exact" w:before="0" w:after="0"/>
              <w:ind w:left="467" w:right="0" w:hanging="361"/>
              <w:jc w:val="left"/>
              <w:rPr>
                <w:sz w:val="22"/>
              </w:rPr>
            </w:pPr>
            <w:r>
              <w:rPr>
                <w:sz w:val="22"/>
              </w:rPr>
              <w:t>Ambulance Category 1 90th</w:t>
            </w:r>
            <w:r>
              <w:rPr>
                <w:spacing w:val="-4"/>
                <w:sz w:val="22"/>
              </w:rPr>
              <w:t> </w:t>
            </w:r>
            <w:r>
              <w:rPr>
                <w:sz w:val="22"/>
              </w:rPr>
              <w:t>centile</w:t>
            </w:r>
          </w:p>
          <w:p>
            <w:pPr>
              <w:pStyle w:val="TableParagraph"/>
              <w:numPr>
                <w:ilvl w:val="0"/>
                <w:numId w:val="11"/>
              </w:numPr>
              <w:tabs>
                <w:tab w:pos="468" w:val="left" w:leader="none"/>
              </w:tabs>
              <w:spacing w:line="252" w:lineRule="exact" w:before="0" w:after="0"/>
              <w:ind w:left="467" w:right="0" w:hanging="361"/>
              <w:jc w:val="left"/>
              <w:rPr>
                <w:sz w:val="22"/>
              </w:rPr>
            </w:pPr>
            <w:r>
              <w:rPr>
                <w:sz w:val="22"/>
              </w:rPr>
              <w:t>Ambulance Category 2 mean waiting</w:t>
            </w:r>
            <w:r>
              <w:rPr>
                <w:spacing w:val="-11"/>
                <w:sz w:val="22"/>
              </w:rPr>
              <w:t> </w:t>
            </w:r>
            <w:r>
              <w:rPr>
                <w:sz w:val="22"/>
              </w:rPr>
              <w:t>time</w:t>
            </w:r>
          </w:p>
          <w:p>
            <w:pPr>
              <w:pStyle w:val="TableParagraph"/>
              <w:numPr>
                <w:ilvl w:val="0"/>
                <w:numId w:val="11"/>
              </w:numPr>
              <w:tabs>
                <w:tab w:pos="468" w:val="left" w:leader="none"/>
              </w:tabs>
              <w:spacing w:line="252" w:lineRule="exact" w:before="0" w:after="0"/>
              <w:ind w:left="467" w:right="0" w:hanging="361"/>
              <w:jc w:val="left"/>
              <w:rPr>
                <w:sz w:val="22"/>
              </w:rPr>
            </w:pPr>
            <w:r>
              <w:rPr>
                <w:sz w:val="22"/>
              </w:rPr>
              <w:t>Ambulance Category 2 90th</w:t>
            </w:r>
            <w:r>
              <w:rPr>
                <w:spacing w:val="-37"/>
                <w:sz w:val="22"/>
              </w:rPr>
              <w:t> </w:t>
            </w:r>
            <w:r>
              <w:rPr>
                <w:sz w:val="22"/>
              </w:rPr>
              <w:t>centile</w:t>
            </w:r>
          </w:p>
          <w:p>
            <w:pPr>
              <w:pStyle w:val="TableParagraph"/>
              <w:numPr>
                <w:ilvl w:val="0"/>
                <w:numId w:val="11"/>
              </w:numPr>
              <w:tabs>
                <w:tab w:pos="468" w:val="left" w:leader="none"/>
              </w:tabs>
              <w:spacing w:line="252" w:lineRule="exact" w:before="0" w:after="0"/>
              <w:ind w:left="467" w:right="0" w:hanging="361"/>
              <w:jc w:val="left"/>
              <w:rPr>
                <w:sz w:val="22"/>
              </w:rPr>
            </w:pPr>
            <w:r>
              <w:rPr>
                <w:sz w:val="22"/>
              </w:rPr>
              <w:t>Ambulance Category 3 90th</w:t>
            </w:r>
            <w:r>
              <w:rPr>
                <w:spacing w:val="-37"/>
                <w:sz w:val="22"/>
              </w:rPr>
              <w:t> </w:t>
            </w:r>
            <w:r>
              <w:rPr>
                <w:sz w:val="22"/>
              </w:rPr>
              <w:t>centile</w:t>
            </w:r>
          </w:p>
          <w:p>
            <w:pPr>
              <w:pStyle w:val="TableParagraph"/>
              <w:numPr>
                <w:ilvl w:val="0"/>
                <w:numId w:val="11"/>
              </w:numPr>
              <w:tabs>
                <w:tab w:pos="468" w:val="left" w:leader="none"/>
              </w:tabs>
              <w:spacing w:line="252" w:lineRule="exact" w:before="2" w:after="0"/>
              <w:ind w:left="467" w:right="0" w:hanging="361"/>
              <w:jc w:val="left"/>
              <w:rPr>
                <w:sz w:val="22"/>
              </w:rPr>
            </w:pPr>
            <w:r>
              <w:rPr>
                <w:sz w:val="22"/>
              </w:rPr>
              <w:t>Ambulance Category 4 90th</w:t>
            </w:r>
            <w:r>
              <w:rPr>
                <w:spacing w:val="-35"/>
                <w:sz w:val="22"/>
              </w:rPr>
              <w:t> </w:t>
            </w:r>
            <w:r>
              <w:rPr>
                <w:sz w:val="22"/>
              </w:rPr>
              <w:t>centile</w:t>
            </w:r>
          </w:p>
          <w:p>
            <w:pPr>
              <w:pStyle w:val="TableParagraph"/>
              <w:numPr>
                <w:ilvl w:val="0"/>
                <w:numId w:val="11"/>
              </w:numPr>
              <w:tabs>
                <w:tab w:pos="468" w:val="left" w:leader="none"/>
              </w:tabs>
              <w:spacing w:line="252" w:lineRule="exact" w:before="0" w:after="0"/>
              <w:ind w:left="467" w:right="0" w:hanging="361"/>
              <w:jc w:val="left"/>
              <w:rPr>
                <w:sz w:val="22"/>
              </w:rPr>
            </w:pPr>
            <w:r>
              <w:rPr>
                <w:sz w:val="22"/>
              </w:rPr>
              <w:t>Mixed sex</w:t>
            </w:r>
            <w:r>
              <w:rPr>
                <w:spacing w:val="-5"/>
                <w:sz w:val="22"/>
              </w:rPr>
              <w:t> </w:t>
            </w:r>
            <w:r>
              <w:rPr>
                <w:sz w:val="22"/>
              </w:rPr>
              <w:t>accommodation</w:t>
            </w:r>
          </w:p>
          <w:p>
            <w:pPr>
              <w:pStyle w:val="TableParagraph"/>
              <w:numPr>
                <w:ilvl w:val="0"/>
                <w:numId w:val="11"/>
              </w:numPr>
              <w:tabs>
                <w:tab w:pos="468" w:val="left" w:leader="none"/>
              </w:tabs>
              <w:spacing w:line="240" w:lineRule="auto" w:before="1" w:after="0"/>
              <w:ind w:left="467" w:right="0" w:hanging="361"/>
              <w:jc w:val="left"/>
              <w:rPr>
                <w:sz w:val="22"/>
              </w:rPr>
            </w:pPr>
            <w:r>
              <w:rPr>
                <w:sz w:val="22"/>
              </w:rPr>
              <w:t>Cancelled operations: not offered another date within 28</w:t>
            </w:r>
            <w:r>
              <w:rPr>
                <w:spacing w:val="-20"/>
                <w:sz w:val="22"/>
              </w:rPr>
              <w:t> </w:t>
            </w:r>
            <w:r>
              <w:rPr>
                <w:sz w:val="22"/>
              </w:rPr>
              <w:t>days</w:t>
            </w:r>
          </w:p>
          <w:p>
            <w:pPr>
              <w:pStyle w:val="TableParagraph"/>
              <w:numPr>
                <w:ilvl w:val="0"/>
                <w:numId w:val="11"/>
              </w:numPr>
              <w:tabs>
                <w:tab w:pos="471" w:val="left" w:leader="none"/>
              </w:tabs>
              <w:spacing w:line="250" w:lineRule="atLeast" w:before="4" w:after="0"/>
              <w:ind w:left="470" w:right="125" w:hanging="360"/>
              <w:jc w:val="left"/>
              <w:rPr>
                <w:sz w:val="22"/>
              </w:rPr>
            </w:pPr>
            <w:r>
              <w:rPr>
                <w:sz w:val="22"/>
              </w:rPr>
              <w:t>% of people who have depression and receive psychological therapies (IAPT)</w:t>
            </w:r>
          </w:p>
        </w:tc>
        <w:tc>
          <w:tcPr>
            <w:tcW w:w="1867" w:type="dxa"/>
            <w:shd w:val="clear" w:color="auto" w:fill="FF0000"/>
          </w:tcPr>
          <w:p>
            <w:pPr>
              <w:pStyle w:val="TableParagraph"/>
              <w:rPr>
                <w:rFonts w:ascii="Times New Roman"/>
                <w:sz w:val="22"/>
              </w:rPr>
            </w:pPr>
          </w:p>
        </w:tc>
      </w:tr>
    </w:tbl>
    <w:p>
      <w:pPr>
        <w:pStyle w:val="BodyText"/>
        <w:spacing w:before="8"/>
        <w:rPr>
          <w:sz w:val="24"/>
        </w:rPr>
      </w:pPr>
    </w:p>
    <w:p>
      <w:pPr>
        <w:pStyle w:val="BodyText"/>
        <w:spacing w:before="93"/>
        <w:ind w:left="680" w:right="990"/>
      </w:pPr>
      <w:r>
        <w:rPr/>
        <w:t>Covid-19 and the ongoing wider system pressures has and continues to negatively impact on performance across provider organisations nationally, regionally, and locally. The indicators seeing the greatest impact relate to the following areas.</w:t>
      </w:r>
    </w:p>
    <w:p>
      <w:pPr>
        <w:pStyle w:val="ListParagraph"/>
        <w:numPr>
          <w:ilvl w:val="2"/>
          <w:numId w:val="5"/>
        </w:numPr>
        <w:tabs>
          <w:tab w:pos="1629" w:val="left" w:leader="none"/>
        </w:tabs>
        <w:spacing w:line="263" w:lineRule="exact" w:before="0" w:after="0"/>
        <w:ind w:left="1628" w:right="0" w:hanging="229"/>
        <w:jc w:val="left"/>
        <w:rPr>
          <w:sz w:val="22"/>
        </w:rPr>
      </w:pPr>
      <w:r>
        <w:rPr>
          <w:sz w:val="22"/>
        </w:rPr>
        <w:t>18 week referral to treatment</w:t>
      </w:r>
      <w:r>
        <w:rPr>
          <w:spacing w:val="-18"/>
          <w:sz w:val="22"/>
        </w:rPr>
        <w:t> </w:t>
      </w:r>
      <w:r>
        <w:rPr>
          <w:sz w:val="22"/>
        </w:rPr>
        <w:t>times</w:t>
      </w:r>
    </w:p>
    <w:p>
      <w:pPr>
        <w:pStyle w:val="ListParagraph"/>
        <w:numPr>
          <w:ilvl w:val="2"/>
          <w:numId w:val="5"/>
        </w:numPr>
        <w:tabs>
          <w:tab w:pos="1629" w:val="left" w:leader="none"/>
        </w:tabs>
        <w:spacing w:line="269" w:lineRule="exact" w:before="0" w:after="0"/>
        <w:ind w:left="1628" w:right="0" w:hanging="229"/>
        <w:jc w:val="left"/>
        <w:rPr>
          <w:sz w:val="22"/>
        </w:rPr>
      </w:pPr>
      <w:r>
        <w:rPr>
          <w:sz w:val="22"/>
        </w:rPr>
        <w:t>52 week waits</w:t>
      </w:r>
    </w:p>
    <w:p>
      <w:pPr>
        <w:pStyle w:val="ListParagraph"/>
        <w:numPr>
          <w:ilvl w:val="2"/>
          <w:numId w:val="5"/>
        </w:numPr>
        <w:tabs>
          <w:tab w:pos="1629" w:val="left" w:leader="none"/>
        </w:tabs>
        <w:spacing w:line="268" w:lineRule="exact" w:before="0" w:after="0"/>
        <w:ind w:left="1628" w:right="0" w:hanging="229"/>
        <w:jc w:val="left"/>
        <w:rPr>
          <w:sz w:val="22"/>
        </w:rPr>
      </w:pPr>
      <w:r>
        <w:rPr>
          <w:sz w:val="22"/>
        </w:rPr>
        <w:t>Diagnostics</w:t>
      </w:r>
    </w:p>
    <w:p>
      <w:pPr>
        <w:pStyle w:val="ListParagraph"/>
        <w:numPr>
          <w:ilvl w:val="2"/>
          <w:numId w:val="5"/>
        </w:numPr>
        <w:tabs>
          <w:tab w:pos="1629" w:val="left" w:leader="none"/>
        </w:tabs>
        <w:spacing w:line="268" w:lineRule="exact" w:before="0" w:after="0"/>
        <w:ind w:left="1628" w:right="0" w:hanging="229"/>
        <w:jc w:val="left"/>
        <w:rPr>
          <w:sz w:val="22"/>
        </w:rPr>
      </w:pPr>
      <w:r>
        <w:rPr>
          <w:sz w:val="22"/>
        </w:rPr>
        <w:t>A&amp;E performance – including 12-hour trolley</w:t>
      </w:r>
      <w:r>
        <w:rPr>
          <w:spacing w:val="-13"/>
          <w:sz w:val="22"/>
        </w:rPr>
        <w:t> </w:t>
      </w:r>
      <w:r>
        <w:rPr>
          <w:sz w:val="22"/>
        </w:rPr>
        <w:t>breeches</w:t>
      </w:r>
    </w:p>
    <w:p>
      <w:pPr>
        <w:pStyle w:val="ListParagraph"/>
        <w:numPr>
          <w:ilvl w:val="2"/>
          <w:numId w:val="5"/>
        </w:numPr>
        <w:tabs>
          <w:tab w:pos="1629" w:val="left" w:leader="none"/>
        </w:tabs>
        <w:spacing w:line="269" w:lineRule="exact" w:before="0" w:after="0"/>
        <w:ind w:left="1628" w:right="0" w:hanging="229"/>
        <w:jc w:val="left"/>
        <w:rPr>
          <w:sz w:val="22"/>
        </w:rPr>
      </w:pPr>
      <w:r>
        <w:rPr>
          <w:sz w:val="22"/>
        </w:rPr>
        <w:t>Some cancer</w:t>
      </w:r>
      <w:r>
        <w:rPr>
          <w:spacing w:val="1"/>
          <w:sz w:val="22"/>
        </w:rPr>
        <w:t> </w:t>
      </w:r>
      <w:r>
        <w:rPr>
          <w:sz w:val="22"/>
        </w:rPr>
        <w:t>indicators</w:t>
      </w:r>
    </w:p>
    <w:p>
      <w:pPr>
        <w:pStyle w:val="ListParagraph"/>
        <w:numPr>
          <w:ilvl w:val="2"/>
          <w:numId w:val="5"/>
        </w:numPr>
        <w:tabs>
          <w:tab w:pos="1629" w:val="left" w:leader="none"/>
        </w:tabs>
        <w:spacing w:line="269" w:lineRule="exact" w:before="0" w:after="0"/>
        <w:ind w:left="1628" w:right="0" w:hanging="229"/>
        <w:jc w:val="left"/>
        <w:rPr>
          <w:sz w:val="22"/>
        </w:rPr>
      </w:pPr>
      <w:r>
        <w:rPr>
          <w:sz w:val="22"/>
        </w:rPr>
        <w:t>Ambulance response</w:t>
      </w:r>
      <w:r>
        <w:rPr>
          <w:spacing w:val="-5"/>
          <w:sz w:val="22"/>
        </w:rPr>
        <w:t> </w:t>
      </w:r>
      <w:r>
        <w:rPr>
          <w:sz w:val="22"/>
        </w:rPr>
        <w:t>times</w:t>
      </w:r>
    </w:p>
    <w:p>
      <w:pPr>
        <w:pStyle w:val="BodyText"/>
        <w:spacing w:before="2"/>
      </w:pPr>
    </w:p>
    <w:p>
      <w:pPr>
        <w:pStyle w:val="BodyText"/>
        <w:ind w:left="680" w:right="1382"/>
      </w:pPr>
      <w:r>
        <w:rPr/>
        <w:t>Performance challenges remain across a range of indicators including but specifically the following:</w:t>
      </w:r>
    </w:p>
    <w:p>
      <w:pPr>
        <w:pStyle w:val="BodyText"/>
        <w:rPr>
          <w:sz w:val="33"/>
        </w:rPr>
      </w:pPr>
    </w:p>
    <w:p>
      <w:pPr>
        <w:pStyle w:val="Heading4"/>
      </w:pPr>
      <w:bookmarkStart w:name="Referral to treatment times and 52 weeks" w:id="85"/>
      <w:bookmarkEnd w:id="85"/>
      <w:r>
        <w:rPr>
          <w:b w:val="0"/>
        </w:rPr>
      </w:r>
      <w:r>
        <w:rPr>
          <w:color w:val="4F81BB"/>
        </w:rPr>
        <w:t>Referral to treatment times and 52 weeks</w:t>
      </w:r>
    </w:p>
    <w:p>
      <w:pPr>
        <w:pStyle w:val="BodyText"/>
        <w:spacing w:before="2"/>
        <w:rPr>
          <w:b/>
          <w:sz w:val="33"/>
        </w:rPr>
      </w:pPr>
    </w:p>
    <w:p>
      <w:pPr>
        <w:pStyle w:val="BodyText"/>
        <w:ind w:left="680" w:right="987"/>
        <w:jc w:val="both"/>
      </w:pPr>
      <w:r>
        <w:rPr/>
        <w:t>Referral to treatment times (RTT) continue to fall below required standards, specifically at our two main local acute providers Northern Lincolnshire &amp; Goole NHS Foundation Trust (NLaG) and Hull and East Yorkshire Hospitals NHS Trust (HEY).</w:t>
      </w:r>
    </w:p>
    <w:p>
      <w:pPr>
        <w:pStyle w:val="BodyText"/>
        <w:spacing w:before="10"/>
        <w:rPr>
          <w:sz w:val="21"/>
        </w:rPr>
      </w:pPr>
    </w:p>
    <w:p>
      <w:pPr>
        <w:pStyle w:val="BodyText"/>
        <w:ind w:left="680" w:right="856"/>
      </w:pPr>
      <w:r>
        <w:rPr/>
        <w:t>Although improved, the CCG level position remains below the national RTT performance standard of 92%. National reporting shows that the CCG position in relation to incomplete RTT performance is above both the England and the Humber Coast and Vale ICS average.</w:t>
      </w:r>
    </w:p>
    <w:p>
      <w:pPr>
        <w:pStyle w:val="BodyText"/>
      </w:pPr>
    </w:p>
    <w:p>
      <w:pPr>
        <w:pStyle w:val="BodyText"/>
        <w:spacing w:before="1"/>
        <w:ind w:left="680" w:right="806"/>
      </w:pPr>
      <w:r>
        <w:rPr/>
        <w:t>NLaG have reported that theatre capacity has being affected by staff sickness and annual leave, and there are challenges in relation to the increased acute activity seen by the Trust and balancing this with the planned elective activity.</w:t>
      </w:r>
    </w:p>
    <w:p>
      <w:pPr>
        <w:pStyle w:val="BodyText"/>
        <w:spacing w:before="10"/>
        <w:rPr>
          <w:sz w:val="21"/>
        </w:rPr>
      </w:pPr>
    </w:p>
    <w:p>
      <w:pPr>
        <w:pStyle w:val="BodyText"/>
        <w:ind w:left="680" w:right="794"/>
      </w:pPr>
      <w:r>
        <w:rPr/>
        <w:t>Active recovery plans for both the Medicine and Surgery Divisions are in place with the focus continuing to be on the longest waiters and cancer patients. Additional capacity, which includes both the use of Goole District Hospital and the independent sector, continues to be utilised for ophthalmology, orthopaedics, general surgery and urology. Internal consultants are continuing to provide additional sessions and external providers have also been sourced to increase clinic capacity and reduce the time patients are waiting to be seen.</w:t>
      </w:r>
    </w:p>
    <w:p>
      <w:pPr>
        <w:pStyle w:val="BodyText"/>
      </w:pPr>
    </w:p>
    <w:p>
      <w:pPr>
        <w:pStyle w:val="BodyText"/>
        <w:ind w:left="680" w:right="920"/>
        <w:jc w:val="both"/>
      </w:pPr>
      <w:r>
        <w:rPr/>
        <w:t>Due to NLaG’s elective delivery position being stronger than some of the neighbouring Trusts, particularly in relation to long waits, the Trust is making available some of its surgical capacity (mostly at Goole), to provide ‘mutual aid.’ Although it is recognised that this will inevitably</w:t>
      </w:r>
    </w:p>
    <w:p>
      <w:pPr>
        <w:spacing w:after="0"/>
        <w:jc w:val="both"/>
        <w:sectPr>
          <w:pgSz w:w="11920" w:h="16850"/>
          <w:pgMar w:header="0" w:footer="363" w:top="1400" w:bottom="640" w:left="760" w:right="420"/>
        </w:sectPr>
      </w:pPr>
    </w:p>
    <w:p>
      <w:pPr>
        <w:pStyle w:val="BodyText"/>
        <w:spacing w:before="81"/>
        <w:ind w:left="680" w:right="1211"/>
      </w:pPr>
      <w:r>
        <w:rPr/>
        <w:t>reduce NLaG’s performance, this approach is consistent with the collaborative principles of ensuring an equitable service across the Integrated Care System.</w:t>
      </w:r>
    </w:p>
    <w:p>
      <w:pPr>
        <w:pStyle w:val="BodyText"/>
        <w:spacing w:before="8"/>
        <w:rPr>
          <w:sz w:val="21"/>
        </w:rPr>
      </w:pPr>
    </w:p>
    <w:p>
      <w:pPr>
        <w:pStyle w:val="BodyText"/>
        <w:ind w:left="680" w:right="723"/>
      </w:pPr>
      <w:r>
        <w:rPr/>
        <w:t>The Trust continues with their robust risk stratification process, across all specialities, to monitor the risks and potential harm to patients who are waiting beyond 52 weeks for treatment or those waiting for outpatient reviews. Processes are in place to record, track and monitor risk stratification for all patients, at all points in the pathway. Assurance has been provided that where any harm is identified this is escalated and managed via the serious incident management process.</w:t>
      </w:r>
    </w:p>
    <w:p>
      <w:pPr>
        <w:pStyle w:val="BodyText"/>
        <w:spacing w:before="1"/>
        <w:rPr>
          <w:sz w:val="33"/>
        </w:rPr>
      </w:pPr>
    </w:p>
    <w:p>
      <w:pPr>
        <w:pStyle w:val="Heading4"/>
        <w:spacing w:before="1"/>
      </w:pPr>
      <w:bookmarkStart w:name="Six week diagnostic waiting times" w:id="86"/>
      <w:bookmarkEnd w:id="86"/>
      <w:r>
        <w:rPr>
          <w:b w:val="0"/>
        </w:rPr>
      </w:r>
      <w:r>
        <w:rPr>
          <w:color w:val="4F81BB"/>
        </w:rPr>
        <w:t>Six week diagnostic waiting times</w:t>
      </w:r>
    </w:p>
    <w:p>
      <w:pPr>
        <w:pStyle w:val="BodyText"/>
        <w:spacing w:before="10"/>
        <w:rPr>
          <w:b/>
          <w:sz w:val="32"/>
        </w:rPr>
      </w:pPr>
    </w:p>
    <w:p>
      <w:pPr>
        <w:pStyle w:val="BodyText"/>
        <w:ind w:left="680" w:right="954"/>
      </w:pPr>
      <w:r>
        <w:rPr/>
        <w:t>Performance against the Diagnostic Waiting Time Standard has improved and is currently the best performance against this standard since February 2020.</w:t>
      </w:r>
    </w:p>
    <w:p>
      <w:pPr>
        <w:pStyle w:val="BodyText"/>
      </w:pPr>
    </w:p>
    <w:p>
      <w:pPr>
        <w:pStyle w:val="BodyText"/>
        <w:ind w:left="680" w:right="783"/>
      </w:pPr>
      <w:r>
        <w:rPr/>
        <w:t>Non-obstetric ultrasound remains the primary concern, however the extra capacity secured and delivered from Ironstone Centre continues to be utilised and the benefits are expected to be realised further over the coming months.</w:t>
      </w:r>
    </w:p>
    <w:p>
      <w:pPr>
        <w:pStyle w:val="BodyText"/>
      </w:pPr>
    </w:p>
    <w:p>
      <w:pPr>
        <w:pStyle w:val="BodyText"/>
        <w:spacing w:before="1"/>
        <w:ind w:left="680" w:right="891"/>
      </w:pPr>
      <w:r>
        <w:rPr/>
        <w:t>Vacancies within the diagnostic division also continues to be a risk, and a business case is being developed to consider increasing the workforce to reduce the gap between demand and capacity.</w:t>
      </w:r>
    </w:p>
    <w:p>
      <w:pPr>
        <w:pStyle w:val="BodyText"/>
        <w:spacing w:before="11"/>
        <w:rPr>
          <w:sz w:val="32"/>
        </w:rPr>
      </w:pPr>
    </w:p>
    <w:p>
      <w:pPr>
        <w:pStyle w:val="Heading4"/>
      </w:pPr>
      <w:bookmarkStart w:name="A&amp;E four hour waits" w:id="87"/>
      <w:bookmarkEnd w:id="87"/>
      <w:r>
        <w:rPr>
          <w:b w:val="0"/>
        </w:rPr>
      </w:r>
      <w:r>
        <w:rPr>
          <w:color w:val="4F81BB"/>
        </w:rPr>
        <w:t>A&amp;E four hour</w:t>
      </w:r>
      <w:r>
        <w:rPr>
          <w:color w:val="4F81BB"/>
          <w:spacing w:val="-16"/>
        </w:rPr>
        <w:t> </w:t>
      </w:r>
      <w:r>
        <w:rPr>
          <w:color w:val="4F81BB"/>
        </w:rPr>
        <w:t>waits</w:t>
      </w:r>
    </w:p>
    <w:p>
      <w:pPr>
        <w:pStyle w:val="BodyText"/>
        <w:spacing w:before="11"/>
        <w:rPr>
          <w:b/>
          <w:sz w:val="32"/>
        </w:rPr>
      </w:pPr>
    </w:p>
    <w:p>
      <w:pPr>
        <w:pStyle w:val="BodyText"/>
        <w:ind w:left="680" w:right="806"/>
      </w:pPr>
      <w:r>
        <w:rPr/>
        <w:t>CCG performance against the A&amp;E 4 hour waiting time standard failed to achieve the national standard during 21/22, whilst the significant and sustained pressures in bed occupancy, patient demand and acuity have seen daily challenges within the Emergency Departments (ED’s) impacting</w:t>
      </w:r>
      <w:r>
        <w:rPr>
          <w:spacing w:val="-3"/>
        </w:rPr>
        <w:t> </w:t>
      </w:r>
      <w:r>
        <w:rPr/>
        <w:t>performance.</w:t>
      </w:r>
    </w:p>
    <w:p>
      <w:pPr>
        <w:pStyle w:val="BodyText"/>
        <w:spacing w:before="11"/>
        <w:rPr>
          <w:sz w:val="21"/>
        </w:rPr>
      </w:pPr>
    </w:p>
    <w:p>
      <w:pPr>
        <w:pStyle w:val="BodyText"/>
        <w:ind w:left="680" w:right="733"/>
      </w:pPr>
      <w:r>
        <w:rPr/>
        <w:t>NLaG have implemented several measures in relation to 12-hour trolley breaches specifically, such as daily operational meetings to review ward zoning and patient movements to enable bed availability and senior second reviews conducted by Medicine Divisional Clinical Directors and Divisional Head of Nursing.</w:t>
      </w:r>
    </w:p>
    <w:p>
      <w:pPr>
        <w:pStyle w:val="BodyText"/>
      </w:pPr>
    </w:p>
    <w:p>
      <w:pPr>
        <w:pStyle w:val="BodyText"/>
        <w:ind w:left="679" w:right="881"/>
      </w:pPr>
      <w:r>
        <w:rPr/>
        <w:t>Covid-19 continues to impact due to workforce sickness, isolation, and general staff wellbeing, in addition to the impact of the physical capacity within the current ED footprints.</w:t>
      </w:r>
    </w:p>
    <w:p>
      <w:pPr>
        <w:pStyle w:val="BodyText"/>
        <w:spacing w:before="11"/>
        <w:rPr>
          <w:sz w:val="21"/>
        </w:rPr>
      </w:pPr>
    </w:p>
    <w:p>
      <w:pPr>
        <w:pStyle w:val="BodyText"/>
        <w:ind w:left="680" w:right="1076"/>
      </w:pPr>
      <w:r>
        <w:rPr/>
        <w:t>The benefits of the Urgent Care Service (UCS) are starting to be realised through the improvements in the 4-hour waiting time standard. The UCS at SGH is providing improved patient experience and 99% performance against the 4-hour standard. The UCS at DPoW is also now operational and benefiting from the same positive performance.</w:t>
      </w:r>
    </w:p>
    <w:p>
      <w:pPr>
        <w:pStyle w:val="BodyText"/>
      </w:pPr>
    </w:p>
    <w:p>
      <w:pPr>
        <w:pStyle w:val="BodyText"/>
        <w:ind w:left="680" w:right="741"/>
      </w:pPr>
      <w:r>
        <w:rPr/>
        <w:t>System partners are working collaboratively to support the daily challenges being experienced in relation to patient flow and the subsequent impact on ED departments and other providers. Access pathways are being streamlined and the discharge to assess initiative is being supported by daily operational calls to reduce specific challenges or barriers being experienced.</w:t>
      </w:r>
    </w:p>
    <w:p>
      <w:pPr>
        <w:pStyle w:val="BodyText"/>
        <w:spacing w:before="1"/>
        <w:rPr>
          <w:sz w:val="33"/>
        </w:rPr>
      </w:pPr>
    </w:p>
    <w:p>
      <w:pPr>
        <w:pStyle w:val="Heading4"/>
      </w:pPr>
      <w:bookmarkStart w:name="Cancer waiting times" w:id="88"/>
      <w:bookmarkEnd w:id="88"/>
      <w:r>
        <w:rPr>
          <w:b w:val="0"/>
        </w:rPr>
      </w:r>
      <w:r>
        <w:rPr>
          <w:color w:val="4F81BB"/>
        </w:rPr>
        <w:t>Cancer waiting times</w:t>
      </w:r>
    </w:p>
    <w:p>
      <w:pPr>
        <w:pStyle w:val="BodyText"/>
        <w:spacing w:before="11"/>
        <w:rPr>
          <w:b/>
          <w:sz w:val="32"/>
        </w:rPr>
      </w:pPr>
    </w:p>
    <w:p>
      <w:pPr>
        <w:pStyle w:val="BodyText"/>
        <w:ind w:left="680" w:right="1394"/>
      </w:pPr>
      <w:r>
        <w:rPr/>
        <w:t>The CCG has experienced difficulties with some of the pathways at different times during 2021/22.</w:t>
      </w:r>
    </w:p>
    <w:p>
      <w:pPr>
        <w:spacing w:after="0"/>
        <w:sectPr>
          <w:pgSz w:w="11920" w:h="16850"/>
          <w:pgMar w:header="0" w:footer="363" w:top="1320" w:bottom="640" w:left="760" w:right="420"/>
        </w:sectPr>
      </w:pPr>
    </w:p>
    <w:p>
      <w:pPr>
        <w:pStyle w:val="BodyText"/>
        <w:spacing w:before="81"/>
        <w:ind w:left="680" w:right="782"/>
      </w:pPr>
      <w:r>
        <w:rPr/>
        <w:t>All tumour sites are being affected by increasing waiting times due to high demand and the availability of oncologists. The Trust are also experiencing challenges related to visiting consultant services and tertiary based staging scans, which affect the ability to transfer patients for treatment.</w:t>
      </w:r>
    </w:p>
    <w:p>
      <w:pPr>
        <w:pStyle w:val="BodyText"/>
        <w:spacing w:before="8"/>
        <w:rPr>
          <w:sz w:val="21"/>
        </w:rPr>
      </w:pPr>
    </w:p>
    <w:p>
      <w:pPr>
        <w:pStyle w:val="BodyText"/>
        <w:spacing w:before="1"/>
        <w:ind w:left="680" w:right="783"/>
      </w:pPr>
      <w:r>
        <w:rPr/>
        <w:t>To mitigate some of the risks, 28 and 62 day performance is being reviewed and managed weekly and specific tumour site pathway reviews are being undertaken to identify any learning and opportunities for improvement. Within the colorectal pathway, the Clinical Nurse Specialist (CNS) straight to test model commenced in January 2022 at both Scunthorpe and Grimsby and is impacting positively on the 28-day faster diagnosis performance.</w:t>
      </w:r>
    </w:p>
    <w:p>
      <w:pPr>
        <w:pStyle w:val="BodyText"/>
        <w:spacing w:before="10"/>
        <w:rPr>
          <w:sz w:val="21"/>
        </w:rPr>
      </w:pPr>
    </w:p>
    <w:p>
      <w:pPr>
        <w:pStyle w:val="BodyText"/>
        <w:ind w:left="680" w:right="733"/>
      </w:pPr>
      <w:r>
        <w:rPr/>
        <w:t>Divisional trajectories at tumour site level are also being mapped for 2022/2023 to deliver a reduction in the backlog, increase faster diagnosis and improve performance against the 28 day and 62 day standards.</w:t>
      </w:r>
    </w:p>
    <w:p>
      <w:pPr>
        <w:pStyle w:val="BodyText"/>
      </w:pPr>
    </w:p>
    <w:p>
      <w:pPr>
        <w:pStyle w:val="BodyText"/>
        <w:spacing w:before="1"/>
        <w:ind w:left="679" w:right="1065"/>
      </w:pPr>
      <w:r>
        <w:rPr/>
        <w:t>The joint transformation pathway work continues between NLaG and HUTH with a key focus being the identification of areas where pathways can be accelerated and to help with the transfer of patients.</w:t>
      </w:r>
    </w:p>
    <w:p>
      <w:pPr>
        <w:pStyle w:val="BodyText"/>
      </w:pPr>
    </w:p>
    <w:p>
      <w:pPr>
        <w:pStyle w:val="BodyText"/>
        <w:ind w:left="679" w:right="892"/>
      </w:pPr>
      <w:r>
        <w:rPr/>
        <w:t>Clinical harm reviews continue to be undertaken for all patients who wait more than 104 days and cancer surgery continues to be prioritised, in addition to the use of the independent sector to support timely access to surgery and diagnostics. Significant work continues with system partners to aid pathway improvements, and this will continue to be monitored by the Humber Cancer Board.</w:t>
      </w:r>
    </w:p>
    <w:p>
      <w:pPr>
        <w:pStyle w:val="BodyText"/>
        <w:spacing w:before="4"/>
        <w:rPr>
          <w:sz w:val="25"/>
        </w:rPr>
      </w:pPr>
    </w:p>
    <w:p>
      <w:pPr>
        <w:pStyle w:val="Heading4"/>
      </w:pPr>
      <w:bookmarkStart w:name="Ambulance Response Programme (ARP)" w:id="89"/>
      <w:bookmarkEnd w:id="89"/>
      <w:r>
        <w:rPr>
          <w:b w:val="0"/>
        </w:rPr>
      </w:r>
      <w:r>
        <w:rPr>
          <w:color w:val="4F81BB"/>
        </w:rPr>
        <w:t>Ambulance Response Programme (ARP)</w:t>
      </w:r>
    </w:p>
    <w:p>
      <w:pPr>
        <w:pStyle w:val="BodyText"/>
        <w:spacing w:before="11"/>
        <w:rPr>
          <w:b/>
          <w:sz w:val="32"/>
        </w:rPr>
      </w:pPr>
    </w:p>
    <w:p>
      <w:pPr>
        <w:pStyle w:val="BodyText"/>
        <w:ind w:left="680" w:right="853"/>
        <w:jc w:val="both"/>
      </w:pPr>
      <w:r>
        <w:rPr/>
        <w:t>East Midlands Ambulance Service (EMAS) continues to be challenged by the demands on the service and the acuity of patients being conveyed. Performance therefore remains a significant concern across Northern Lincolnshire.</w:t>
      </w:r>
    </w:p>
    <w:p>
      <w:pPr>
        <w:pStyle w:val="BodyText"/>
      </w:pPr>
    </w:p>
    <w:p>
      <w:pPr>
        <w:pStyle w:val="BodyText"/>
        <w:spacing w:before="1"/>
        <w:ind w:left="679" w:right="967"/>
      </w:pPr>
      <w:r>
        <w:rPr/>
        <w:t>Due to the sustained pressures, EMAS continue to utilise their Capacity Management Plan (CMP), designed to ensure that at times of significant and potentially sustained pressure, the limited resources available are prioritised for the most clinically urgent cases. The CMP has four levels from one (normal operating) to 4 (extreme pressure). Actions designed to increase capacity, reduce demand, and reduce clinical risk are put in place when the triggers for each level have been reached.</w:t>
      </w:r>
    </w:p>
    <w:p>
      <w:pPr>
        <w:pStyle w:val="BodyText"/>
        <w:spacing w:before="9"/>
        <w:rPr>
          <w:sz w:val="21"/>
        </w:rPr>
      </w:pPr>
    </w:p>
    <w:p>
      <w:pPr>
        <w:pStyle w:val="BodyText"/>
        <w:ind w:left="680" w:right="770"/>
      </w:pPr>
      <w:r>
        <w:rPr/>
        <w:t>EMAS continue with their monthly harm review process to identify if there have been any instances of actual or potential harm. This is reported monthly through the CCG forums and additional quality oversight and improvement forums have been established during recent months. Across Northern Lincolnshire there is an EMAS improvement plan in place that links directly into the System Improvement Group. In addition to this, a specific action plan relating to reducing ambulance handover delays has been developed in April 2022, in response to the increase in the system pressures. These action plans will continue to be monitored and additional actions included as part of the current system oversight and improvement structures.</w:t>
      </w:r>
    </w:p>
    <w:p>
      <w:pPr>
        <w:pStyle w:val="BodyText"/>
      </w:pPr>
    </w:p>
    <w:p>
      <w:pPr>
        <w:pStyle w:val="BodyText"/>
        <w:ind w:left="679" w:right="857"/>
      </w:pPr>
      <w:r>
        <w:rPr/>
        <w:t>There has been recent re-engagement between EMAS and NLaG specifically in relation to the Same Day Emergency Care (SDEC) pathways to support non conveyance to ED where appropriate. A joint piece of work has also commenced, analysing EMAS pathways to promote any learning and provide ongoing support of the direct referral opportunities.</w:t>
      </w:r>
    </w:p>
    <w:p>
      <w:pPr>
        <w:pStyle w:val="BodyText"/>
        <w:rPr>
          <w:sz w:val="24"/>
        </w:rPr>
      </w:pPr>
    </w:p>
    <w:p>
      <w:pPr>
        <w:pStyle w:val="BodyText"/>
        <w:spacing w:before="177"/>
        <w:ind w:left="680" w:right="832"/>
      </w:pPr>
      <w:r>
        <w:rPr/>
        <w:t>The CCG continues to work closely with the Trust and partners to improve EMAS performance in North Lincolnshire. It reviews the quality impact of performance challenges through the contract management process and via quality monitoring initiatives, including clinical site visits,</w:t>
      </w:r>
    </w:p>
    <w:p>
      <w:pPr>
        <w:spacing w:after="0"/>
        <w:sectPr>
          <w:pgSz w:w="11920" w:h="16850"/>
          <w:pgMar w:header="0" w:footer="363" w:top="1320" w:bottom="640" w:left="760" w:right="420"/>
        </w:sectPr>
      </w:pPr>
    </w:p>
    <w:p>
      <w:pPr>
        <w:pStyle w:val="BodyText"/>
        <w:spacing w:before="81"/>
        <w:ind w:left="680" w:right="954"/>
      </w:pPr>
      <w:r>
        <w:rPr/>
        <w:t>thematic reviews of quality data (including incidents, complaints, and concerns) and the development of a joint EMAS improvement plan with partners. Key findings from these quality monitoring initiatives are included in the integrated Quality Performance and Finance Report, which is submitted to the Governing Body Meeting.</w:t>
      </w:r>
    </w:p>
    <w:p>
      <w:pPr>
        <w:pStyle w:val="BodyText"/>
        <w:rPr>
          <w:sz w:val="24"/>
        </w:rPr>
      </w:pPr>
    </w:p>
    <w:p>
      <w:pPr>
        <w:pStyle w:val="Heading4"/>
        <w:spacing w:before="174"/>
      </w:pPr>
      <w:bookmarkStart w:name="Dementia" w:id="90"/>
      <w:bookmarkEnd w:id="90"/>
      <w:r>
        <w:rPr>
          <w:b w:val="0"/>
        </w:rPr>
      </w:r>
      <w:r>
        <w:rPr>
          <w:color w:val="4F81BB"/>
        </w:rPr>
        <w:t>Dementia</w:t>
      </w:r>
    </w:p>
    <w:p>
      <w:pPr>
        <w:pStyle w:val="BodyText"/>
        <w:rPr>
          <w:b/>
          <w:sz w:val="26"/>
        </w:rPr>
      </w:pPr>
    </w:p>
    <w:p>
      <w:pPr>
        <w:pStyle w:val="BodyText"/>
        <w:spacing w:before="154"/>
        <w:ind w:left="680" w:right="941"/>
      </w:pPr>
      <w:r>
        <w:rPr/>
        <w:t>The CCG’s position in relation to percentage of dementia diagnosis rates is underachieving at 51.5% in March 2022 against the target of 66.7%.</w:t>
      </w:r>
    </w:p>
    <w:p>
      <w:pPr>
        <w:pStyle w:val="BodyText"/>
        <w:spacing w:before="11"/>
        <w:rPr>
          <w:sz w:val="21"/>
        </w:rPr>
      </w:pPr>
    </w:p>
    <w:p>
      <w:pPr>
        <w:pStyle w:val="BodyText"/>
        <w:ind w:left="679" w:right="820" w:hanging="3"/>
      </w:pPr>
      <w:r>
        <w:rPr/>
        <w:t>Performance against the 18-week referral to treatment target for dementia diagnosis has been maintained. Dementia diagnosis rates are shared with PCNs monthly and pathway discussions continue between primary and secondary care to address and challenges and the associated performance. A clinical workshop to consider pathway redesign is also in the process of being arranged.</w:t>
      </w:r>
    </w:p>
    <w:p>
      <w:pPr>
        <w:pStyle w:val="BodyText"/>
        <w:rPr>
          <w:sz w:val="33"/>
        </w:rPr>
      </w:pPr>
    </w:p>
    <w:p>
      <w:pPr>
        <w:pStyle w:val="Heading4"/>
      </w:pPr>
      <w:bookmarkStart w:name="Increasing Access to Psychological Thera" w:id="91"/>
      <w:bookmarkEnd w:id="91"/>
      <w:r>
        <w:rPr>
          <w:b w:val="0"/>
        </w:rPr>
      </w:r>
      <w:r>
        <w:rPr>
          <w:color w:val="4F81BB"/>
        </w:rPr>
        <w:t>Increasing Access to Psychological Therapies (IAPT)</w:t>
      </w:r>
    </w:p>
    <w:p>
      <w:pPr>
        <w:pStyle w:val="BodyText"/>
        <w:spacing w:before="11"/>
        <w:rPr>
          <w:b/>
          <w:sz w:val="32"/>
        </w:rPr>
      </w:pPr>
    </w:p>
    <w:p>
      <w:pPr>
        <w:pStyle w:val="BodyText"/>
        <w:ind w:left="680"/>
      </w:pPr>
      <w:r>
        <w:rPr/>
        <w:t>The CCG failed to achieve the required level of performance in the following IAPT standards:</w:t>
      </w:r>
    </w:p>
    <w:p>
      <w:pPr>
        <w:pStyle w:val="BodyText"/>
      </w:pPr>
    </w:p>
    <w:p>
      <w:pPr>
        <w:pStyle w:val="ListParagraph"/>
        <w:numPr>
          <w:ilvl w:val="0"/>
          <w:numId w:val="3"/>
        </w:numPr>
        <w:tabs>
          <w:tab w:pos="1399" w:val="left" w:leader="none"/>
          <w:tab w:pos="1400" w:val="left" w:leader="none"/>
        </w:tabs>
        <w:spacing w:line="240" w:lineRule="auto" w:before="0" w:after="0"/>
        <w:ind w:left="679" w:right="1036" w:firstLine="0"/>
        <w:jc w:val="left"/>
        <w:rPr>
          <w:sz w:val="22"/>
        </w:rPr>
      </w:pPr>
      <w:r>
        <w:rPr>
          <w:sz w:val="22"/>
        </w:rPr>
        <w:t>The percentage of people who have depression and/or anxiety disorders who receive psychological therapies achieving 1.9% against the 2.5%</w:t>
      </w:r>
      <w:r>
        <w:rPr>
          <w:spacing w:val="-15"/>
          <w:sz w:val="22"/>
        </w:rPr>
        <w:t> </w:t>
      </w:r>
      <w:r>
        <w:rPr>
          <w:sz w:val="22"/>
        </w:rPr>
        <w:t>standard</w:t>
      </w:r>
    </w:p>
    <w:p>
      <w:pPr>
        <w:pStyle w:val="BodyText"/>
        <w:spacing w:before="11"/>
        <w:rPr>
          <w:sz w:val="21"/>
        </w:rPr>
      </w:pPr>
    </w:p>
    <w:p>
      <w:pPr>
        <w:pStyle w:val="BodyText"/>
        <w:ind w:left="680" w:right="745"/>
      </w:pPr>
      <w:r>
        <w:rPr/>
        <w:t>A deep dive of IAPT services has been undertaken by RDaSH and the findings have been discussed through the quality monitoring forums. Staffing vacancies are a challenge and are impacting on performance. A local staffing trajectory has therefore been developed based on three staffing scenarios. At this stage of planning no further investment plans have been agreed but this will be considered as part of the wider ICB financial planning requirements.</w:t>
      </w:r>
    </w:p>
    <w:p>
      <w:pPr>
        <w:pStyle w:val="BodyText"/>
        <w:spacing w:before="1"/>
      </w:pPr>
    </w:p>
    <w:p>
      <w:pPr>
        <w:pStyle w:val="BodyText"/>
        <w:ind w:left="679" w:right="1101"/>
      </w:pPr>
      <w:r>
        <w:rPr/>
        <w:t>Workforce challenges remain an area of concern for the North Lincolnshire inpatient setting, both in terms of recruitment and availability (staff sickness and isolation). This remains an extreme risk on the RDaSH risk register. There has been ongoing recruitment for both the inpatient units and the Section 136 suite with some vacancies successfully appointed to and inductions being commenced. Oversight continues at the monthly quality forum between RDaSH and NLCCG.</w:t>
      </w:r>
    </w:p>
    <w:p>
      <w:pPr>
        <w:pStyle w:val="BodyText"/>
        <w:spacing w:before="1"/>
      </w:pPr>
    </w:p>
    <w:p>
      <w:pPr>
        <w:pStyle w:val="Heading4"/>
      </w:pPr>
      <w:bookmarkStart w:name="Current performance positions" w:id="92"/>
      <w:bookmarkEnd w:id="92"/>
      <w:r>
        <w:rPr>
          <w:b w:val="0"/>
        </w:rPr>
      </w:r>
      <w:r>
        <w:rPr>
          <w:color w:val="4F81BB"/>
        </w:rPr>
        <w:t>Current performance positions</w:t>
      </w:r>
    </w:p>
    <w:p>
      <w:pPr>
        <w:pStyle w:val="BodyText"/>
        <w:spacing w:before="11"/>
        <w:rPr>
          <w:b/>
          <w:sz w:val="32"/>
        </w:rPr>
      </w:pPr>
    </w:p>
    <w:p>
      <w:pPr>
        <w:pStyle w:val="BodyText"/>
        <w:ind w:left="680" w:right="1002"/>
      </w:pPr>
      <w:r>
        <w:rPr/>
        <w:t>Detailed in the following are the current performance positions against the CCG’s operational and constitutional targets, which form part of the reporting framework to its Governing Body.</w:t>
      </w:r>
    </w:p>
    <w:p>
      <w:pPr>
        <w:pStyle w:val="BodyText"/>
        <w:spacing w:before="11"/>
        <w:rPr>
          <w:sz w:val="21"/>
        </w:rPr>
      </w:pPr>
    </w:p>
    <w:p>
      <w:pPr>
        <w:pStyle w:val="BodyText"/>
        <w:ind w:left="680" w:right="967"/>
      </w:pPr>
      <w:r>
        <w:rPr/>
        <w:t>Most are monitored monthly by the CCG’s performance and quality teams and form part of its Integrated Governance Report (IGR). Deviation and off-track performance is reported and monitored as part of the Report, which is received monthly by the Quality, Performance and Finance Committee (QPF) and Governing Body.</w:t>
      </w:r>
    </w:p>
    <w:p>
      <w:pPr>
        <w:spacing w:after="0"/>
        <w:sectPr>
          <w:pgSz w:w="11920" w:h="16850"/>
          <w:pgMar w:header="0" w:footer="363" w:top="1320" w:bottom="640" w:left="760" w:right="420"/>
        </w:sectPr>
      </w:pPr>
    </w:p>
    <w:p>
      <w:pPr>
        <w:pStyle w:val="BodyText"/>
        <w:ind w:left="680"/>
        <w:rPr>
          <w:sz w:val="20"/>
        </w:rPr>
      </w:pPr>
      <w:r>
        <w:rPr>
          <w:sz w:val="20"/>
        </w:rPr>
        <w:drawing>
          <wp:inline distT="0" distB="0" distL="0" distR="0">
            <wp:extent cx="5641204" cy="5640705"/>
            <wp:effectExtent l="0" t="0" r="0" b="0"/>
            <wp:docPr id="11" name="image6.png" descr="Calendar  Description automatically generated with medium confidence"/>
            <wp:cNvGraphicFramePr>
              <a:graphicFrameLocks noChangeAspect="1"/>
            </wp:cNvGraphicFramePr>
            <a:graphic>
              <a:graphicData uri="http://schemas.openxmlformats.org/drawingml/2006/picture">
                <pic:pic>
                  <pic:nvPicPr>
                    <pic:cNvPr id="12" name="image6.png"/>
                    <pic:cNvPicPr/>
                  </pic:nvPicPr>
                  <pic:blipFill>
                    <a:blip r:embed="rId24" cstate="print"/>
                    <a:stretch>
                      <a:fillRect/>
                    </a:stretch>
                  </pic:blipFill>
                  <pic:spPr>
                    <a:xfrm>
                      <a:off x="0" y="0"/>
                      <a:ext cx="5641204" cy="5640705"/>
                    </a:xfrm>
                    <a:prstGeom prst="rect">
                      <a:avLst/>
                    </a:prstGeom>
                  </pic:spPr>
                </pic:pic>
              </a:graphicData>
            </a:graphic>
          </wp:inline>
        </w:drawing>
      </w:r>
      <w:r>
        <w:rPr>
          <w:sz w:val="20"/>
        </w:rPr>
      </w:r>
    </w:p>
    <w:p>
      <w:pPr>
        <w:spacing w:after="0"/>
        <w:rPr>
          <w:sz w:val="20"/>
        </w:rPr>
        <w:sectPr>
          <w:pgSz w:w="11920" w:h="16850"/>
          <w:pgMar w:header="0" w:footer="363" w:top="1400" w:bottom="560" w:left="760" w:right="420"/>
        </w:sectPr>
      </w:pPr>
    </w:p>
    <w:p>
      <w:pPr>
        <w:pStyle w:val="Heading3"/>
      </w:pPr>
      <w:bookmarkStart w:name="Sustainable Development" w:id="93"/>
      <w:bookmarkEnd w:id="93"/>
      <w:r>
        <w:rPr>
          <w:b w:val="0"/>
        </w:rPr>
      </w:r>
      <w:bookmarkStart w:name="_bookmark15" w:id="94"/>
      <w:bookmarkEnd w:id="94"/>
      <w:r>
        <w:rPr>
          <w:b w:val="0"/>
        </w:rPr>
      </w:r>
      <w:r>
        <w:rPr>
          <w:color w:val="4F81BB"/>
        </w:rPr>
        <w:t>Sustainable Development</w:t>
      </w:r>
    </w:p>
    <w:p>
      <w:pPr>
        <w:pStyle w:val="BodyText"/>
        <w:spacing w:before="11"/>
        <w:rPr>
          <w:b/>
          <w:sz w:val="34"/>
        </w:rPr>
      </w:pPr>
    </w:p>
    <w:p>
      <w:pPr>
        <w:pStyle w:val="Heading4"/>
      </w:pPr>
      <w:bookmarkStart w:name="Introduction" w:id="95"/>
      <w:bookmarkEnd w:id="95"/>
      <w:r>
        <w:rPr>
          <w:b w:val="0"/>
        </w:rPr>
      </w:r>
      <w:r>
        <w:rPr>
          <w:color w:val="4F81BB"/>
        </w:rPr>
        <w:t>Introduction</w:t>
      </w:r>
    </w:p>
    <w:p>
      <w:pPr>
        <w:pStyle w:val="BodyText"/>
        <w:spacing w:before="1"/>
        <w:rPr>
          <w:b/>
        </w:rPr>
      </w:pPr>
    </w:p>
    <w:p>
      <w:pPr>
        <w:pStyle w:val="BodyText"/>
        <w:ind w:left="680" w:right="929"/>
      </w:pPr>
      <w:r>
        <w:rPr/>
        <w:t>NHS North Lincolnshire Clinical Commissioning Group is committed to shaping and commissioning health services that are environmentally appropriate, meet the health needs of the local population and are financially sustainable.</w:t>
      </w:r>
    </w:p>
    <w:p>
      <w:pPr>
        <w:pStyle w:val="BodyText"/>
        <w:spacing w:before="10"/>
        <w:rPr>
          <w:sz w:val="21"/>
        </w:rPr>
      </w:pPr>
    </w:p>
    <w:p>
      <w:pPr>
        <w:pStyle w:val="BodyText"/>
        <w:ind w:left="679" w:right="735"/>
      </w:pPr>
      <w:r>
        <w:rPr/>
        <w:t>Sustainability is about the effective use of natural resources and behaving in a way that manages and minimises the impact we have on our environment. It requires us to pay particular attention to travel, facilities management and procurement. As a commissioner of healthcare services and as an employer, we recognise the need to minimise our impact on the environment.</w:t>
      </w:r>
    </w:p>
    <w:p>
      <w:pPr>
        <w:pStyle w:val="BodyText"/>
        <w:spacing w:before="1"/>
      </w:pPr>
    </w:p>
    <w:p>
      <w:pPr>
        <w:pStyle w:val="BodyText"/>
        <w:ind w:left="680" w:right="807" w:hanging="1"/>
      </w:pPr>
      <w:r>
        <w:rPr/>
        <w:t>During 2021-22 and still under the influence of the Covid-19 pandemic the CCG continued with its agile working strategy, which gave staff the option to work from home full time or if required access to the building. The building continued to remain open to those staff that chose to come to work for whatever reason; this mirrored the previous year in the way of usage of utilities over the reporting period.</w:t>
      </w:r>
    </w:p>
    <w:p>
      <w:pPr>
        <w:pStyle w:val="BodyText"/>
        <w:rPr>
          <w:sz w:val="24"/>
        </w:rPr>
      </w:pPr>
    </w:p>
    <w:p>
      <w:pPr>
        <w:pStyle w:val="BodyText"/>
        <w:spacing w:before="3"/>
        <w:rPr>
          <w:sz w:val="20"/>
        </w:rPr>
      </w:pPr>
    </w:p>
    <w:p>
      <w:pPr>
        <w:pStyle w:val="Heading4"/>
        <w:spacing w:before="1"/>
      </w:pPr>
      <w:bookmarkStart w:name="Governance" w:id="96"/>
      <w:bookmarkEnd w:id="96"/>
      <w:r>
        <w:rPr>
          <w:b w:val="0"/>
        </w:rPr>
      </w:r>
      <w:r>
        <w:rPr>
          <w:color w:val="4F81BB"/>
        </w:rPr>
        <w:t>Governance</w:t>
      </w:r>
    </w:p>
    <w:p>
      <w:pPr>
        <w:pStyle w:val="BodyText"/>
        <w:spacing w:before="10"/>
        <w:rPr>
          <w:b/>
          <w:sz w:val="23"/>
        </w:rPr>
      </w:pPr>
    </w:p>
    <w:p>
      <w:pPr>
        <w:pStyle w:val="BodyText"/>
        <w:spacing w:before="1"/>
        <w:ind w:left="680" w:right="1088"/>
      </w:pPr>
      <w:r>
        <w:rPr/>
        <w:t>The CCG continued to use the Sustainability Impact Assessment (SIA) template, as this enabled the CCG to assess and anticipate the likely sustainability implications of all policies, strategies or service design/redesign. The template is embedded within the organisation’s corporate templates that support decision making functions.</w:t>
      </w:r>
    </w:p>
    <w:p>
      <w:pPr>
        <w:pStyle w:val="BodyText"/>
        <w:rPr>
          <w:sz w:val="24"/>
        </w:rPr>
      </w:pPr>
    </w:p>
    <w:p>
      <w:pPr>
        <w:pStyle w:val="BodyText"/>
      </w:pPr>
    </w:p>
    <w:p>
      <w:pPr>
        <w:pStyle w:val="Heading4"/>
      </w:pPr>
      <w:bookmarkStart w:name="Travel" w:id="97"/>
      <w:bookmarkEnd w:id="97"/>
      <w:r>
        <w:rPr>
          <w:b w:val="0"/>
        </w:rPr>
      </w:r>
      <w:r>
        <w:rPr>
          <w:color w:val="4F81BB"/>
        </w:rPr>
        <w:t>Travel</w:t>
      </w:r>
    </w:p>
    <w:p>
      <w:pPr>
        <w:pStyle w:val="BodyText"/>
        <w:spacing w:before="11"/>
        <w:rPr>
          <w:b/>
          <w:sz w:val="23"/>
        </w:rPr>
      </w:pPr>
    </w:p>
    <w:p>
      <w:pPr>
        <w:pStyle w:val="BodyText"/>
        <w:ind w:left="680" w:right="741"/>
      </w:pPr>
      <w:r>
        <w:rPr/>
        <w:t>Due to Covid-19 travel was kept to an absolute minimum and therefore our carbon footprint was significantly reduced for a second year. Use of Microsoft Teams continued to enable business to carry on as normal without the requirement for travel. This has been another year of savings for the</w:t>
      </w:r>
      <w:r>
        <w:rPr>
          <w:spacing w:val="-6"/>
        </w:rPr>
        <w:t> </w:t>
      </w:r>
      <w:r>
        <w:rPr/>
        <w:t>CCG.</w:t>
      </w:r>
    </w:p>
    <w:p>
      <w:pPr>
        <w:pStyle w:val="BodyText"/>
        <w:rPr>
          <w:sz w:val="24"/>
        </w:rPr>
      </w:pPr>
    </w:p>
    <w:p>
      <w:pPr>
        <w:pStyle w:val="BodyText"/>
        <w:spacing w:before="10"/>
        <w:rPr>
          <w:sz w:val="23"/>
        </w:rPr>
      </w:pPr>
    </w:p>
    <w:p>
      <w:pPr>
        <w:pStyle w:val="Heading4"/>
        <w:spacing w:before="1"/>
      </w:pPr>
      <w:bookmarkStart w:name="Facilities management" w:id="98"/>
      <w:bookmarkEnd w:id="98"/>
      <w:r>
        <w:rPr>
          <w:b w:val="0"/>
        </w:rPr>
      </w:r>
      <w:r>
        <w:rPr>
          <w:color w:val="4F81BB"/>
        </w:rPr>
        <w:t>Facilities management</w:t>
      </w:r>
    </w:p>
    <w:p>
      <w:pPr>
        <w:pStyle w:val="BodyText"/>
        <w:spacing w:before="11"/>
        <w:rPr>
          <w:b/>
          <w:sz w:val="23"/>
        </w:rPr>
      </w:pPr>
    </w:p>
    <w:p>
      <w:pPr>
        <w:pStyle w:val="BodyText"/>
        <w:ind w:left="680" w:right="808"/>
      </w:pPr>
      <w:r>
        <w:rPr/>
        <w:t>NHS Property Services Limited (NHS PS) manages the building from which the CCG operates. We have a lease/rental agreement with NHS PS and all utility bills are shared on a proportionate basis across the building’s occupants.</w:t>
      </w:r>
    </w:p>
    <w:p>
      <w:pPr>
        <w:spacing w:after="0"/>
        <w:sectPr>
          <w:pgSz w:w="11920" w:h="16850"/>
          <w:pgMar w:header="0" w:footer="363" w:top="1320" w:bottom="560" w:left="760" w:right="420"/>
        </w:sectPr>
      </w:pPr>
    </w:p>
    <w:p>
      <w:pPr>
        <w:pStyle w:val="Heading1"/>
        <w:spacing w:line="276" w:lineRule="auto"/>
        <w:ind w:right="3640"/>
      </w:pPr>
      <w:bookmarkStart w:name="ACCOUNTABILITY REPORT" w:id="99"/>
      <w:bookmarkEnd w:id="99"/>
      <w:r>
        <w:rPr>
          <w:b w:val="0"/>
        </w:rPr>
      </w:r>
      <w:bookmarkStart w:name="_bookmark16" w:id="100"/>
      <w:bookmarkEnd w:id="100"/>
      <w:r>
        <w:rPr>
          <w:b w:val="0"/>
        </w:rPr>
      </w:r>
      <w:r>
        <w:rPr/>
        <w:t>ACCOUNTABILITY REPORT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rPr>
      </w:pPr>
      <w:r>
        <w:rPr/>
        <w:drawing>
          <wp:anchor distT="0" distB="0" distL="0" distR="0" allowOverlap="1" layoutInCell="1" locked="0" behindDoc="0" simplePos="0" relativeHeight="5">
            <wp:simplePos x="0" y="0"/>
            <wp:positionH relativeFrom="page">
              <wp:posOffset>914312</wp:posOffset>
            </wp:positionH>
            <wp:positionV relativeFrom="paragraph">
              <wp:posOffset>189555</wp:posOffset>
            </wp:positionV>
            <wp:extent cx="1518118" cy="381000"/>
            <wp:effectExtent l="0" t="0" r="0" b="0"/>
            <wp:wrapTopAndBottom/>
            <wp:docPr id="13" name="image4.png" descr="cid:image001.jpg@01D23C15.E085F1A0"/>
            <wp:cNvGraphicFramePr>
              <a:graphicFrameLocks noChangeAspect="1"/>
            </wp:cNvGraphicFramePr>
            <a:graphic>
              <a:graphicData uri="http://schemas.openxmlformats.org/drawingml/2006/picture">
                <pic:pic>
                  <pic:nvPicPr>
                    <pic:cNvPr id="14" name="image4.png"/>
                    <pic:cNvPicPr/>
                  </pic:nvPicPr>
                  <pic:blipFill>
                    <a:blip r:embed="rId12" cstate="print"/>
                    <a:stretch>
                      <a:fillRect/>
                    </a:stretch>
                  </pic:blipFill>
                  <pic:spPr>
                    <a:xfrm>
                      <a:off x="0" y="0"/>
                      <a:ext cx="1518118" cy="381000"/>
                    </a:xfrm>
                    <a:prstGeom prst="rect">
                      <a:avLst/>
                    </a:prstGeom>
                  </pic:spPr>
                </pic:pic>
              </a:graphicData>
            </a:graphic>
          </wp:anchor>
        </w:drawing>
      </w:r>
    </w:p>
    <w:p>
      <w:pPr>
        <w:spacing w:line="535" w:lineRule="auto" w:before="508"/>
        <w:ind w:left="680" w:right="7945" w:firstLine="0"/>
        <w:jc w:val="left"/>
        <w:rPr>
          <w:sz w:val="24"/>
        </w:rPr>
      </w:pPr>
      <w:r>
        <w:rPr>
          <w:b/>
          <w:sz w:val="24"/>
        </w:rPr>
        <w:t>Emma Latimer </w:t>
      </w:r>
      <w:r>
        <w:rPr>
          <w:sz w:val="24"/>
        </w:rPr>
        <w:t>Accountable Officer 20 June 2022</w:t>
      </w:r>
    </w:p>
    <w:p>
      <w:pPr>
        <w:spacing w:after="0" w:line="535" w:lineRule="auto"/>
        <w:jc w:val="left"/>
        <w:rPr>
          <w:sz w:val="24"/>
        </w:rPr>
        <w:sectPr>
          <w:pgSz w:w="11920" w:h="16850"/>
          <w:pgMar w:header="0" w:footer="363" w:top="1340" w:bottom="640" w:left="760" w:right="420"/>
        </w:sectPr>
      </w:pPr>
    </w:p>
    <w:p>
      <w:pPr>
        <w:pStyle w:val="Heading3"/>
      </w:pPr>
      <w:bookmarkStart w:name="Corporate Governance Report" w:id="101"/>
      <w:bookmarkEnd w:id="101"/>
      <w:r>
        <w:rPr>
          <w:b w:val="0"/>
        </w:rPr>
      </w:r>
      <w:bookmarkStart w:name="_bookmark17" w:id="102"/>
      <w:bookmarkEnd w:id="102"/>
      <w:r>
        <w:rPr>
          <w:b w:val="0"/>
        </w:rPr>
      </w:r>
      <w:r>
        <w:rPr>
          <w:color w:val="4F81BA"/>
        </w:rPr>
        <w:t>Corporate Governance Report</w:t>
      </w:r>
    </w:p>
    <w:p>
      <w:pPr>
        <w:pStyle w:val="Heading4"/>
        <w:spacing w:before="251"/>
      </w:pPr>
      <w:bookmarkStart w:name="North Lincolnshire CCG Members’ Report" w:id="103"/>
      <w:bookmarkEnd w:id="103"/>
      <w:r>
        <w:rPr>
          <w:b w:val="0"/>
        </w:rPr>
      </w:r>
      <w:r>
        <w:rPr>
          <w:color w:val="4F81BA"/>
        </w:rPr>
        <w:t>North Lincolnshire CCG Members’ Report</w:t>
      </w:r>
    </w:p>
    <w:p>
      <w:pPr>
        <w:pStyle w:val="BodyText"/>
        <w:spacing w:before="10"/>
        <w:rPr>
          <w:b/>
          <w:sz w:val="26"/>
        </w:rPr>
      </w:pPr>
    </w:p>
    <w:p>
      <w:pPr>
        <w:pStyle w:val="BodyText"/>
        <w:ind w:left="680" w:right="1272"/>
      </w:pPr>
      <w:r>
        <w:rPr/>
        <w:t>The Members’ Report contains details of our CCG member practices, our Governing Body membership, membership of the Integrated Audit and Governance Committee and where people can find Governing Body member profiles and the register of interests.</w:t>
      </w:r>
    </w:p>
    <w:p>
      <w:pPr>
        <w:pStyle w:val="BodyText"/>
        <w:rPr>
          <w:sz w:val="24"/>
        </w:rPr>
      </w:pPr>
    </w:p>
    <w:p>
      <w:pPr>
        <w:pStyle w:val="Heading4"/>
        <w:spacing w:before="178"/>
      </w:pPr>
      <w:bookmarkStart w:name="Our CCG membership" w:id="104"/>
      <w:bookmarkEnd w:id="104"/>
      <w:r>
        <w:rPr>
          <w:b w:val="0"/>
        </w:rPr>
      </w:r>
      <w:r>
        <w:rPr>
          <w:color w:val="4F81BB"/>
        </w:rPr>
        <w:t>Our CCG membership</w:t>
      </w:r>
    </w:p>
    <w:p>
      <w:pPr>
        <w:pStyle w:val="BodyText"/>
        <w:spacing w:line="242" w:lineRule="auto" w:before="198"/>
        <w:ind w:left="680" w:right="1234"/>
      </w:pPr>
      <w:r>
        <w:rPr/>
        <w:t>NHS North Lincolnshire CCG is a clinically led organisation that brings together local GP practices and other health professionals to plan and design services to meet local patients’ needs. Our GP practices serve a population of around 183,500 people.</w:t>
      </w:r>
    </w:p>
    <w:p>
      <w:pPr>
        <w:pStyle w:val="BodyText"/>
        <w:spacing w:before="194"/>
        <w:ind w:left="680"/>
      </w:pPr>
      <w:r>
        <w:rPr/>
        <w:t>The CCG has 19 member practices – including a number of branch surgeries.</w:t>
      </w:r>
    </w:p>
    <w:p>
      <w:pPr>
        <w:pStyle w:val="BodyText"/>
        <w:rPr>
          <w:sz w:val="24"/>
        </w:rPr>
      </w:pPr>
    </w:p>
    <w:p>
      <w:pPr>
        <w:pStyle w:val="Heading4"/>
        <w:spacing w:before="177"/>
      </w:pPr>
      <w:bookmarkStart w:name="Member practices 2021-22" w:id="105"/>
      <w:bookmarkEnd w:id="105"/>
      <w:r>
        <w:rPr>
          <w:b w:val="0"/>
        </w:rPr>
      </w:r>
      <w:r>
        <w:rPr>
          <w:color w:val="4F81BB"/>
        </w:rPr>
        <w:t>Member practices 2021-22</w:t>
      </w:r>
    </w:p>
    <w:p>
      <w:pPr>
        <w:pStyle w:val="BodyText"/>
        <w:spacing w:before="43"/>
        <w:ind w:left="680"/>
      </w:pPr>
      <w:r>
        <w:rPr>
          <w:color w:val="222222"/>
        </w:rPr>
        <w:t>Practice name sites and PCNs from which services are delivered.</w:t>
      </w:r>
    </w:p>
    <w:p>
      <w:pPr>
        <w:pStyle w:val="BodyText"/>
        <w:rPr>
          <w:sz w:val="20"/>
        </w:rPr>
      </w:pPr>
    </w:p>
    <w:p>
      <w:pPr>
        <w:pStyle w:val="BodyText"/>
        <w:spacing w:before="5"/>
      </w:pPr>
    </w:p>
    <w:tbl>
      <w:tblPr>
        <w:tblW w:w="0" w:type="auto"/>
        <w:jc w:val="left"/>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26"/>
      </w:tblGrid>
      <w:tr>
        <w:trPr>
          <w:trHeight w:val="249" w:hRule="atLeast"/>
        </w:trPr>
        <w:tc>
          <w:tcPr>
            <w:tcW w:w="8926" w:type="dxa"/>
            <w:shd w:val="clear" w:color="auto" w:fill="B8CCE2"/>
          </w:tcPr>
          <w:p>
            <w:pPr>
              <w:pStyle w:val="TableParagraph"/>
              <w:spacing w:line="229" w:lineRule="exact"/>
              <w:ind w:left="110"/>
              <w:rPr>
                <w:b/>
                <w:sz w:val="22"/>
              </w:rPr>
            </w:pPr>
            <w:r>
              <w:rPr>
                <w:b/>
                <w:sz w:val="22"/>
              </w:rPr>
              <w:t>North Primary Care Network</w:t>
            </w:r>
          </w:p>
        </w:tc>
      </w:tr>
      <w:tr>
        <w:trPr>
          <w:trHeight w:val="765" w:hRule="atLeast"/>
        </w:trPr>
        <w:tc>
          <w:tcPr>
            <w:tcW w:w="8926" w:type="dxa"/>
          </w:tcPr>
          <w:p>
            <w:pPr>
              <w:pStyle w:val="TableParagraph"/>
              <w:spacing w:line="252" w:lineRule="exact" w:before="9"/>
              <w:ind w:left="110" w:right="2659"/>
              <w:rPr>
                <w:sz w:val="22"/>
              </w:rPr>
            </w:pPr>
            <w:r>
              <w:rPr>
                <w:color w:val="222222"/>
                <w:sz w:val="22"/>
              </w:rPr>
              <w:t>Central Surgery, King Street, Barton Upon Humber, DN18 5ER Winterton Surgery, Manlake Avenue, Winterton, DN15 9TA Bridge Street Surgery, Brigg, North Lincs, DN20</w:t>
            </w:r>
          </w:p>
        </w:tc>
      </w:tr>
      <w:tr>
        <w:trPr>
          <w:trHeight w:val="246" w:hRule="atLeast"/>
        </w:trPr>
        <w:tc>
          <w:tcPr>
            <w:tcW w:w="8926" w:type="dxa"/>
            <w:shd w:val="clear" w:color="auto" w:fill="D24667"/>
          </w:tcPr>
          <w:p>
            <w:pPr>
              <w:pStyle w:val="TableParagraph"/>
              <w:spacing w:line="227" w:lineRule="exact"/>
              <w:ind w:left="110"/>
              <w:rPr>
                <w:b/>
                <w:sz w:val="22"/>
              </w:rPr>
            </w:pPr>
            <w:r>
              <w:rPr>
                <w:b/>
                <w:sz w:val="22"/>
              </w:rPr>
              <w:t>East Primary Care Network</w:t>
            </w:r>
          </w:p>
        </w:tc>
      </w:tr>
      <w:tr>
        <w:trPr>
          <w:trHeight w:val="1269" w:hRule="atLeast"/>
        </w:trPr>
        <w:tc>
          <w:tcPr>
            <w:tcW w:w="8926" w:type="dxa"/>
          </w:tcPr>
          <w:p>
            <w:pPr>
              <w:pStyle w:val="TableParagraph"/>
              <w:ind w:left="110" w:right="3246"/>
              <w:rPr>
                <w:sz w:val="22"/>
              </w:rPr>
            </w:pPr>
            <w:r>
              <w:rPr>
                <w:color w:val="222222"/>
                <w:sz w:val="22"/>
              </w:rPr>
              <w:t>Riverside Surgery, Barnard Avenue, Brigg, DN20 8AS The Killingholme Surgery, South Killingholme, DN40 3EL West Town Surgery, Barton Upon Humber, DN18 5PU</w:t>
            </w:r>
          </w:p>
          <w:p>
            <w:pPr>
              <w:pStyle w:val="TableParagraph"/>
              <w:spacing w:line="252" w:lineRule="exact" w:before="6"/>
              <w:ind w:left="110" w:right="2525"/>
              <w:rPr>
                <w:sz w:val="22"/>
              </w:rPr>
            </w:pPr>
            <w:r>
              <w:rPr>
                <w:color w:val="222222"/>
                <w:sz w:val="22"/>
              </w:rPr>
              <w:t>Trent View Medical Practice, 45 Trent View, Keadby, DN17 3DR The Medical Centre, Victoria Road, Barnetby, , DN38 6HZ</w:t>
            </w:r>
          </w:p>
        </w:tc>
      </w:tr>
      <w:tr>
        <w:trPr>
          <w:trHeight w:val="249" w:hRule="atLeast"/>
        </w:trPr>
        <w:tc>
          <w:tcPr>
            <w:tcW w:w="8926" w:type="dxa"/>
            <w:shd w:val="clear" w:color="auto" w:fill="F79446"/>
          </w:tcPr>
          <w:p>
            <w:pPr>
              <w:pStyle w:val="TableParagraph"/>
              <w:spacing w:line="229" w:lineRule="exact"/>
              <w:ind w:left="110"/>
              <w:rPr>
                <w:b/>
                <w:sz w:val="22"/>
              </w:rPr>
            </w:pPr>
            <w:r>
              <w:rPr>
                <w:b/>
                <w:sz w:val="22"/>
              </w:rPr>
              <w:t>South Primary Care Network</w:t>
            </w:r>
          </w:p>
        </w:tc>
      </w:tr>
      <w:tr>
        <w:trPr>
          <w:trHeight w:val="1518" w:hRule="atLeast"/>
        </w:trPr>
        <w:tc>
          <w:tcPr>
            <w:tcW w:w="8926" w:type="dxa"/>
          </w:tcPr>
          <w:p>
            <w:pPr>
              <w:pStyle w:val="TableParagraph"/>
              <w:ind w:left="110" w:right="3284"/>
              <w:rPr>
                <w:sz w:val="22"/>
              </w:rPr>
            </w:pPr>
            <w:r>
              <w:rPr>
                <w:color w:val="222222"/>
                <w:sz w:val="22"/>
              </w:rPr>
              <w:t>Ashby Turn Primary Care Partners, The Link, DN16 2UT West Common Lane Teaching Practice, DN17 1YH Cedar Medical Practice, 275 Ashby Road, DN16 2AB Ancora Medical Practice, 291 Ashby Road, DN16 2AB The Surgery, Traingate, Kirton in Lindsey, DN21 4PQ</w:t>
            </w:r>
          </w:p>
          <w:p>
            <w:pPr>
              <w:pStyle w:val="TableParagraph"/>
              <w:spacing w:line="234" w:lineRule="exact"/>
              <w:ind w:left="110"/>
              <w:rPr>
                <w:sz w:val="22"/>
              </w:rPr>
            </w:pPr>
            <w:r>
              <w:rPr>
                <w:color w:val="222222"/>
                <w:sz w:val="22"/>
              </w:rPr>
              <w:t>Cambridge Avenue Medical Centre, Bottesford, DN16 3LG</w:t>
            </w:r>
          </w:p>
        </w:tc>
      </w:tr>
      <w:tr>
        <w:trPr>
          <w:trHeight w:val="249" w:hRule="atLeast"/>
        </w:trPr>
        <w:tc>
          <w:tcPr>
            <w:tcW w:w="8926" w:type="dxa"/>
            <w:shd w:val="clear" w:color="auto" w:fill="FFC000"/>
          </w:tcPr>
          <w:p>
            <w:pPr>
              <w:pStyle w:val="TableParagraph"/>
              <w:spacing w:line="229" w:lineRule="exact"/>
              <w:ind w:left="110"/>
              <w:rPr>
                <w:b/>
                <w:sz w:val="22"/>
              </w:rPr>
            </w:pPr>
            <w:r>
              <w:rPr>
                <w:b/>
                <w:sz w:val="22"/>
              </w:rPr>
              <w:t>West Primary Care Network</w:t>
            </w:r>
          </w:p>
        </w:tc>
      </w:tr>
      <w:tr>
        <w:trPr>
          <w:trHeight w:val="1269" w:hRule="atLeast"/>
        </w:trPr>
        <w:tc>
          <w:tcPr>
            <w:tcW w:w="8926" w:type="dxa"/>
          </w:tcPr>
          <w:p>
            <w:pPr>
              <w:pStyle w:val="TableParagraph"/>
              <w:ind w:left="110" w:right="2819"/>
              <w:rPr>
                <w:sz w:val="22"/>
              </w:rPr>
            </w:pPr>
            <w:r>
              <w:rPr>
                <w:color w:val="222222"/>
                <w:sz w:val="22"/>
              </w:rPr>
              <w:t>The Birches Medical Practice, Ironstone Centre, DN15 6HX The Oak Tree Medical Practice, Ironstone Centre, DN15 6HX Church Lane Medical Centre, Orchid Rise, DN15 7AN</w:t>
            </w:r>
          </w:p>
          <w:p>
            <w:pPr>
              <w:pStyle w:val="TableParagraph"/>
              <w:spacing w:line="252" w:lineRule="exact" w:before="6"/>
              <w:ind w:left="110" w:right="2855"/>
              <w:rPr>
                <w:sz w:val="22"/>
              </w:rPr>
            </w:pPr>
            <w:r>
              <w:rPr>
                <w:color w:val="222222"/>
                <w:sz w:val="22"/>
              </w:rPr>
              <w:t>The Oswald Road Medical Centre, Oswald Road, DN15 7PG South Axholme Practice, The Surgery, Epworth, DN9 1EP</w:t>
            </w:r>
          </w:p>
        </w:tc>
      </w:tr>
    </w:tbl>
    <w:p>
      <w:pPr>
        <w:pStyle w:val="BodyText"/>
        <w:rPr>
          <w:sz w:val="20"/>
        </w:rPr>
      </w:pPr>
    </w:p>
    <w:p>
      <w:pPr>
        <w:pStyle w:val="BodyText"/>
        <w:spacing w:before="7"/>
      </w:pPr>
    </w:p>
    <w:p>
      <w:pPr>
        <w:pStyle w:val="Heading4"/>
      </w:pPr>
      <w:bookmarkStart w:name="Our CCG Governing Body membership for 20" w:id="106"/>
      <w:bookmarkEnd w:id="106"/>
      <w:r>
        <w:rPr>
          <w:b w:val="0"/>
        </w:rPr>
      </w:r>
      <w:r>
        <w:rPr>
          <w:color w:val="4F81BB"/>
        </w:rPr>
        <w:t>Our CCG Governing Body membership for 2021-22</w:t>
      </w:r>
    </w:p>
    <w:p>
      <w:pPr>
        <w:pStyle w:val="BodyText"/>
        <w:spacing w:before="1"/>
        <w:rPr>
          <w:b/>
          <w:sz w:val="28"/>
        </w:rPr>
      </w:pPr>
    </w:p>
    <w:p>
      <w:pPr>
        <w:pStyle w:val="BodyText"/>
        <w:ind w:left="680" w:right="942"/>
      </w:pPr>
      <w:r>
        <w:rPr/>
        <w:t>NHS North Lincolnshire CCG’s Governing Body meets in public on a bi-monthly basis. It has responsibility for leading the development of the CCG’s vision and strategy – as well as providing assurance to the Council of Members with regards to the achievement of the CCG’s objectives.</w:t>
      </w:r>
    </w:p>
    <w:p>
      <w:pPr>
        <w:spacing w:after="0"/>
        <w:sectPr>
          <w:pgSz w:w="11920" w:h="16850"/>
          <w:pgMar w:header="0" w:footer="363" w:top="1320" w:bottom="640" w:left="760" w:right="420"/>
        </w:sectPr>
      </w:pPr>
    </w:p>
    <w:p>
      <w:pPr>
        <w:pStyle w:val="BodyText"/>
        <w:spacing w:before="81"/>
        <w:ind w:left="680" w:right="965"/>
      </w:pPr>
      <w:r>
        <w:rPr/>
        <w:t>Residents and particular organisations are encouraged to attend these meetings to develop a better understanding of their NHS – both locally and nationally.</w:t>
      </w:r>
    </w:p>
    <w:p>
      <w:pPr>
        <w:pStyle w:val="BodyText"/>
        <w:rPr>
          <w:sz w:val="24"/>
        </w:rPr>
      </w:pPr>
    </w:p>
    <w:p>
      <w:pPr>
        <w:pStyle w:val="Heading4"/>
        <w:spacing w:before="173"/>
      </w:pPr>
      <w:bookmarkStart w:name="NHS North Lincolnshire CCG Governing Bod" w:id="107"/>
      <w:bookmarkEnd w:id="107"/>
      <w:r>
        <w:rPr>
          <w:b w:val="0"/>
        </w:rPr>
      </w:r>
      <w:r>
        <w:rPr>
          <w:color w:val="4F81BB"/>
        </w:rPr>
        <w:t>NHS North Lincolnshire CCG Governing Body Membership 2021-22</w:t>
      </w:r>
    </w:p>
    <w:p>
      <w:pPr>
        <w:pStyle w:val="BodyText"/>
        <w:spacing w:before="204"/>
        <w:ind w:left="680"/>
      </w:pPr>
      <w:r>
        <w:rPr/>
        <w:t>Chair and Accountable Officer</w:t>
      </w:r>
    </w:p>
    <w:p>
      <w:pPr>
        <w:pStyle w:val="BodyText"/>
        <w:spacing w:before="198"/>
        <w:ind w:left="680"/>
      </w:pPr>
      <w:r>
        <w:rPr/>
        <w:t>Dr Faisel Baig, Chair. Membership dates: 1 April 2021 – 31 March 2022</w:t>
      </w:r>
    </w:p>
    <w:p>
      <w:pPr>
        <w:pStyle w:val="BodyText"/>
        <w:spacing w:before="203"/>
        <w:ind w:left="680"/>
      </w:pPr>
      <w:r>
        <w:rPr/>
        <w:t>Emma Latimer, Accountable Officer. Membership dates: 1 April 2021 – 31 March 2022</w:t>
      </w:r>
    </w:p>
    <w:p>
      <w:pPr>
        <w:pStyle w:val="BodyText"/>
        <w:rPr>
          <w:sz w:val="24"/>
        </w:rPr>
      </w:pPr>
    </w:p>
    <w:p>
      <w:pPr>
        <w:pStyle w:val="Heading4"/>
        <w:spacing w:before="172"/>
      </w:pPr>
      <w:bookmarkStart w:name="GP Board Members" w:id="108"/>
      <w:bookmarkEnd w:id="108"/>
      <w:r>
        <w:rPr>
          <w:b w:val="0"/>
        </w:rPr>
      </w:r>
      <w:r>
        <w:rPr>
          <w:color w:val="4F81BB"/>
        </w:rPr>
        <w:t>GP Board Members</w:t>
      </w:r>
    </w:p>
    <w:p>
      <w:pPr>
        <w:pStyle w:val="BodyText"/>
        <w:spacing w:before="204"/>
        <w:ind w:left="680"/>
      </w:pPr>
      <w:r>
        <w:rPr/>
        <w:t>Dr Salim Modan. Membership dates: 1 April 2021 – 31 March 2022</w:t>
      </w:r>
    </w:p>
    <w:p>
      <w:pPr>
        <w:pStyle w:val="BodyText"/>
        <w:spacing w:before="200"/>
        <w:ind w:left="679"/>
      </w:pPr>
      <w:r>
        <w:rPr/>
        <w:t>Dr Gary Armstrong. Membership dates: 1 April 2021 – 31 March 2022</w:t>
      </w:r>
    </w:p>
    <w:p>
      <w:pPr>
        <w:pStyle w:val="BodyText"/>
        <w:spacing w:before="199"/>
        <w:ind w:left="679"/>
      </w:pPr>
      <w:r>
        <w:rPr/>
        <w:t>Dr Pratik Basu. Membership dates: 1 April 2021 – 31 March 2022</w:t>
      </w:r>
    </w:p>
    <w:p>
      <w:pPr>
        <w:pStyle w:val="BodyText"/>
        <w:spacing w:before="200"/>
        <w:ind w:left="679"/>
      </w:pPr>
      <w:r>
        <w:rPr/>
        <w:t>Dr Hardik Gandhi. Membership dates: 1 April 2021 – 31 March 2022</w:t>
      </w:r>
    </w:p>
    <w:p>
      <w:pPr>
        <w:pStyle w:val="BodyText"/>
        <w:rPr>
          <w:sz w:val="24"/>
        </w:rPr>
      </w:pPr>
    </w:p>
    <w:p>
      <w:pPr>
        <w:pStyle w:val="Heading4"/>
        <w:spacing w:before="177"/>
      </w:pPr>
      <w:bookmarkStart w:name="Secondary Care Doctor" w:id="109"/>
      <w:bookmarkEnd w:id="109"/>
      <w:r>
        <w:rPr>
          <w:b w:val="0"/>
        </w:rPr>
      </w:r>
      <w:r>
        <w:rPr>
          <w:color w:val="4F81BB"/>
        </w:rPr>
        <w:t>Secondary Care Doctor</w:t>
      </w:r>
    </w:p>
    <w:p>
      <w:pPr>
        <w:pStyle w:val="BodyText"/>
        <w:spacing w:before="202"/>
        <w:ind w:left="680"/>
      </w:pPr>
      <w:r>
        <w:rPr/>
        <w:t>Dr James Woodard. Membership dates: 1 April 2021 – 31 March 2022</w:t>
      </w:r>
    </w:p>
    <w:p>
      <w:pPr>
        <w:pStyle w:val="BodyText"/>
        <w:rPr>
          <w:sz w:val="24"/>
        </w:rPr>
      </w:pPr>
    </w:p>
    <w:p>
      <w:pPr>
        <w:pStyle w:val="Heading4"/>
        <w:spacing w:before="174"/>
      </w:pPr>
      <w:bookmarkStart w:name="Lay Representatives" w:id="110"/>
      <w:bookmarkEnd w:id="110"/>
      <w:r>
        <w:rPr>
          <w:b w:val="0"/>
        </w:rPr>
      </w:r>
      <w:r>
        <w:rPr>
          <w:color w:val="4F81BB"/>
        </w:rPr>
        <w:t>Lay Representatives</w:t>
      </w:r>
    </w:p>
    <w:p>
      <w:pPr>
        <w:pStyle w:val="BodyText"/>
        <w:spacing w:line="450" w:lineRule="atLeast" w:before="5"/>
        <w:ind w:left="680" w:right="709" w:hanging="1"/>
      </w:pPr>
      <w:r>
        <w:rPr/>
        <w:t>Erika Stoddart, Lay Member for Governance. Membership dates: 1 April 2021 – 31 March 2022 Janice Keilthy, Lay Member for Public and Patient Involvement. Membership dates: 1 April 2021</w:t>
      </w:r>
    </w:p>
    <w:p>
      <w:pPr>
        <w:pStyle w:val="BodyText"/>
        <w:spacing w:before="4"/>
        <w:ind w:left="680"/>
      </w:pPr>
      <w:r>
        <w:rPr/>
        <w:t>– 31 March 2022</w:t>
      </w:r>
    </w:p>
    <w:p>
      <w:pPr>
        <w:pStyle w:val="BodyText"/>
        <w:spacing w:before="199"/>
        <w:ind w:left="680" w:right="978"/>
      </w:pPr>
      <w:r>
        <w:rPr/>
        <w:t>Heather McSharry, Lay Member for Equality and Inclusion. Membership dates: 1 April 2021 – 31 March 2022</w:t>
      </w:r>
    </w:p>
    <w:p>
      <w:pPr>
        <w:pStyle w:val="BodyText"/>
        <w:rPr>
          <w:sz w:val="24"/>
        </w:rPr>
      </w:pPr>
    </w:p>
    <w:p>
      <w:pPr>
        <w:pStyle w:val="Heading4"/>
        <w:spacing w:before="173"/>
      </w:pPr>
      <w:bookmarkStart w:name="Governing Body Officer Members" w:id="111"/>
      <w:bookmarkEnd w:id="111"/>
      <w:r>
        <w:rPr>
          <w:b w:val="0"/>
        </w:rPr>
      </w:r>
      <w:r>
        <w:rPr>
          <w:color w:val="4F81BB"/>
        </w:rPr>
        <w:t>Governing Body Officer Members</w:t>
      </w:r>
    </w:p>
    <w:p>
      <w:pPr>
        <w:pStyle w:val="BodyText"/>
        <w:spacing w:line="427" w:lineRule="auto" w:before="206"/>
        <w:ind w:left="680" w:right="1518" w:hanging="1"/>
      </w:pPr>
      <w:r>
        <w:rPr/>
        <w:t>Emma Sayner, Chief Finance Officer. Membership dates: 1 April 2021 – 31 March 2022 Alex Seale, Chief Operating Officer. Membership dates: 1 April 2021 – 31 March 2022</w:t>
      </w:r>
    </w:p>
    <w:p>
      <w:pPr>
        <w:pStyle w:val="BodyText"/>
        <w:spacing w:before="2"/>
        <w:ind w:left="680"/>
      </w:pPr>
      <w:r>
        <w:rPr/>
        <w:t>Clare Linley, Director of Nursing and Quality. Membership dates: 1 April 2021 – 30 June 2021</w:t>
      </w:r>
    </w:p>
    <w:p>
      <w:pPr>
        <w:pStyle w:val="BodyText"/>
        <w:spacing w:before="198"/>
        <w:ind w:left="680" w:right="722"/>
      </w:pPr>
      <w:r>
        <w:rPr/>
        <w:t>Helen Davis, Interim Director of Nursing and Quality and Executive Nurse. Membership dates: 1 July 2021 – 31 March 2022</w:t>
      </w:r>
    </w:p>
    <w:p>
      <w:pPr>
        <w:pStyle w:val="BodyText"/>
        <w:spacing w:before="202"/>
        <w:ind w:left="680"/>
      </w:pPr>
      <w:r>
        <w:rPr/>
        <w:t>Associated Members</w:t>
      </w:r>
    </w:p>
    <w:p>
      <w:pPr>
        <w:pStyle w:val="BodyText"/>
        <w:spacing w:line="427" w:lineRule="auto" w:before="201"/>
        <w:ind w:left="680" w:right="1321"/>
      </w:pPr>
      <w:r>
        <w:rPr/>
        <w:t>Dr Satpal Shekhawat, Medical Director. Membership dates: 1 April 2021 – 31 March 2022 Directors of Public Health</w:t>
      </w:r>
    </w:p>
    <w:p>
      <w:pPr>
        <w:spacing w:after="0" w:line="427" w:lineRule="auto"/>
        <w:sectPr>
          <w:pgSz w:w="11920" w:h="16850"/>
          <w:pgMar w:header="0" w:footer="363" w:top="1320" w:bottom="640" w:left="760" w:right="420"/>
        </w:sectPr>
      </w:pPr>
    </w:p>
    <w:p>
      <w:pPr>
        <w:pStyle w:val="Heading4"/>
        <w:spacing w:before="64"/>
        <w:ind w:left="725"/>
      </w:pPr>
      <w:bookmarkStart w:name="Our committees" w:id="112"/>
      <w:bookmarkEnd w:id="112"/>
      <w:r>
        <w:rPr>
          <w:b w:val="0"/>
        </w:rPr>
      </w:r>
      <w:r>
        <w:rPr>
          <w:color w:val="4F81BB"/>
        </w:rPr>
        <w:t>Our committees</w:t>
      </w:r>
    </w:p>
    <w:p>
      <w:pPr>
        <w:pStyle w:val="BodyText"/>
        <w:rPr>
          <w:b/>
          <w:sz w:val="24"/>
        </w:rPr>
      </w:pPr>
    </w:p>
    <w:p>
      <w:pPr>
        <w:pStyle w:val="BodyText"/>
        <w:ind w:left="725" w:right="2169"/>
      </w:pPr>
      <w:r>
        <w:rPr/>
        <w:t>Five committees assist in the delivery of the statutory functions and key strategic objectives of the CCG.</w:t>
      </w:r>
    </w:p>
    <w:p>
      <w:pPr>
        <w:pStyle w:val="BodyText"/>
        <w:spacing w:before="5"/>
        <w:rPr>
          <w:sz w:val="21"/>
        </w:rPr>
      </w:pPr>
    </w:p>
    <w:p>
      <w:pPr>
        <w:pStyle w:val="ListParagraph"/>
        <w:numPr>
          <w:ilvl w:val="1"/>
          <w:numId w:val="3"/>
        </w:numPr>
        <w:tabs>
          <w:tab w:pos="1292" w:val="left" w:leader="none"/>
          <w:tab w:pos="1293" w:val="left" w:leader="none"/>
        </w:tabs>
        <w:spacing w:line="269" w:lineRule="exact" w:before="1" w:after="0"/>
        <w:ind w:left="1292" w:right="0" w:hanging="362"/>
        <w:jc w:val="left"/>
        <w:rPr>
          <w:rFonts w:ascii="Symbol" w:hAnsi="Symbol"/>
          <w:sz w:val="22"/>
        </w:rPr>
      </w:pPr>
      <w:r>
        <w:rPr>
          <w:sz w:val="22"/>
        </w:rPr>
        <w:t>Integrated Audit and Governance</w:t>
      </w:r>
      <w:r>
        <w:rPr>
          <w:spacing w:val="-8"/>
          <w:sz w:val="22"/>
        </w:rPr>
        <w:t> </w:t>
      </w:r>
      <w:r>
        <w:rPr>
          <w:sz w:val="22"/>
        </w:rPr>
        <w:t>Committee</w:t>
      </w:r>
    </w:p>
    <w:p>
      <w:pPr>
        <w:pStyle w:val="ListParagraph"/>
        <w:numPr>
          <w:ilvl w:val="1"/>
          <w:numId w:val="3"/>
        </w:numPr>
        <w:tabs>
          <w:tab w:pos="1292" w:val="left" w:leader="none"/>
          <w:tab w:pos="1293" w:val="left" w:leader="none"/>
        </w:tabs>
        <w:spacing w:line="269" w:lineRule="exact" w:before="0" w:after="0"/>
        <w:ind w:left="1292" w:right="0" w:hanging="361"/>
        <w:jc w:val="left"/>
        <w:rPr>
          <w:rFonts w:ascii="Symbol" w:hAnsi="Symbol"/>
          <w:sz w:val="22"/>
        </w:rPr>
      </w:pPr>
      <w:r>
        <w:rPr>
          <w:sz w:val="22"/>
        </w:rPr>
        <w:t>Planning and Commissioning Committee</w:t>
      </w:r>
    </w:p>
    <w:p>
      <w:pPr>
        <w:pStyle w:val="ListParagraph"/>
        <w:numPr>
          <w:ilvl w:val="1"/>
          <w:numId w:val="3"/>
        </w:numPr>
        <w:tabs>
          <w:tab w:pos="1292" w:val="left" w:leader="none"/>
          <w:tab w:pos="1293" w:val="left" w:leader="none"/>
        </w:tabs>
        <w:spacing w:line="268" w:lineRule="exact" w:before="0" w:after="0"/>
        <w:ind w:left="1292" w:right="0" w:hanging="361"/>
        <w:jc w:val="left"/>
        <w:rPr>
          <w:rFonts w:ascii="Symbol" w:hAnsi="Symbol"/>
          <w:sz w:val="22"/>
        </w:rPr>
      </w:pPr>
      <w:r>
        <w:rPr>
          <w:sz w:val="22"/>
        </w:rPr>
        <w:t>Quality, Performance and Finance</w:t>
      </w:r>
      <w:r>
        <w:rPr>
          <w:spacing w:val="-1"/>
          <w:sz w:val="22"/>
        </w:rPr>
        <w:t> </w:t>
      </w:r>
      <w:r>
        <w:rPr>
          <w:sz w:val="22"/>
        </w:rPr>
        <w:t>Committee</w:t>
      </w:r>
    </w:p>
    <w:p>
      <w:pPr>
        <w:pStyle w:val="ListParagraph"/>
        <w:numPr>
          <w:ilvl w:val="1"/>
          <w:numId w:val="3"/>
        </w:numPr>
        <w:tabs>
          <w:tab w:pos="1292" w:val="left" w:leader="none"/>
          <w:tab w:pos="1293" w:val="left" w:leader="none"/>
        </w:tabs>
        <w:spacing w:line="268" w:lineRule="exact" w:before="0" w:after="0"/>
        <w:ind w:left="1292" w:right="0" w:hanging="361"/>
        <w:jc w:val="left"/>
        <w:rPr>
          <w:rFonts w:ascii="Symbol" w:hAnsi="Symbol"/>
          <w:sz w:val="22"/>
        </w:rPr>
      </w:pPr>
      <w:r>
        <w:rPr>
          <w:sz w:val="22"/>
        </w:rPr>
        <w:t>Primary Care Commissioning</w:t>
      </w:r>
      <w:r>
        <w:rPr>
          <w:spacing w:val="-9"/>
          <w:sz w:val="22"/>
        </w:rPr>
        <w:t> </w:t>
      </w:r>
      <w:r>
        <w:rPr>
          <w:sz w:val="22"/>
        </w:rPr>
        <w:t>Committee</w:t>
      </w:r>
    </w:p>
    <w:p>
      <w:pPr>
        <w:pStyle w:val="ListParagraph"/>
        <w:numPr>
          <w:ilvl w:val="1"/>
          <w:numId w:val="3"/>
        </w:numPr>
        <w:tabs>
          <w:tab w:pos="1292" w:val="left" w:leader="none"/>
          <w:tab w:pos="1293" w:val="left" w:leader="none"/>
        </w:tabs>
        <w:spacing w:line="269" w:lineRule="exact" w:before="0" w:after="0"/>
        <w:ind w:left="1293" w:right="0" w:hanging="361"/>
        <w:jc w:val="left"/>
        <w:rPr>
          <w:rFonts w:ascii="Symbol" w:hAnsi="Symbol"/>
          <w:sz w:val="22"/>
        </w:rPr>
      </w:pPr>
      <w:r>
        <w:rPr>
          <w:sz w:val="22"/>
        </w:rPr>
        <w:t>Remuneration Committee</w:t>
      </w:r>
    </w:p>
    <w:p>
      <w:pPr>
        <w:pStyle w:val="ListParagraph"/>
        <w:numPr>
          <w:ilvl w:val="1"/>
          <w:numId w:val="3"/>
        </w:numPr>
        <w:tabs>
          <w:tab w:pos="1292" w:val="left" w:leader="none"/>
          <w:tab w:pos="1293" w:val="left" w:leader="none"/>
        </w:tabs>
        <w:spacing w:line="269" w:lineRule="exact" w:before="0" w:after="0"/>
        <w:ind w:left="1293" w:right="0" w:hanging="361"/>
        <w:jc w:val="left"/>
        <w:rPr>
          <w:rFonts w:ascii="Symbol" w:hAnsi="Symbol"/>
          <w:sz w:val="22"/>
        </w:rPr>
      </w:pPr>
      <w:r>
        <w:rPr>
          <w:sz w:val="22"/>
        </w:rPr>
        <w:t>Integrated Commissioning (Committees in</w:t>
      </w:r>
      <w:r>
        <w:rPr>
          <w:spacing w:val="-12"/>
          <w:sz w:val="22"/>
        </w:rPr>
        <w:t> </w:t>
      </w:r>
      <w:r>
        <w:rPr>
          <w:sz w:val="22"/>
        </w:rPr>
        <w:t>Common)</w:t>
      </w:r>
    </w:p>
    <w:p>
      <w:pPr>
        <w:pStyle w:val="BodyText"/>
        <w:spacing w:before="1"/>
      </w:pPr>
    </w:p>
    <w:p>
      <w:pPr>
        <w:pStyle w:val="BodyText"/>
        <w:ind w:left="728" w:right="2263"/>
      </w:pPr>
      <w:r>
        <w:rPr/>
        <w:t>For full details of committee functions, membership and attendance for 2021-22 please see the appendix section at the end of the Accountability section.</w:t>
      </w:r>
    </w:p>
    <w:p>
      <w:pPr>
        <w:pStyle w:val="BodyText"/>
        <w:spacing w:before="1"/>
        <w:rPr>
          <w:sz w:val="24"/>
        </w:rPr>
      </w:pPr>
    </w:p>
    <w:p>
      <w:pPr>
        <w:pStyle w:val="Heading4"/>
        <w:ind w:left="725"/>
      </w:pPr>
      <w:bookmarkStart w:name="Register of interests" w:id="113"/>
      <w:bookmarkEnd w:id="113"/>
      <w:r>
        <w:rPr>
          <w:b w:val="0"/>
        </w:rPr>
      </w:r>
      <w:r>
        <w:rPr>
          <w:color w:val="4F81BB"/>
        </w:rPr>
        <w:t>Register of interests</w:t>
      </w:r>
    </w:p>
    <w:p>
      <w:pPr>
        <w:pStyle w:val="BodyText"/>
        <w:spacing w:before="11"/>
        <w:rPr>
          <w:b/>
          <w:sz w:val="23"/>
        </w:rPr>
      </w:pPr>
    </w:p>
    <w:p>
      <w:pPr>
        <w:pStyle w:val="BodyText"/>
        <w:ind w:left="725" w:right="2424"/>
      </w:pPr>
      <w:r>
        <w:rPr/>
        <w:t>Information about our obligation to declare conflicts of interest can be found in the CCG’s constitution.</w:t>
      </w:r>
    </w:p>
    <w:p>
      <w:pPr>
        <w:pStyle w:val="BodyText"/>
        <w:spacing w:before="1"/>
        <w:rPr>
          <w:sz w:val="26"/>
        </w:rPr>
      </w:pPr>
    </w:p>
    <w:p>
      <w:pPr>
        <w:pStyle w:val="BodyText"/>
        <w:spacing w:line="465" w:lineRule="auto"/>
        <w:ind w:left="680" w:right="2422"/>
      </w:pPr>
      <w:r>
        <w:rPr/>
        <w:t>For further information regarding the CCG’s Conflict of Interest process please visit: </w:t>
      </w:r>
      <w:hyperlink r:id="rId25">
        <w:r>
          <w:rPr>
            <w:color w:val="0000FF"/>
            <w:u w:val="single" w:color="0000FF"/>
          </w:rPr>
          <w:t>https://northlincolnshireccg.nhs.uk/publications/lists-and-</w:t>
        </w:r>
      </w:hyperlink>
      <w:hyperlink r:id="rId25">
        <w:r>
          <w:rPr>
            <w:color w:val="0000FF"/>
            <w:u w:val="single" w:color="0000FF"/>
          </w:rPr>
          <w:t>registers/</w:t>
        </w:r>
      </w:hyperlink>
    </w:p>
    <w:p>
      <w:pPr>
        <w:spacing w:after="0" w:line="465" w:lineRule="auto"/>
        <w:sectPr>
          <w:pgSz w:w="11920" w:h="16850"/>
          <w:pgMar w:header="0" w:footer="363" w:top="1380" w:bottom="640" w:left="760" w:right="420"/>
        </w:sectPr>
      </w:pPr>
    </w:p>
    <w:p>
      <w:pPr>
        <w:pStyle w:val="Heading4"/>
        <w:spacing w:before="79"/>
      </w:pPr>
      <w:bookmarkStart w:name="Access to Information" w:id="114"/>
      <w:bookmarkEnd w:id="114"/>
      <w:r>
        <w:rPr>
          <w:b w:val="0"/>
        </w:rPr>
      </w:r>
      <w:r>
        <w:rPr>
          <w:color w:val="4F81BB"/>
        </w:rPr>
        <w:t>Access to Information</w:t>
      </w:r>
    </w:p>
    <w:p>
      <w:pPr>
        <w:pStyle w:val="BodyText"/>
        <w:spacing w:before="10"/>
        <w:rPr>
          <w:b/>
          <w:sz w:val="23"/>
        </w:rPr>
      </w:pPr>
    </w:p>
    <w:p>
      <w:pPr>
        <w:pStyle w:val="BodyText"/>
        <w:spacing w:line="278" w:lineRule="auto" w:before="1"/>
        <w:ind w:left="680" w:right="1504"/>
      </w:pPr>
      <w:r>
        <w:rPr/>
        <w:t>During the period from 1 April 2021 to 31 March 2022, the CCG processed the following requests for information under the Freedom of Information Act 2000 (FOIA):</w:t>
      </w:r>
    </w:p>
    <w:p>
      <w:pPr>
        <w:pStyle w:val="BodyText"/>
        <w:spacing w:before="11"/>
        <w:rPr>
          <w:sz w:val="16"/>
        </w:rPr>
      </w:pPr>
    </w:p>
    <w:tbl>
      <w:tblPr>
        <w:tblW w:w="0" w:type="auto"/>
        <w:jc w:val="left"/>
        <w:tblInd w:w="7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493"/>
        <w:gridCol w:w="1822"/>
      </w:tblGrid>
      <w:tr>
        <w:trPr>
          <w:trHeight w:val="435" w:hRule="atLeast"/>
        </w:trPr>
        <w:tc>
          <w:tcPr>
            <w:tcW w:w="7493" w:type="dxa"/>
            <w:shd w:val="clear" w:color="auto" w:fill="93B3D5"/>
          </w:tcPr>
          <w:p>
            <w:pPr>
              <w:pStyle w:val="TableParagraph"/>
              <w:spacing w:line="248" w:lineRule="exact"/>
              <w:ind w:left="117"/>
              <w:rPr>
                <w:sz w:val="22"/>
              </w:rPr>
            </w:pPr>
            <w:r>
              <w:rPr>
                <w:sz w:val="22"/>
              </w:rPr>
              <w:t>FOI</w:t>
            </w:r>
          </w:p>
        </w:tc>
        <w:tc>
          <w:tcPr>
            <w:tcW w:w="1822" w:type="dxa"/>
            <w:shd w:val="clear" w:color="auto" w:fill="93B3D5"/>
          </w:tcPr>
          <w:p>
            <w:pPr>
              <w:pStyle w:val="TableParagraph"/>
              <w:spacing w:line="248" w:lineRule="exact"/>
              <w:ind w:left="378" w:right="344"/>
              <w:jc w:val="center"/>
              <w:rPr>
                <w:sz w:val="22"/>
              </w:rPr>
            </w:pPr>
            <w:r>
              <w:rPr>
                <w:sz w:val="22"/>
              </w:rPr>
              <w:t>2021/2022</w:t>
            </w:r>
          </w:p>
        </w:tc>
      </w:tr>
      <w:tr>
        <w:trPr>
          <w:trHeight w:val="452" w:hRule="atLeast"/>
        </w:trPr>
        <w:tc>
          <w:tcPr>
            <w:tcW w:w="7493" w:type="dxa"/>
          </w:tcPr>
          <w:p>
            <w:pPr>
              <w:pStyle w:val="TableParagraph"/>
              <w:spacing w:before="83"/>
              <w:ind w:left="117"/>
              <w:rPr>
                <w:sz w:val="22"/>
              </w:rPr>
            </w:pPr>
            <w:r>
              <w:rPr>
                <w:sz w:val="22"/>
              </w:rPr>
              <w:t>Number of FOI requests processed</w:t>
            </w:r>
          </w:p>
        </w:tc>
        <w:tc>
          <w:tcPr>
            <w:tcW w:w="1822" w:type="dxa"/>
          </w:tcPr>
          <w:p>
            <w:pPr>
              <w:pStyle w:val="TableParagraph"/>
              <w:spacing w:before="83"/>
              <w:ind w:left="376" w:right="344"/>
              <w:jc w:val="center"/>
              <w:rPr>
                <w:sz w:val="22"/>
              </w:rPr>
            </w:pPr>
            <w:r>
              <w:rPr>
                <w:sz w:val="22"/>
              </w:rPr>
              <w:t>191</w:t>
            </w:r>
          </w:p>
        </w:tc>
      </w:tr>
      <w:tr>
        <w:trPr>
          <w:trHeight w:val="687" w:hRule="atLeast"/>
        </w:trPr>
        <w:tc>
          <w:tcPr>
            <w:tcW w:w="7493" w:type="dxa"/>
          </w:tcPr>
          <w:p>
            <w:pPr>
              <w:pStyle w:val="TableParagraph"/>
              <w:spacing w:before="1"/>
              <w:rPr>
                <w:sz w:val="19"/>
              </w:rPr>
            </w:pPr>
          </w:p>
          <w:p>
            <w:pPr>
              <w:pStyle w:val="TableParagraph"/>
              <w:spacing w:before="1"/>
              <w:ind w:left="117"/>
              <w:rPr>
                <w:sz w:val="22"/>
              </w:rPr>
            </w:pPr>
            <w:r>
              <w:rPr>
                <w:sz w:val="22"/>
              </w:rPr>
              <w:t>Percentage of requests responded to within 20 working days</w:t>
            </w:r>
          </w:p>
        </w:tc>
        <w:tc>
          <w:tcPr>
            <w:tcW w:w="1822" w:type="dxa"/>
          </w:tcPr>
          <w:p>
            <w:pPr>
              <w:pStyle w:val="TableParagraph"/>
              <w:spacing w:before="1"/>
              <w:rPr>
                <w:sz w:val="19"/>
              </w:rPr>
            </w:pPr>
          </w:p>
          <w:p>
            <w:pPr>
              <w:pStyle w:val="TableParagraph"/>
              <w:spacing w:before="1"/>
              <w:ind w:left="378" w:right="342"/>
              <w:jc w:val="center"/>
              <w:rPr>
                <w:sz w:val="22"/>
              </w:rPr>
            </w:pPr>
            <w:r>
              <w:rPr>
                <w:sz w:val="22"/>
              </w:rPr>
              <w:t>100%</w:t>
            </w:r>
          </w:p>
        </w:tc>
      </w:tr>
      <w:tr>
        <w:trPr>
          <w:trHeight w:val="491" w:hRule="atLeast"/>
        </w:trPr>
        <w:tc>
          <w:tcPr>
            <w:tcW w:w="7493" w:type="dxa"/>
          </w:tcPr>
          <w:p>
            <w:pPr>
              <w:pStyle w:val="TableParagraph"/>
              <w:spacing w:before="100"/>
              <w:ind w:left="117"/>
              <w:rPr>
                <w:sz w:val="22"/>
              </w:rPr>
            </w:pPr>
            <w:r>
              <w:rPr>
                <w:sz w:val="22"/>
              </w:rPr>
              <w:t>Average time (in days) taken to respond to an FOI request</w:t>
            </w:r>
          </w:p>
        </w:tc>
        <w:tc>
          <w:tcPr>
            <w:tcW w:w="1822" w:type="dxa"/>
          </w:tcPr>
          <w:p>
            <w:pPr>
              <w:pStyle w:val="TableParagraph"/>
              <w:spacing w:before="2"/>
              <w:ind w:left="378" w:right="344"/>
              <w:jc w:val="center"/>
              <w:rPr>
                <w:sz w:val="22"/>
              </w:rPr>
            </w:pPr>
            <w:r>
              <w:rPr>
                <w:sz w:val="22"/>
              </w:rPr>
              <w:t>14 days</w:t>
            </w:r>
          </w:p>
        </w:tc>
      </w:tr>
    </w:tbl>
    <w:p>
      <w:pPr>
        <w:pStyle w:val="BodyText"/>
        <w:rPr>
          <w:sz w:val="24"/>
        </w:rPr>
      </w:pPr>
    </w:p>
    <w:p>
      <w:pPr>
        <w:pStyle w:val="BodyText"/>
        <w:spacing w:before="9"/>
        <w:rPr>
          <w:sz w:val="18"/>
        </w:rPr>
      </w:pPr>
    </w:p>
    <w:p>
      <w:pPr>
        <w:pStyle w:val="BodyText"/>
        <w:spacing w:line="276" w:lineRule="auto"/>
        <w:ind w:left="680" w:right="769"/>
      </w:pPr>
      <w:r>
        <w:rPr/>
        <w:t>The CCG provided the full information requested in 79 cases. The CCG did not provide all the information requested in 31 cases because an exemption was applied either to part of, or to the whole request. The exemptions applied were;</w:t>
      </w:r>
    </w:p>
    <w:p>
      <w:pPr>
        <w:pStyle w:val="ListParagraph"/>
        <w:numPr>
          <w:ilvl w:val="0"/>
          <w:numId w:val="5"/>
        </w:numPr>
        <w:tabs>
          <w:tab w:pos="964" w:val="left" w:leader="none"/>
        </w:tabs>
        <w:spacing w:line="240" w:lineRule="auto" w:before="199" w:after="0"/>
        <w:ind w:left="963" w:right="0" w:hanging="284"/>
        <w:jc w:val="left"/>
        <w:rPr>
          <w:sz w:val="22"/>
        </w:rPr>
      </w:pPr>
      <w:r>
        <w:rPr>
          <w:sz w:val="22"/>
        </w:rPr>
        <w:t>The cost of providing the information exceeded the limits set by the</w:t>
      </w:r>
      <w:r>
        <w:rPr>
          <w:spacing w:val="-21"/>
          <w:sz w:val="22"/>
        </w:rPr>
        <w:t> </w:t>
      </w:r>
      <w:r>
        <w:rPr>
          <w:sz w:val="22"/>
        </w:rPr>
        <w:t>FOIA.</w:t>
      </w:r>
    </w:p>
    <w:p>
      <w:pPr>
        <w:pStyle w:val="ListParagraph"/>
        <w:numPr>
          <w:ilvl w:val="0"/>
          <w:numId w:val="5"/>
        </w:numPr>
        <w:tabs>
          <w:tab w:pos="964" w:val="left" w:leader="none"/>
        </w:tabs>
        <w:spacing w:line="240" w:lineRule="auto" w:before="33" w:after="0"/>
        <w:ind w:left="963" w:right="0" w:hanging="284"/>
        <w:jc w:val="left"/>
        <w:rPr>
          <w:sz w:val="22"/>
        </w:rPr>
      </w:pPr>
      <w:r>
        <w:rPr>
          <w:sz w:val="22"/>
        </w:rPr>
        <w:t>The request was a repeat request and the information had already been</w:t>
      </w:r>
      <w:r>
        <w:rPr>
          <w:spacing w:val="-27"/>
          <w:sz w:val="22"/>
        </w:rPr>
        <w:t> </w:t>
      </w:r>
      <w:r>
        <w:rPr>
          <w:sz w:val="22"/>
        </w:rPr>
        <w:t>provided.</w:t>
      </w:r>
    </w:p>
    <w:p>
      <w:pPr>
        <w:pStyle w:val="ListParagraph"/>
        <w:numPr>
          <w:ilvl w:val="0"/>
          <w:numId w:val="5"/>
        </w:numPr>
        <w:tabs>
          <w:tab w:pos="964" w:val="left" w:leader="none"/>
        </w:tabs>
        <w:spacing w:line="240" w:lineRule="auto" w:before="36" w:after="0"/>
        <w:ind w:left="963" w:right="0" w:hanging="284"/>
        <w:jc w:val="left"/>
        <w:rPr>
          <w:sz w:val="22"/>
        </w:rPr>
      </w:pPr>
      <w:r>
        <w:rPr>
          <w:sz w:val="22"/>
        </w:rPr>
        <w:t>The information was accessible by other</w:t>
      </w:r>
      <w:r>
        <w:rPr>
          <w:spacing w:val="-3"/>
          <w:sz w:val="22"/>
        </w:rPr>
        <w:t> </w:t>
      </w:r>
      <w:r>
        <w:rPr>
          <w:sz w:val="22"/>
        </w:rPr>
        <w:t>means.</w:t>
      </w:r>
    </w:p>
    <w:p>
      <w:pPr>
        <w:pStyle w:val="ListParagraph"/>
        <w:numPr>
          <w:ilvl w:val="0"/>
          <w:numId w:val="5"/>
        </w:numPr>
        <w:tabs>
          <w:tab w:pos="964" w:val="left" w:leader="none"/>
        </w:tabs>
        <w:spacing w:line="240" w:lineRule="auto" w:before="35" w:after="0"/>
        <w:ind w:left="963" w:right="0" w:hanging="284"/>
        <w:jc w:val="left"/>
        <w:rPr>
          <w:sz w:val="22"/>
        </w:rPr>
      </w:pPr>
      <w:r>
        <w:rPr>
          <w:sz w:val="22"/>
        </w:rPr>
        <w:t>The information was intended for future</w:t>
      </w:r>
      <w:r>
        <w:rPr>
          <w:spacing w:val="-6"/>
          <w:sz w:val="22"/>
        </w:rPr>
        <w:t> </w:t>
      </w:r>
      <w:r>
        <w:rPr>
          <w:sz w:val="22"/>
        </w:rPr>
        <w:t>publication.</w:t>
      </w:r>
    </w:p>
    <w:p>
      <w:pPr>
        <w:pStyle w:val="ListParagraph"/>
        <w:numPr>
          <w:ilvl w:val="0"/>
          <w:numId w:val="5"/>
        </w:numPr>
        <w:tabs>
          <w:tab w:pos="964" w:val="left" w:leader="none"/>
        </w:tabs>
        <w:spacing w:line="240" w:lineRule="auto" w:before="33" w:after="0"/>
        <w:ind w:left="963" w:right="0" w:hanging="284"/>
        <w:jc w:val="left"/>
        <w:rPr>
          <w:sz w:val="22"/>
        </w:rPr>
      </w:pPr>
      <w:r>
        <w:rPr>
          <w:sz w:val="22"/>
        </w:rPr>
        <w:t>The information was exempt as compliance would prejudice law</w:t>
      </w:r>
      <w:r>
        <w:rPr>
          <w:spacing w:val="-19"/>
          <w:sz w:val="22"/>
        </w:rPr>
        <w:t> </w:t>
      </w:r>
      <w:r>
        <w:rPr>
          <w:sz w:val="22"/>
        </w:rPr>
        <w:t>enforcement.</w:t>
      </w:r>
    </w:p>
    <w:p>
      <w:pPr>
        <w:pStyle w:val="ListParagraph"/>
        <w:numPr>
          <w:ilvl w:val="0"/>
          <w:numId w:val="5"/>
        </w:numPr>
        <w:tabs>
          <w:tab w:pos="967" w:val="left" w:leader="none"/>
        </w:tabs>
        <w:spacing w:line="266" w:lineRule="auto" w:before="35" w:after="0"/>
        <w:ind w:left="680" w:right="921" w:hanging="1"/>
        <w:jc w:val="left"/>
        <w:rPr>
          <w:sz w:val="22"/>
        </w:rPr>
      </w:pPr>
      <w:r>
        <w:rPr>
          <w:sz w:val="22"/>
        </w:rPr>
        <w:t>Information requested related to personal data and compliance would breach the principles in UK</w:t>
      </w:r>
      <w:r>
        <w:rPr>
          <w:spacing w:val="-1"/>
          <w:sz w:val="22"/>
        </w:rPr>
        <w:t> </w:t>
      </w:r>
      <w:r>
        <w:rPr>
          <w:sz w:val="22"/>
        </w:rPr>
        <w:t>GDPR.</w:t>
      </w:r>
    </w:p>
    <w:p>
      <w:pPr>
        <w:pStyle w:val="BodyText"/>
        <w:spacing w:before="4"/>
        <w:rPr>
          <w:sz w:val="26"/>
        </w:rPr>
      </w:pPr>
    </w:p>
    <w:p>
      <w:pPr>
        <w:pStyle w:val="BodyText"/>
        <w:spacing w:line="276" w:lineRule="auto" w:before="1"/>
        <w:ind w:left="680" w:right="942" w:hanging="1"/>
      </w:pPr>
      <w:r>
        <w:rPr/>
        <w:t>In 81 cases, the CCG was unable to provide all the information requested, as it was either not held in full, or only partially held. Where the CCG did not hold the information, the applicant was redirected, where possible, to other organisation(s); that may hold the information.</w:t>
      </w:r>
    </w:p>
    <w:p>
      <w:pPr>
        <w:pStyle w:val="BodyText"/>
        <w:spacing w:line="283" w:lineRule="auto" w:before="197"/>
        <w:ind w:left="680" w:right="1345"/>
      </w:pPr>
      <w:r>
        <w:rPr/>
        <w:t>The CCG did not receive any requests for an internal review of an FOI response provided during the year.</w:t>
      </w:r>
    </w:p>
    <w:p>
      <w:pPr>
        <w:pStyle w:val="BodyText"/>
        <w:spacing w:line="276" w:lineRule="auto" w:before="186"/>
        <w:ind w:left="680" w:right="839"/>
        <w:rPr>
          <w:rFonts w:ascii="Calibri"/>
        </w:rPr>
      </w:pPr>
      <w:r>
        <w:rPr/>
        <w:t>The Section 45 Code of Practice under FOIA recommends that public authorities with over 100 Full Time Equivalent employees publish FOIA compliance statistics as part of their publication schemes. As a matter of best practice the CCG publishes FOIA reports on a quarterly basis at the link below: </w:t>
      </w:r>
      <w:hyperlink r:id="rId26">
        <w:r>
          <w:rPr>
            <w:rFonts w:ascii="Calibri"/>
            <w:color w:val="0000FF"/>
            <w:u w:val="single" w:color="0000FF"/>
          </w:rPr>
          <w:t>https://northlincolnshireccg.nhs.uk/publication-scheme/what-are-our-priorities-and</w:t>
        </w:r>
      </w:hyperlink>
      <w:hyperlink r:id="rId26">
        <w:r>
          <w:rPr>
            <w:rFonts w:ascii="Calibri"/>
            <w:color w:val="0000FF"/>
            <w:u w:val="single" w:color="0000FF"/>
          </w:rPr>
          <w:t>-</w:t>
        </w:r>
      </w:hyperlink>
      <w:r>
        <w:rPr>
          <w:rFonts w:ascii="Calibri"/>
          <w:color w:val="0000FF"/>
        </w:rPr>
        <w:t> </w:t>
      </w:r>
      <w:hyperlink r:id="rId26">
        <w:r>
          <w:rPr>
            <w:rFonts w:ascii="Calibri"/>
            <w:color w:val="0000FF"/>
            <w:u w:val="single" w:color="0000FF"/>
          </w:rPr>
          <w:t>how-are-we-doing/</w:t>
        </w:r>
      </w:hyperlink>
    </w:p>
    <w:p>
      <w:pPr>
        <w:pStyle w:val="BodyText"/>
        <w:spacing w:before="10"/>
        <w:rPr>
          <w:rFonts w:ascii="Calibri"/>
          <w:sz w:val="8"/>
        </w:rPr>
      </w:pPr>
    </w:p>
    <w:p>
      <w:pPr>
        <w:pStyle w:val="BodyText"/>
        <w:spacing w:line="276" w:lineRule="auto" w:before="94"/>
        <w:ind w:left="680" w:right="709"/>
        <w:rPr>
          <w:rFonts w:ascii="Calibri"/>
        </w:rPr>
      </w:pPr>
      <w:r>
        <w:rPr/>
        <w:t>Our publication scheme contains documents that are routinely published; this is available on our website: </w:t>
      </w:r>
      <w:hyperlink r:id="rId27">
        <w:r>
          <w:rPr>
            <w:rFonts w:ascii="Calibri"/>
            <w:color w:val="0000FF"/>
            <w:u w:val="single" w:color="0000FF"/>
          </w:rPr>
          <w:t>https://northlincolnshireccg.nhs.uk/publication-</w:t>
        </w:r>
      </w:hyperlink>
      <w:hyperlink r:id="rId27">
        <w:r>
          <w:rPr>
            <w:rFonts w:ascii="Calibri"/>
            <w:color w:val="0000FF"/>
            <w:u w:val="single" w:color="0000FF"/>
          </w:rPr>
          <w:t>scheme/</w:t>
        </w:r>
      </w:hyperlink>
    </w:p>
    <w:p>
      <w:pPr>
        <w:spacing w:after="0" w:line="276" w:lineRule="auto"/>
        <w:rPr>
          <w:rFonts w:ascii="Calibri"/>
        </w:rPr>
        <w:sectPr>
          <w:pgSz w:w="11920" w:h="16850"/>
          <w:pgMar w:header="0" w:footer="363" w:top="1320" w:bottom="640" w:left="760" w:right="420"/>
        </w:sectPr>
      </w:pPr>
    </w:p>
    <w:p>
      <w:pPr>
        <w:pStyle w:val="Heading4"/>
        <w:spacing w:before="79"/>
      </w:pPr>
      <w:bookmarkStart w:name="Handling complaints" w:id="115"/>
      <w:bookmarkEnd w:id="115"/>
      <w:r>
        <w:rPr>
          <w:b w:val="0"/>
        </w:rPr>
      </w:r>
      <w:r>
        <w:rPr>
          <w:color w:val="4F81BA"/>
        </w:rPr>
        <w:t>Handling complaints</w:t>
      </w:r>
    </w:p>
    <w:p>
      <w:pPr>
        <w:pStyle w:val="BodyText"/>
        <w:spacing w:before="10"/>
        <w:rPr>
          <w:b/>
          <w:sz w:val="26"/>
        </w:rPr>
      </w:pPr>
    </w:p>
    <w:p>
      <w:pPr>
        <w:pStyle w:val="Heading6"/>
        <w:spacing w:line="242" w:lineRule="auto"/>
        <w:ind w:right="1323"/>
      </w:pPr>
      <w:bookmarkStart w:name="Ensuring that our patient and service us" w:id="116"/>
      <w:bookmarkEnd w:id="116"/>
      <w:r>
        <w:rPr>
          <w:b w:val="0"/>
        </w:rPr>
      </w:r>
      <w:r>
        <w:rPr/>
        <w:t>Ensuring that our patient and service user voice is heard is a fundamental principle within the CCG and this is never more important than when the experience of local health services fall short of expectations.</w:t>
      </w:r>
    </w:p>
    <w:p>
      <w:pPr>
        <w:pStyle w:val="BodyText"/>
        <w:spacing w:before="193"/>
        <w:ind w:left="680" w:right="966"/>
      </w:pPr>
      <w:r>
        <w:rPr/>
        <w:t>North Lincolnshire CCG recognise that every concern or complaint presents an opportunity to improve the quality and safety of the services it provides or commissions. The feedback received from complaints is a central part of our intelligence monitoring and helps to identify themes and trends.</w:t>
      </w:r>
    </w:p>
    <w:p>
      <w:pPr>
        <w:pStyle w:val="BodyText"/>
        <w:spacing w:before="196"/>
        <w:ind w:left="680" w:right="832"/>
      </w:pPr>
      <w:r>
        <w:rPr/>
        <w:t>Robust complaints procedures and policies are in place, for all local providers, to effectively manage complaints received. In accordance with the NHS Complaints Regulations, complaints processes and procedures are also in place at North Lincolnshire CCG for receiving, handling, investigating and resolving complaints relating to the actions of the CCG, its staff and services, as well as it’s commissioned services. For further information regarding the CCG’s complaints process please visit the CCG website at </w:t>
      </w:r>
      <w:hyperlink r:id="rId28">
        <w:r>
          <w:rPr>
            <w:color w:val="0000FF"/>
            <w:u w:val="single" w:color="0000FF"/>
          </w:rPr>
          <w:t>https://northlincolnshireccg.nhs.uk/</w:t>
        </w:r>
      </w:hyperlink>
    </w:p>
    <w:p>
      <w:pPr>
        <w:pStyle w:val="BodyText"/>
        <w:rPr>
          <w:sz w:val="20"/>
        </w:rPr>
      </w:pPr>
    </w:p>
    <w:p>
      <w:pPr>
        <w:pStyle w:val="BodyText"/>
        <w:spacing w:before="3"/>
        <w:rPr>
          <w:sz w:val="29"/>
        </w:rPr>
      </w:pPr>
    </w:p>
    <w:p>
      <w:pPr>
        <w:pStyle w:val="Heading4"/>
        <w:spacing w:before="92"/>
        <w:jc w:val="both"/>
      </w:pPr>
      <w:bookmarkStart w:name="Personal data related incidents" w:id="117"/>
      <w:bookmarkEnd w:id="117"/>
      <w:r>
        <w:rPr>
          <w:b w:val="0"/>
        </w:rPr>
      </w:r>
      <w:r>
        <w:rPr>
          <w:color w:val="4F81BB"/>
        </w:rPr>
        <w:t>Personal data related incidents</w:t>
      </w:r>
    </w:p>
    <w:p>
      <w:pPr>
        <w:pStyle w:val="BodyText"/>
        <w:spacing w:before="134"/>
        <w:ind w:left="680" w:right="992"/>
        <w:jc w:val="both"/>
      </w:pPr>
      <w:r>
        <w:rPr/>
        <w:t>The CCG recognises the importance of maintaining data in a safe and secure environment. It uses the Serious Incidents Requiring Investigation (SIRI) tool to assess any matters involving any potential data loss to the organisation.</w:t>
      </w:r>
    </w:p>
    <w:p>
      <w:pPr>
        <w:pStyle w:val="BodyText"/>
        <w:spacing w:before="201"/>
        <w:ind w:left="680"/>
        <w:jc w:val="both"/>
      </w:pPr>
      <w:r>
        <w:rPr/>
        <w:t>The CCG had no such incidents during 2021-22.</w:t>
      </w:r>
    </w:p>
    <w:p>
      <w:pPr>
        <w:pStyle w:val="BodyText"/>
        <w:rPr>
          <w:sz w:val="24"/>
        </w:rPr>
      </w:pPr>
    </w:p>
    <w:p>
      <w:pPr>
        <w:pStyle w:val="Heading4"/>
        <w:spacing w:before="180"/>
        <w:jc w:val="both"/>
      </w:pPr>
      <w:bookmarkStart w:name="Statement of Disclosure to Auditors" w:id="118"/>
      <w:bookmarkEnd w:id="118"/>
      <w:r>
        <w:rPr>
          <w:b w:val="0"/>
        </w:rPr>
      </w:r>
      <w:r>
        <w:rPr>
          <w:color w:val="4F81BB"/>
        </w:rPr>
        <w:t>Statement of Disclosure to Auditors</w:t>
      </w:r>
    </w:p>
    <w:p>
      <w:pPr>
        <w:pStyle w:val="BodyText"/>
        <w:spacing w:before="8"/>
        <w:rPr>
          <w:b/>
          <w:sz w:val="32"/>
        </w:rPr>
      </w:pPr>
    </w:p>
    <w:p>
      <w:pPr>
        <w:pStyle w:val="BodyText"/>
        <w:ind w:left="680" w:right="1260"/>
      </w:pPr>
      <w:r>
        <w:rPr/>
        <w:t>Each individual who is a member of the CCG at the time the Members’ Report is approved confirms:</w:t>
      </w:r>
    </w:p>
    <w:p>
      <w:pPr>
        <w:pStyle w:val="BodyText"/>
        <w:spacing w:before="3"/>
        <w:rPr>
          <w:sz w:val="21"/>
        </w:rPr>
      </w:pPr>
    </w:p>
    <w:p>
      <w:pPr>
        <w:pStyle w:val="ListParagraph"/>
        <w:numPr>
          <w:ilvl w:val="1"/>
          <w:numId w:val="5"/>
        </w:numPr>
        <w:tabs>
          <w:tab w:pos="1812" w:val="left" w:leader="none"/>
          <w:tab w:pos="1813" w:val="left" w:leader="none"/>
        </w:tabs>
        <w:spacing w:line="235" w:lineRule="auto" w:before="0" w:after="0"/>
        <w:ind w:left="1812" w:right="1041" w:hanging="567"/>
        <w:jc w:val="left"/>
        <w:rPr>
          <w:rFonts w:ascii="Symbol" w:hAnsi="Symbol"/>
          <w:sz w:val="22"/>
        </w:rPr>
      </w:pPr>
      <w:r>
        <w:rPr>
          <w:sz w:val="22"/>
        </w:rPr>
        <w:t>so far as the member is aware, there is no relevant audit information of which the CCG’s auditor is unaware that would be relevant for the purposes of their audit report</w:t>
      </w:r>
    </w:p>
    <w:p>
      <w:pPr>
        <w:pStyle w:val="BodyText"/>
        <w:spacing w:before="7"/>
        <w:rPr>
          <w:sz w:val="21"/>
        </w:rPr>
      </w:pPr>
    </w:p>
    <w:p>
      <w:pPr>
        <w:pStyle w:val="ListParagraph"/>
        <w:numPr>
          <w:ilvl w:val="1"/>
          <w:numId w:val="5"/>
        </w:numPr>
        <w:tabs>
          <w:tab w:pos="1812" w:val="left" w:leader="none"/>
          <w:tab w:pos="1813" w:val="left" w:leader="none"/>
        </w:tabs>
        <w:spacing w:line="237" w:lineRule="auto" w:before="0" w:after="0"/>
        <w:ind w:left="1812" w:right="942" w:hanging="567"/>
        <w:jc w:val="left"/>
        <w:rPr>
          <w:rFonts w:ascii="Symbol" w:hAnsi="Symbol"/>
          <w:sz w:val="22"/>
        </w:rPr>
      </w:pPr>
      <w:r>
        <w:rPr>
          <w:sz w:val="22"/>
        </w:rPr>
        <w:t>the member has taken all the steps that they ought to have taken in order to make him or herself aware of any relevant audit information and to establish that the CCG’s auditor is aware of it.</w:t>
      </w:r>
    </w:p>
    <w:p>
      <w:pPr>
        <w:pStyle w:val="BodyText"/>
        <w:spacing w:before="8"/>
        <w:rPr>
          <w:sz w:val="32"/>
        </w:rPr>
      </w:pPr>
    </w:p>
    <w:p>
      <w:pPr>
        <w:pStyle w:val="Heading4"/>
      </w:pPr>
      <w:bookmarkStart w:name="Modern Slavery Act" w:id="119"/>
      <w:bookmarkEnd w:id="119"/>
      <w:r>
        <w:rPr>
          <w:b w:val="0"/>
        </w:rPr>
      </w:r>
      <w:r>
        <w:rPr>
          <w:color w:val="4F81BB"/>
        </w:rPr>
        <w:t>Modern Slavery Act</w:t>
      </w:r>
    </w:p>
    <w:p>
      <w:pPr>
        <w:pStyle w:val="BodyText"/>
        <w:spacing w:before="1"/>
        <w:rPr>
          <w:b/>
        </w:rPr>
      </w:pPr>
    </w:p>
    <w:p>
      <w:pPr>
        <w:pStyle w:val="BodyText"/>
        <w:ind w:left="679" w:right="980"/>
      </w:pPr>
      <w:r>
        <w:rPr/>
        <w:t>NHS North Lincolnshire CCG fully supports the Government’s objectives to eradicate modern slavery and human trafficking but does not meet the requirements for producing an annual Slavery and Human Trafficking Statement as set out in the Modern Slavery Act 2015.</w:t>
      </w:r>
    </w:p>
    <w:p>
      <w:pPr>
        <w:pStyle w:val="BodyText"/>
        <w:rPr>
          <w:sz w:val="24"/>
        </w:rPr>
      </w:pPr>
    </w:p>
    <w:p>
      <w:pPr>
        <w:pStyle w:val="BodyText"/>
        <w:spacing w:before="2"/>
        <w:rPr>
          <w:sz w:val="20"/>
        </w:rPr>
      </w:pPr>
    </w:p>
    <w:p>
      <w:pPr>
        <w:pStyle w:val="Heading4"/>
        <w:spacing w:before="1"/>
      </w:pPr>
      <w:bookmarkStart w:name="Emergency Preparedness, Resilience and R" w:id="120"/>
      <w:bookmarkEnd w:id="120"/>
      <w:r>
        <w:rPr>
          <w:b w:val="0"/>
        </w:rPr>
      </w:r>
      <w:r>
        <w:rPr>
          <w:color w:val="4F81BB"/>
        </w:rPr>
        <w:t>Emergency Preparedness, Resilience and Response (EPRR)</w:t>
      </w:r>
    </w:p>
    <w:p>
      <w:pPr>
        <w:pStyle w:val="BodyText"/>
        <w:spacing w:before="9"/>
        <w:rPr>
          <w:b/>
          <w:sz w:val="21"/>
        </w:rPr>
      </w:pPr>
    </w:p>
    <w:p>
      <w:pPr>
        <w:pStyle w:val="BodyText"/>
        <w:spacing w:before="1"/>
        <w:ind w:left="679" w:right="991"/>
      </w:pPr>
      <w:r>
        <w:rPr/>
        <w:t>The CCG is required to develop and maintain sufficient plans to ensure that the organisation and all commissioned services are well prepared to respond effectively to major incidents or emergencies. These plans serve to mitigate the risk to public and patients and ensure that critical functions can be maintained in the event of unforeseen disruption to services. Our key role and responsibilities in relation to EPRR include:</w:t>
      </w:r>
    </w:p>
    <w:p>
      <w:pPr>
        <w:spacing w:after="0"/>
        <w:sectPr>
          <w:pgSz w:w="11920" w:h="16850"/>
          <w:pgMar w:header="0" w:footer="363" w:top="1320" w:bottom="640" w:left="760" w:right="420"/>
        </w:sectPr>
      </w:pPr>
    </w:p>
    <w:p>
      <w:pPr>
        <w:pStyle w:val="ListParagraph"/>
        <w:numPr>
          <w:ilvl w:val="0"/>
          <w:numId w:val="3"/>
        </w:numPr>
        <w:tabs>
          <w:tab w:pos="884" w:val="left" w:leader="none"/>
        </w:tabs>
        <w:spacing w:line="240" w:lineRule="auto" w:before="81" w:after="0"/>
        <w:ind w:left="679" w:right="894" w:firstLine="62"/>
        <w:jc w:val="left"/>
        <w:rPr>
          <w:sz w:val="22"/>
        </w:rPr>
      </w:pPr>
      <w:r>
        <w:rPr>
          <w:sz w:val="22"/>
        </w:rPr>
        <w:t>Ensuring all contracts with commissioned provider organisations (including independent and third sector) contain relevant EPRR elements, including business</w:t>
      </w:r>
      <w:r>
        <w:rPr>
          <w:spacing w:val="-13"/>
          <w:sz w:val="22"/>
        </w:rPr>
        <w:t> </w:t>
      </w:r>
      <w:r>
        <w:rPr>
          <w:sz w:val="22"/>
        </w:rPr>
        <w:t>continuity</w:t>
      </w:r>
    </w:p>
    <w:p>
      <w:pPr>
        <w:pStyle w:val="ListParagraph"/>
        <w:numPr>
          <w:ilvl w:val="0"/>
          <w:numId w:val="3"/>
        </w:numPr>
        <w:tabs>
          <w:tab w:pos="882" w:val="left" w:leader="none"/>
        </w:tabs>
        <w:spacing w:line="240" w:lineRule="auto" w:before="197" w:after="0"/>
        <w:ind w:left="680" w:right="1152" w:firstLine="62"/>
        <w:jc w:val="left"/>
        <w:rPr>
          <w:sz w:val="22"/>
        </w:rPr>
      </w:pPr>
      <w:r>
        <w:rPr>
          <w:sz w:val="22"/>
        </w:rPr>
        <w:t>Monitoring compliance by each commissioned provider organisation with their contractual obligations in respect of EPRR and with applicable core</w:t>
      </w:r>
      <w:r>
        <w:rPr>
          <w:spacing w:val="-9"/>
          <w:sz w:val="22"/>
        </w:rPr>
        <w:t> </w:t>
      </w:r>
      <w:r>
        <w:rPr>
          <w:sz w:val="22"/>
        </w:rPr>
        <w:t>standards</w:t>
      </w:r>
    </w:p>
    <w:p>
      <w:pPr>
        <w:pStyle w:val="ListParagraph"/>
        <w:numPr>
          <w:ilvl w:val="0"/>
          <w:numId w:val="3"/>
        </w:numPr>
        <w:tabs>
          <w:tab w:pos="885" w:val="left" w:leader="none"/>
        </w:tabs>
        <w:spacing w:line="244" w:lineRule="auto" w:before="199" w:after="0"/>
        <w:ind w:left="680" w:right="770" w:firstLine="62"/>
        <w:jc w:val="left"/>
        <w:rPr>
          <w:sz w:val="22"/>
        </w:rPr>
      </w:pPr>
      <w:r>
        <w:rPr>
          <w:sz w:val="22"/>
        </w:rPr>
        <w:t>Ensuring robust escalation procedures are in place so that if a commissioned provider has an incident the provider can inform the </w:t>
      </w:r>
      <w:r>
        <w:rPr>
          <w:spacing w:val="-3"/>
          <w:sz w:val="22"/>
        </w:rPr>
        <w:t>CCG </w:t>
      </w:r>
      <w:r>
        <w:rPr>
          <w:sz w:val="22"/>
        </w:rPr>
        <w:t>24 hours a day, seven days a</w:t>
      </w:r>
      <w:r>
        <w:rPr>
          <w:spacing w:val="-23"/>
          <w:sz w:val="22"/>
        </w:rPr>
        <w:t> </w:t>
      </w:r>
      <w:r>
        <w:rPr>
          <w:sz w:val="22"/>
        </w:rPr>
        <w:t>week</w:t>
      </w:r>
    </w:p>
    <w:p>
      <w:pPr>
        <w:pStyle w:val="ListParagraph"/>
        <w:numPr>
          <w:ilvl w:val="0"/>
          <w:numId w:val="3"/>
        </w:numPr>
        <w:tabs>
          <w:tab w:pos="884" w:val="left" w:leader="none"/>
        </w:tabs>
        <w:spacing w:line="240" w:lineRule="auto" w:before="190" w:after="0"/>
        <w:ind w:left="679" w:right="1002" w:firstLine="62"/>
        <w:jc w:val="left"/>
        <w:rPr>
          <w:sz w:val="22"/>
        </w:rPr>
      </w:pPr>
      <w:r>
        <w:rPr>
          <w:sz w:val="22"/>
        </w:rPr>
        <w:t>Ensuring effective processes are in place for the CCG to properly prepare for and rehearse incident response arrangements with local partners and</w:t>
      </w:r>
      <w:r>
        <w:rPr>
          <w:spacing w:val="-11"/>
          <w:sz w:val="22"/>
        </w:rPr>
        <w:t> </w:t>
      </w:r>
      <w:r>
        <w:rPr>
          <w:sz w:val="22"/>
        </w:rPr>
        <w:t>providers</w:t>
      </w:r>
    </w:p>
    <w:p>
      <w:pPr>
        <w:pStyle w:val="ListParagraph"/>
        <w:numPr>
          <w:ilvl w:val="0"/>
          <w:numId w:val="3"/>
        </w:numPr>
        <w:tabs>
          <w:tab w:pos="884" w:val="left" w:leader="none"/>
        </w:tabs>
        <w:spacing w:line="240" w:lineRule="auto" w:before="197" w:after="0"/>
        <w:ind w:left="679" w:right="904" w:firstLine="62"/>
        <w:jc w:val="left"/>
        <w:rPr>
          <w:sz w:val="22"/>
        </w:rPr>
      </w:pPr>
      <w:r>
        <w:rPr>
          <w:sz w:val="22"/>
        </w:rPr>
        <w:t>Being represented at Strategic Health Gold Command response for Covid-19 and the LHRP during 2021-22. Providing a route of escalation for the LHRP in respect of commissioned provider EPRR</w:t>
      </w:r>
      <w:r>
        <w:rPr>
          <w:spacing w:val="1"/>
          <w:sz w:val="22"/>
        </w:rPr>
        <w:t> </w:t>
      </w:r>
      <w:r>
        <w:rPr>
          <w:sz w:val="22"/>
        </w:rPr>
        <w:t>preparedness</w:t>
      </w:r>
    </w:p>
    <w:p>
      <w:pPr>
        <w:pStyle w:val="ListParagraph"/>
        <w:numPr>
          <w:ilvl w:val="0"/>
          <w:numId w:val="3"/>
        </w:numPr>
        <w:tabs>
          <w:tab w:pos="822" w:val="left" w:leader="none"/>
        </w:tabs>
        <w:spacing w:line="240" w:lineRule="auto" w:before="201" w:after="0"/>
        <w:ind w:left="679" w:right="1399" w:firstLine="0"/>
        <w:jc w:val="left"/>
        <w:rPr>
          <w:sz w:val="22"/>
        </w:rPr>
      </w:pPr>
      <w:r>
        <w:rPr>
          <w:sz w:val="22"/>
        </w:rPr>
        <w:t>Supporting NHS England in discharging its EPRR functions and duties locally, including supporting health economy tactical coordination during</w:t>
      </w:r>
      <w:r>
        <w:rPr>
          <w:spacing w:val="-17"/>
          <w:sz w:val="22"/>
        </w:rPr>
        <w:t> </w:t>
      </w:r>
      <w:r>
        <w:rPr>
          <w:sz w:val="22"/>
        </w:rPr>
        <w:t>incidents.</w:t>
      </w:r>
    </w:p>
    <w:p>
      <w:pPr>
        <w:pStyle w:val="BodyText"/>
        <w:spacing w:line="244" w:lineRule="auto" w:before="199"/>
        <w:ind w:left="679" w:right="772"/>
      </w:pPr>
      <w:r>
        <w:rPr/>
        <w:t>We certify that the CCG has incident response plans in place, which are fully compliant with the NHS England EPRR Framework (2015).</w:t>
      </w:r>
    </w:p>
    <w:p>
      <w:pPr>
        <w:pStyle w:val="BodyText"/>
        <w:spacing w:before="188"/>
        <w:ind w:left="679" w:right="820"/>
      </w:pPr>
      <w:r>
        <w:rPr/>
        <w:t>The CCG regularly reviews and makes improvements to its EPRR plans, including business continuity. These plans provide assurance that the CCG has robust processes in place to meet its statutory duties.</w:t>
      </w:r>
    </w:p>
    <w:p>
      <w:pPr>
        <w:spacing w:after="0"/>
        <w:sectPr>
          <w:pgSz w:w="11920" w:h="16850"/>
          <w:pgMar w:header="0" w:footer="363" w:top="1320" w:bottom="640" w:left="760" w:right="420"/>
        </w:sectPr>
      </w:pPr>
    </w:p>
    <w:p>
      <w:pPr>
        <w:spacing w:line="360" w:lineRule="auto" w:before="77"/>
        <w:ind w:left="680" w:right="3372" w:firstLine="0"/>
        <w:jc w:val="left"/>
        <w:rPr>
          <w:b/>
          <w:sz w:val="40"/>
        </w:rPr>
      </w:pPr>
      <w:bookmarkStart w:name="_bookmark18" w:id="121"/>
      <w:bookmarkEnd w:id="121"/>
      <w:r>
        <w:rPr/>
      </w:r>
      <w:r>
        <w:rPr>
          <w:b/>
          <w:sz w:val="40"/>
        </w:rPr>
        <w:t>Statement of Accountable Officer’s Responsibilities</w:t>
      </w:r>
    </w:p>
    <w:p>
      <w:pPr>
        <w:pStyle w:val="Heading5"/>
        <w:spacing w:line="360" w:lineRule="auto" w:before="124"/>
        <w:ind w:left="680" w:right="1262"/>
      </w:pPr>
      <w:bookmarkStart w:name="The National Health Service Act 2006 (as" w:id="122"/>
      <w:bookmarkEnd w:id="122"/>
      <w:r>
        <w:rPr/>
      </w:r>
      <w:r>
        <w:rPr/>
        <w:t>The National Health Service Act 2006 (as amended) states that each Clinical Commissioning Group shall have an Accountable Officer and that Officer shall be appointed by the NHS Commissioning Board (NHS England). NHS England has appointed Emma Latimer to be the Accountable Officer of North Lincolnshire CCG.</w:t>
      </w:r>
    </w:p>
    <w:p>
      <w:pPr>
        <w:spacing w:line="360" w:lineRule="auto" w:before="118"/>
        <w:ind w:left="680" w:right="1235" w:firstLine="0"/>
        <w:jc w:val="left"/>
        <w:rPr>
          <w:sz w:val="24"/>
        </w:rPr>
      </w:pPr>
      <w:r>
        <w:rPr>
          <w:sz w:val="24"/>
        </w:rPr>
        <w:t>The responsibilities of an Accountable Officer are set out under the National Health Service Act 2006 (as amended), Managing Public Money and in the Clinical Commissioning Group Accountable Officer Appointment Letter. They include responsibilities for:</w:t>
      </w:r>
    </w:p>
    <w:p>
      <w:pPr>
        <w:pStyle w:val="ListParagraph"/>
        <w:numPr>
          <w:ilvl w:val="1"/>
          <w:numId w:val="3"/>
        </w:numPr>
        <w:tabs>
          <w:tab w:pos="1399" w:val="left" w:leader="none"/>
          <w:tab w:pos="1400" w:val="left" w:leader="none"/>
        </w:tabs>
        <w:spacing w:line="343" w:lineRule="auto" w:before="121" w:after="0"/>
        <w:ind w:left="1399" w:right="1254" w:hanging="360"/>
        <w:jc w:val="left"/>
        <w:rPr>
          <w:rFonts w:ascii="Symbol" w:hAnsi="Symbol"/>
          <w:sz w:val="24"/>
        </w:rPr>
      </w:pPr>
      <w:r>
        <w:rPr>
          <w:sz w:val="24"/>
        </w:rPr>
        <w:t>The propriety and regularity of the public finances for which the Accountable Officer is</w:t>
      </w:r>
      <w:r>
        <w:rPr>
          <w:spacing w:val="-4"/>
          <w:sz w:val="24"/>
        </w:rPr>
        <w:t> </w:t>
      </w:r>
      <w:r>
        <w:rPr>
          <w:sz w:val="24"/>
        </w:rPr>
        <w:t>answerable,</w:t>
      </w:r>
    </w:p>
    <w:p>
      <w:pPr>
        <w:pStyle w:val="ListParagraph"/>
        <w:numPr>
          <w:ilvl w:val="1"/>
          <w:numId w:val="3"/>
        </w:numPr>
        <w:tabs>
          <w:tab w:pos="1399" w:val="left" w:leader="none"/>
          <w:tab w:pos="1400" w:val="left" w:leader="none"/>
        </w:tabs>
        <w:spacing w:line="352" w:lineRule="auto" w:before="17" w:after="0"/>
        <w:ind w:left="1400" w:right="735" w:hanging="360"/>
        <w:jc w:val="left"/>
        <w:rPr>
          <w:rFonts w:ascii="Symbol" w:hAnsi="Symbol"/>
          <w:sz w:val="24"/>
        </w:rPr>
      </w:pPr>
      <w:r>
        <w:rPr>
          <w:sz w:val="24"/>
        </w:rPr>
        <w:t>For keeping proper accounting records (which disclose with reasonable accuracy at any time the financial position of the Clinical Commissioning Group and enable them to ensure that the accounts comply with the requirements of the Accounts</w:t>
      </w:r>
      <w:r>
        <w:rPr>
          <w:spacing w:val="-1"/>
          <w:sz w:val="24"/>
        </w:rPr>
        <w:t> </w:t>
      </w:r>
      <w:r>
        <w:rPr>
          <w:sz w:val="24"/>
        </w:rPr>
        <w:t>Direction),</w:t>
      </w:r>
    </w:p>
    <w:p>
      <w:pPr>
        <w:pStyle w:val="ListParagraph"/>
        <w:numPr>
          <w:ilvl w:val="1"/>
          <w:numId w:val="3"/>
        </w:numPr>
        <w:tabs>
          <w:tab w:pos="1399" w:val="left" w:leader="none"/>
          <w:tab w:pos="1400" w:val="left" w:leader="none"/>
        </w:tabs>
        <w:spacing w:line="350" w:lineRule="auto" w:before="9" w:after="0"/>
        <w:ind w:left="1400" w:right="1283" w:hanging="360"/>
        <w:jc w:val="left"/>
        <w:rPr>
          <w:rFonts w:ascii="Symbol" w:hAnsi="Symbol"/>
          <w:sz w:val="24"/>
        </w:rPr>
      </w:pPr>
      <w:r>
        <w:rPr>
          <w:sz w:val="24"/>
        </w:rPr>
        <w:t>For safeguarding the Clinical Commissioning Group’s assets (and hence for taking reasonable steps for the prevention and detection of fraud and other irregularities).</w:t>
      </w:r>
    </w:p>
    <w:p>
      <w:pPr>
        <w:pStyle w:val="ListParagraph"/>
        <w:numPr>
          <w:ilvl w:val="1"/>
          <w:numId w:val="3"/>
        </w:numPr>
        <w:tabs>
          <w:tab w:pos="1399" w:val="left" w:leader="none"/>
          <w:tab w:pos="1400" w:val="left" w:leader="none"/>
        </w:tabs>
        <w:spacing w:line="340" w:lineRule="auto" w:before="13" w:after="0"/>
        <w:ind w:left="1400" w:right="1498" w:hanging="360"/>
        <w:jc w:val="left"/>
        <w:rPr>
          <w:rFonts w:ascii="Symbol" w:hAnsi="Symbol"/>
          <w:sz w:val="24"/>
        </w:rPr>
      </w:pPr>
      <w:r>
        <w:rPr>
          <w:sz w:val="24"/>
        </w:rPr>
        <w:t>The relevant responsibilities of accounting officers under Managing Public Money,</w:t>
      </w:r>
    </w:p>
    <w:p>
      <w:pPr>
        <w:pStyle w:val="ListParagraph"/>
        <w:numPr>
          <w:ilvl w:val="1"/>
          <w:numId w:val="3"/>
        </w:numPr>
        <w:tabs>
          <w:tab w:pos="1399" w:val="left" w:leader="none"/>
          <w:tab w:pos="1400" w:val="left" w:leader="none"/>
        </w:tabs>
        <w:spacing w:line="355" w:lineRule="auto" w:before="24" w:after="0"/>
        <w:ind w:left="1400" w:right="773" w:hanging="360"/>
        <w:jc w:val="left"/>
        <w:rPr>
          <w:rFonts w:ascii="Symbol" w:hAnsi="Symbol"/>
          <w:sz w:val="24"/>
        </w:rPr>
      </w:pPr>
      <w:r>
        <w:rPr>
          <w:sz w:val="24"/>
        </w:rPr>
        <w:t>Ensuring the CCG exercises its functions effectively, efficiently and economically (in accordance with Section 14Q of the National Health Service Act 2006 (as amended)) and with a view to securing continuous improvement in the quality of services (in accordance with Section14Rof the National Health Service Act 2006 (as</w:t>
      </w:r>
      <w:r>
        <w:rPr>
          <w:spacing w:val="-1"/>
          <w:sz w:val="24"/>
        </w:rPr>
        <w:t> </w:t>
      </w:r>
      <w:r>
        <w:rPr>
          <w:sz w:val="24"/>
        </w:rPr>
        <w:t>amended)),</w:t>
      </w:r>
    </w:p>
    <w:p>
      <w:pPr>
        <w:pStyle w:val="ListParagraph"/>
        <w:numPr>
          <w:ilvl w:val="1"/>
          <w:numId w:val="3"/>
        </w:numPr>
        <w:tabs>
          <w:tab w:pos="1399" w:val="left" w:leader="none"/>
          <w:tab w:pos="1400" w:val="left" w:leader="none"/>
        </w:tabs>
        <w:spacing w:line="343" w:lineRule="auto" w:before="2" w:after="0"/>
        <w:ind w:left="1400" w:right="872" w:hanging="360"/>
        <w:jc w:val="left"/>
        <w:rPr>
          <w:rFonts w:ascii="Symbol" w:hAnsi="Symbol"/>
          <w:sz w:val="24"/>
        </w:rPr>
      </w:pPr>
      <w:r>
        <w:rPr>
          <w:sz w:val="24"/>
        </w:rPr>
        <w:t>Ensuring that the CCG complies with its financial duties under Sections 223H to 223J of the National Health Service Act 2006 (as</w:t>
      </w:r>
      <w:r>
        <w:rPr>
          <w:spacing w:val="-13"/>
          <w:sz w:val="24"/>
        </w:rPr>
        <w:t> </w:t>
      </w:r>
      <w:r>
        <w:rPr>
          <w:sz w:val="24"/>
        </w:rPr>
        <w:t>amended).</w:t>
      </w:r>
    </w:p>
    <w:p>
      <w:pPr>
        <w:spacing w:line="360" w:lineRule="auto" w:before="137"/>
        <w:ind w:left="680" w:right="888" w:firstLine="0"/>
        <w:jc w:val="left"/>
        <w:rPr>
          <w:sz w:val="24"/>
        </w:rPr>
      </w:pPr>
      <w:r>
        <w:rPr>
          <w:sz w:val="24"/>
        </w:rPr>
        <w:t>Under the National Health Service Act 2006 (as amended), NHS England has directed each Clinical Commissioning Group to prepare for each financial year a statement of accounts in the form and on the basis set out in the Accounts Direction. The accounts are prepared on an accruals basis and must give a true and fair view of the state of</w:t>
      </w:r>
    </w:p>
    <w:p>
      <w:pPr>
        <w:spacing w:after="0" w:line="360" w:lineRule="auto"/>
        <w:jc w:val="left"/>
        <w:rPr>
          <w:sz w:val="24"/>
        </w:rPr>
        <w:sectPr>
          <w:pgSz w:w="11920" w:h="16850"/>
          <w:pgMar w:header="0" w:footer="363" w:top="1320" w:bottom="640" w:left="760" w:right="420"/>
        </w:sectPr>
      </w:pPr>
    </w:p>
    <w:p>
      <w:pPr>
        <w:spacing w:line="360" w:lineRule="auto" w:before="81"/>
        <w:ind w:left="680" w:right="1702" w:firstLine="0"/>
        <w:jc w:val="left"/>
        <w:rPr>
          <w:sz w:val="24"/>
        </w:rPr>
      </w:pPr>
      <w:r>
        <w:rPr>
          <w:sz w:val="24"/>
        </w:rPr>
        <w:t>affairs of the Clinical Commissioning Group and of its income and expenditure, Statement of Financial Position and cash flows for the financial year.</w:t>
      </w:r>
    </w:p>
    <w:p>
      <w:pPr>
        <w:spacing w:line="360" w:lineRule="auto" w:before="118"/>
        <w:ind w:left="680" w:right="1488" w:firstLine="0"/>
        <w:jc w:val="left"/>
        <w:rPr>
          <w:sz w:val="24"/>
        </w:rPr>
      </w:pPr>
      <w:r>
        <w:rPr>
          <w:sz w:val="24"/>
        </w:rPr>
        <w:t>In preparing the accounts, the Accountable Officer is required to comply with the requirements of the Government Financial Reporting Manual and in particular to:</w:t>
      </w:r>
    </w:p>
    <w:p>
      <w:pPr>
        <w:pStyle w:val="ListParagraph"/>
        <w:numPr>
          <w:ilvl w:val="2"/>
          <w:numId w:val="3"/>
        </w:numPr>
        <w:tabs>
          <w:tab w:pos="1812" w:val="left" w:leader="none"/>
          <w:tab w:pos="1813" w:val="left" w:leader="none"/>
        </w:tabs>
        <w:spacing w:line="350" w:lineRule="auto" w:before="120" w:after="0"/>
        <w:ind w:left="1812" w:right="1458" w:hanging="567"/>
        <w:jc w:val="left"/>
        <w:rPr>
          <w:sz w:val="24"/>
        </w:rPr>
      </w:pPr>
      <w:r>
        <w:rPr>
          <w:sz w:val="24"/>
        </w:rPr>
        <w:t>Observe the Accounts Direction issued by NHS England, including the relevant accounting and disclosure requirements, and apply suitable accounting policies on a consistent</w:t>
      </w:r>
      <w:r>
        <w:rPr>
          <w:spacing w:val="-14"/>
          <w:sz w:val="24"/>
        </w:rPr>
        <w:t> </w:t>
      </w:r>
      <w:r>
        <w:rPr>
          <w:sz w:val="24"/>
        </w:rPr>
        <w:t>basis;</w:t>
      </w:r>
    </w:p>
    <w:p>
      <w:pPr>
        <w:pStyle w:val="ListParagraph"/>
        <w:numPr>
          <w:ilvl w:val="2"/>
          <w:numId w:val="3"/>
        </w:numPr>
        <w:tabs>
          <w:tab w:pos="1812" w:val="left" w:leader="none"/>
          <w:tab w:pos="1813" w:val="left" w:leader="none"/>
        </w:tabs>
        <w:spacing w:line="240" w:lineRule="auto" w:before="13" w:after="0"/>
        <w:ind w:left="1812" w:right="0" w:hanging="567"/>
        <w:jc w:val="left"/>
        <w:rPr>
          <w:sz w:val="24"/>
        </w:rPr>
      </w:pPr>
      <w:r>
        <w:rPr>
          <w:sz w:val="24"/>
        </w:rPr>
        <w:t>Make judgements and estimates on a reasonable</w:t>
      </w:r>
      <w:r>
        <w:rPr>
          <w:spacing w:val="-11"/>
          <w:sz w:val="24"/>
        </w:rPr>
        <w:t> </w:t>
      </w:r>
      <w:r>
        <w:rPr>
          <w:sz w:val="24"/>
        </w:rPr>
        <w:t>basis;</w:t>
      </w:r>
    </w:p>
    <w:p>
      <w:pPr>
        <w:pStyle w:val="ListParagraph"/>
        <w:numPr>
          <w:ilvl w:val="2"/>
          <w:numId w:val="3"/>
        </w:numPr>
        <w:tabs>
          <w:tab w:pos="1812" w:val="left" w:leader="none"/>
          <w:tab w:pos="1813" w:val="left" w:leader="none"/>
        </w:tabs>
        <w:spacing w:line="350" w:lineRule="auto" w:before="133" w:after="0"/>
        <w:ind w:left="1812" w:right="790" w:hanging="567"/>
        <w:jc w:val="left"/>
        <w:rPr>
          <w:sz w:val="24"/>
        </w:rPr>
      </w:pPr>
      <w:r>
        <w:rPr>
          <w:sz w:val="24"/>
        </w:rPr>
        <w:t>State whether applicable accounting standards as set out in the Government Financial Reporting Manual have been followed, and disclose and explain any material departures in the accounts;</w:t>
      </w:r>
      <w:r>
        <w:rPr>
          <w:spacing w:val="-5"/>
          <w:sz w:val="24"/>
        </w:rPr>
        <w:t> </w:t>
      </w:r>
      <w:r>
        <w:rPr>
          <w:sz w:val="24"/>
        </w:rPr>
        <w:t>and,</w:t>
      </w:r>
    </w:p>
    <w:p>
      <w:pPr>
        <w:pStyle w:val="ListParagraph"/>
        <w:numPr>
          <w:ilvl w:val="2"/>
          <w:numId w:val="3"/>
        </w:numPr>
        <w:tabs>
          <w:tab w:pos="1812" w:val="left" w:leader="none"/>
          <w:tab w:pos="1813" w:val="left" w:leader="none"/>
        </w:tabs>
        <w:spacing w:line="240" w:lineRule="auto" w:before="11" w:after="0"/>
        <w:ind w:left="1812" w:right="0" w:hanging="567"/>
        <w:jc w:val="left"/>
        <w:rPr>
          <w:sz w:val="24"/>
        </w:rPr>
      </w:pPr>
      <w:r>
        <w:rPr>
          <w:sz w:val="24"/>
        </w:rPr>
        <w:t>Prepare the accounts on a going concern basis;</w:t>
      </w:r>
      <w:r>
        <w:rPr>
          <w:spacing w:val="-18"/>
          <w:sz w:val="24"/>
        </w:rPr>
        <w:t> </w:t>
      </w:r>
      <w:r>
        <w:rPr>
          <w:sz w:val="24"/>
        </w:rPr>
        <w:t>and</w:t>
      </w:r>
    </w:p>
    <w:p>
      <w:pPr>
        <w:pStyle w:val="ListParagraph"/>
        <w:numPr>
          <w:ilvl w:val="2"/>
          <w:numId w:val="3"/>
        </w:numPr>
        <w:tabs>
          <w:tab w:pos="1812" w:val="left" w:leader="none"/>
          <w:tab w:pos="1813" w:val="left" w:leader="none"/>
        </w:tabs>
        <w:spacing w:line="355" w:lineRule="auto" w:before="135" w:after="0"/>
        <w:ind w:left="1812" w:right="1016" w:hanging="567"/>
        <w:jc w:val="left"/>
        <w:rPr>
          <w:sz w:val="24"/>
        </w:rPr>
      </w:pPr>
      <w:r>
        <w:rPr>
          <w:sz w:val="24"/>
        </w:rPr>
        <w:t>Confirm that the Annual Report and Accounts as a whole is fair, balanced and understandable and take personal responsibility for the Annual Report and Accounts and the judgements required for determining that it is fair, balanced and</w:t>
      </w:r>
      <w:r>
        <w:rPr>
          <w:spacing w:val="-6"/>
          <w:sz w:val="24"/>
        </w:rPr>
        <w:t> </w:t>
      </w:r>
      <w:r>
        <w:rPr>
          <w:sz w:val="24"/>
        </w:rPr>
        <w:t>understandable.</w:t>
      </w:r>
    </w:p>
    <w:p>
      <w:pPr>
        <w:pStyle w:val="BodyText"/>
        <w:rPr>
          <w:sz w:val="26"/>
        </w:rPr>
      </w:pPr>
    </w:p>
    <w:p>
      <w:pPr>
        <w:pStyle w:val="BodyText"/>
        <w:spacing w:before="4"/>
        <w:rPr>
          <w:sz w:val="20"/>
        </w:rPr>
      </w:pPr>
    </w:p>
    <w:p>
      <w:pPr>
        <w:spacing w:line="360" w:lineRule="auto" w:before="0"/>
        <w:ind w:left="680" w:right="714" w:firstLine="0"/>
        <w:jc w:val="left"/>
        <w:rPr>
          <w:sz w:val="24"/>
        </w:rPr>
      </w:pPr>
      <w:r>
        <w:rPr>
          <w:sz w:val="24"/>
        </w:rPr>
        <w:t>As the Accountable Officer, I have taken all the steps that I ought to have taken to make myself aware of any relevant audit information and to establish that North Lincolnshire CCG’s auditors are aware of that information. So far as I am aware, there is no relevant audit information of which the auditors are unaware.</w:t>
      </w:r>
    </w:p>
    <w:p>
      <w:pPr>
        <w:pStyle w:val="BodyText"/>
        <w:rPr>
          <w:sz w:val="26"/>
        </w:rPr>
      </w:pPr>
    </w:p>
    <w:p>
      <w:pPr>
        <w:pStyle w:val="BodyText"/>
        <w:spacing w:before="9"/>
        <w:rPr>
          <w:sz w:val="30"/>
        </w:rPr>
      </w:pPr>
    </w:p>
    <w:p>
      <w:pPr>
        <w:spacing w:before="0"/>
        <w:ind w:left="680" w:right="0" w:firstLine="0"/>
        <w:jc w:val="left"/>
        <w:rPr>
          <w:sz w:val="24"/>
        </w:rPr>
      </w:pPr>
      <w:r>
        <w:rPr>
          <w:sz w:val="24"/>
        </w:rPr>
        <w:t>I also confirm that:</w:t>
      </w:r>
    </w:p>
    <w:p>
      <w:pPr>
        <w:pStyle w:val="BodyText"/>
        <w:spacing w:before="8"/>
        <w:rPr>
          <w:sz w:val="34"/>
        </w:rPr>
      </w:pPr>
    </w:p>
    <w:p>
      <w:pPr>
        <w:pStyle w:val="ListParagraph"/>
        <w:numPr>
          <w:ilvl w:val="0"/>
          <w:numId w:val="12"/>
        </w:numPr>
        <w:tabs>
          <w:tab w:pos="1812" w:val="left" w:leader="none"/>
          <w:tab w:pos="1813" w:val="left" w:leader="none"/>
        </w:tabs>
        <w:spacing w:line="355" w:lineRule="auto" w:before="0" w:after="0"/>
        <w:ind w:left="1812" w:right="814" w:hanging="567"/>
        <w:jc w:val="left"/>
        <w:rPr>
          <w:sz w:val="24"/>
        </w:rPr>
      </w:pPr>
      <w:r>
        <w:rPr>
          <w:sz w:val="24"/>
        </w:rPr>
        <w:t>as far as I am aware, there is no relevant audit information of which the CCG’s auditors are unaware, and that as Accountable Officer, I have taken all the steps that I ought to have taken to make myself aware of any relevant audit information and to establish that the CCG’s auditors are aware of that information.</w:t>
      </w:r>
    </w:p>
    <w:p>
      <w:pPr>
        <w:pStyle w:val="BodyText"/>
        <w:spacing w:before="10"/>
      </w:pPr>
    </w:p>
    <w:p>
      <w:pPr>
        <w:spacing w:before="0"/>
        <w:ind w:left="680" w:right="0" w:firstLine="0"/>
        <w:jc w:val="left"/>
        <w:rPr>
          <w:b/>
          <w:sz w:val="24"/>
        </w:rPr>
      </w:pPr>
      <w:r>
        <w:rPr>
          <w:b/>
          <w:sz w:val="24"/>
        </w:rPr>
        <w:t>Emma Latimer, Accountable Officer (20 June 2022)</w:t>
      </w:r>
    </w:p>
    <w:p>
      <w:pPr>
        <w:spacing w:after="0"/>
        <w:jc w:val="left"/>
        <w:rPr>
          <w:sz w:val="24"/>
        </w:rPr>
        <w:sectPr>
          <w:pgSz w:w="11920" w:h="16850"/>
          <w:pgMar w:header="0" w:footer="363" w:top="1320" w:bottom="640" w:left="760" w:right="420"/>
        </w:sectPr>
      </w:pPr>
    </w:p>
    <w:p>
      <w:pPr>
        <w:spacing w:before="77"/>
        <w:ind w:left="680" w:right="0" w:firstLine="0"/>
        <w:jc w:val="left"/>
        <w:rPr>
          <w:b/>
          <w:sz w:val="28"/>
        </w:rPr>
      </w:pPr>
      <w:r>
        <w:rPr>
          <w:b/>
          <w:color w:val="365F91"/>
          <w:sz w:val="28"/>
        </w:rPr>
        <w:t>Annual Governance Statement 2021-22</w:t>
      </w:r>
    </w:p>
    <w:p>
      <w:pPr>
        <w:pStyle w:val="BodyText"/>
        <w:spacing w:before="4"/>
        <w:rPr>
          <w:b/>
          <w:sz w:val="30"/>
        </w:rPr>
      </w:pPr>
    </w:p>
    <w:p>
      <w:pPr>
        <w:spacing w:before="0"/>
        <w:ind w:left="680" w:right="0" w:firstLine="0"/>
        <w:jc w:val="left"/>
        <w:rPr>
          <w:b/>
          <w:sz w:val="24"/>
        </w:rPr>
      </w:pPr>
      <w:r>
        <w:rPr>
          <w:b/>
          <w:color w:val="365F91"/>
          <w:sz w:val="24"/>
        </w:rPr>
        <w:t>Introduction and Context</w:t>
      </w:r>
    </w:p>
    <w:p>
      <w:pPr>
        <w:pStyle w:val="BodyText"/>
        <w:spacing w:before="3"/>
        <w:rPr>
          <w:b/>
          <w:sz w:val="31"/>
        </w:rPr>
      </w:pPr>
    </w:p>
    <w:p>
      <w:pPr>
        <w:pStyle w:val="BodyText"/>
        <w:ind w:left="677" w:right="1417" w:firstLine="2"/>
      </w:pPr>
      <w:r>
        <w:rPr/>
        <w:t>North Lincolnshire Clinical Commissioning Group is a body corporate established by NHS</w:t>
      </w:r>
      <w:r>
        <w:rPr>
          <w:spacing w:val="-7"/>
        </w:rPr>
        <w:t> </w:t>
      </w:r>
      <w:r>
        <w:rPr/>
        <w:t>England</w:t>
      </w:r>
      <w:r>
        <w:rPr>
          <w:spacing w:val="-6"/>
        </w:rPr>
        <w:t> </w:t>
      </w:r>
      <w:r>
        <w:rPr/>
        <w:t>on</w:t>
      </w:r>
      <w:r>
        <w:rPr>
          <w:spacing w:val="-6"/>
        </w:rPr>
        <w:t> </w:t>
      </w:r>
      <w:r>
        <w:rPr/>
        <w:t>April</w:t>
      </w:r>
      <w:r>
        <w:rPr>
          <w:spacing w:val="-5"/>
        </w:rPr>
        <w:t> </w:t>
      </w:r>
      <w:r>
        <w:rPr/>
        <w:t>1,</w:t>
      </w:r>
      <w:r>
        <w:rPr>
          <w:spacing w:val="-10"/>
        </w:rPr>
        <w:t> </w:t>
      </w:r>
      <w:r>
        <w:rPr/>
        <w:t>2013</w:t>
      </w:r>
      <w:r>
        <w:rPr>
          <w:spacing w:val="-6"/>
        </w:rPr>
        <w:t> </w:t>
      </w:r>
      <w:r>
        <w:rPr/>
        <w:t>under</w:t>
      </w:r>
      <w:r>
        <w:rPr>
          <w:spacing w:val="-7"/>
        </w:rPr>
        <w:t> </w:t>
      </w:r>
      <w:r>
        <w:rPr/>
        <w:t>the</w:t>
      </w:r>
      <w:r>
        <w:rPr>
          <w:spacing w:val="-9"/>
        </w:rPr>
        <w:t> </w:t>
      </w:r>
      <w:r>
        <w:rPr/>
        <w:t>National</w:t>
      </w:r>
      <w:r>
        <w:rPr>
          <w:spacing w:val="-13"/>
        </w:rPr>
        <w:t> </w:t>
      </w:r>
      <w:r>
        <w:rPr/>
        <w:t>Health</w:t>
      </w:r>
      <w:r>
        <w:rPr>
          <w:spacing w:val="-4"/>
        </w:rPr>
        <w:t> </w:t>
      </w:r>
      <w:r>
        <w:rPr/>
        <w:t>Service</w:t>
      </w:r>
      <w:r>
        <w:rPr>
          <w:spacing w:val="-6"/>
        </w:rPr>
        <w:t> </w:t>
      </w:r>
      <w:r>
        <w:rPr/>
        <w:t>Act</w:t>
      </w:r>
      <w:r>
        <w:rPr>
          <w:spacing w:val="-5"/>
        </w:rPr>
        <w:t> </w:t>
      </w:r>
      <w:r>
        <w:rPr/>
        <w:t>2006</w:t>
      </w:r>
      <w:r>
        <w:rPr>
          <w:spacing w:val="-11"/>
        </w:rPr>
        <w:t> </w:t>
      </w:r>
      <w:r>
        <w:rPr/>
        <w:t>(as</w:t>
      </w:r>
      <w:r>
        <w:rPr>
          <w:spacing w:val="-4"/>
        </w:rPr>
        <w:t> </w:t>
      </w:r>
      <w:r>
        <w:rPr/>
        <w:t>amended).</w:t>
      </w:r>
    </w:p>
    <w:p>
      <w:pPr>
        <w:pStyle w:val="BodyText"/>
        <w:spacing w:before="9"/>
        <w:rPr>
          <w:sz w:val="21"/>
        </w:rPr>
      </w:pPr>
    </w:p>
    <w:p>
      <w:pPr>
        <w:pStyle w:val="BodyText"/>
        <w:ind w:left="668" w:right="855" w:firstLine="9"/>
      </w:pPr>
      <w:r>
        <w:rPr/>
        <w:t>The clinical commissioning group’s statutory functions are set out under the National Health Service Act 2006 (as amended). The CCG’s general function is arranging the provision of services for persons for the purposes of health service in England. The CCG is, in particular, required to arrange for the provision of certain health services to such an extent as it considers necessary to meet the reasonable requirements of its local population.</w:t>
      </w:r>
    </w:p>
    <w:p>
      <w:pPr>
        <w:pStyle w:val="BodyText"/>
        <w:spacing w:before="1"/>
      </w:pPr>
    </w:p>
    <w:p>
      <w:pPr>
        <w:pStyle w:val="BodyText"/>
        <w:ind w:left="680" w:right="918"/>
      </w:pPr>
      <w:r>
        <w:rPr/>
        <w:t>As at April 1, 2021, the clinical commissioning group is not subject to any directions from NHS England issued under Section 14Z21 of the National Health Service Act 2006.</w:t>
      </w:r>
    </w:p>
    <w:p>
      <w:pPr>
        <w:pStyle w:val="BodyText"/>
        <w:spacing w:before="2"/>
      </w:pPr>
    </w:p>
    <w:p>
      <w:pPr>
        <w:pStyle w:val="BodyText"/>
        <w:ind w:left="680" w:right="1540"/>
      </w:pPr>
      <w:r>
        <w:rPr/>
        <w:t>North Lincolnshire CCG comprises 19 practices covering a population of about 183,593 (January 2022).</w:t>
      </w:r>
    </w:p>
    <w:p>
      <w:pPr>
        <w:pStyle w:val="BodyText"/>
        <w:spacing w:before="8"/>
        <w:rPr>
          <w:sz w:val="21"/>
        </w:rPr>
      </w:pPr>
    </w:p>
    <w:p>
      <w:pPr>
        <w:pStyle w:val="BodyText"/>
        <w:spacing w:before="1"/>
        <w:ind w:left="675" w:right="837" w:firstLine="4"/>
      </w:pPr>
      <w:r>
        <w:rPr/>
        <w:t>It is served by one main acute provider, including community services (Northern Lincolnshire and Goole NHS Foundation Trust, NLAG), one specialist acute provider (Hull University Teaching Hospitals NHS Trust, HUTH) and one mental health provider (Rotherham, Doncaster and South Humber Foundation Trust, RDaSH). North Lincolnshire CCG is largely coterminous with the Local Authority (North Lincolnshire Council). For 2021-22 it had a total budget of</w:t>
      </w:r>
    </w:p>
    <w:p>
      <w:pPr>
        <w:pStyle w:val="BodyText"/>
        <w:spacing w:line="248" w:lineRule="exact"/>
        <w:ind w:left="675"/>
      </w:pPr>
      <w:r>
        <w:rPr/>
        <w:t>£309,362 million.</w:t>
      </w:r>
    </w:p>
    <w:p>
      <w:pPr>
        <w:pStyle w:val="BodyText"/>
        <w:spacing w:before="5"/>
      </w:pPr>
    </w:p>
    <w:p>
      <w:pPr>
        <w:pStyle w:val="BodyText"/>
        <w:ind w:left="670" w:right="1088" w:firstLine="9"/>
      </w:pPr>
      <w:r>
        <w:rPr/>
        <w:t>The North Lincolnshire </w:t>
      </w:r>
      <w:r>
        <w:rPr>
          <w:spacing w:val="-2"/>
        </w:rPr>
        <w:t>CCG </w:t>
      </w:r>
      <w:r>
        <w:rPr/>
        <w:t>area is geographically large and with more </w:t>
      </w:r>
      <w:r>
        <w:rPr>
          <w:spacing w:val="-3"/>
        </w:rPr>
        <w:t>than </w:t>
      </w:r>
      <w:r>
        <w:rPr/>
        <w:t>half of its population living in rural areas. This creates distinct neighbourhoods  and  localities, each </w:t>
      </w:r>
      <w:r>
        <w:rPr>
          <w:spacing w:val="12"/>
        </w:rPr>
        <w:t>wit </w:t>
      </w:r>
      <w:r>
        <w:rPr/>
        <w:t>h t </w:t>
      </w:r>
      <w:r>
        <w:rPr>
          <w:spacing w:val="12"/>
        </w:rPr>
        <w:t>hei </w:t>
      </w:r>
      <w:r>
        <w:rPr/>
        <w:t>r o </w:t>
      </w:r>
      <w:r>
        <w:rPr>
          <w:spacing w:val="6"/>
        </w:rPr>
        <w:t>wn </w:t>
      </w:r>
      <w:r>
        <w:rPr>
          <w:spacing w:val="12"/>
        </w:rPr>
        <w:t>uni </w:t>
      </w:r>
      <w:r>
        <w:rPr/>
        <w:t>q </w:t>
      </w:r>
      <w:r>
        <w:rPr>
          <w:spacing w:val="7"/>
        </w:rPr>
        <w:t>ue </w:t>
      </w:r>
      <w:r>
        <w:rPr/>
        <w:t>c h </w:t>
      </w:r>
      <w:r>
        <w:rPr>
          <w:spacing w:val="7"/>
        </w:rPr>
        <w:t>ar </w:t>
      </w:r>
      <w:r>
        <w:rPr>
          <w:spacing w:val="5"/>
        </w:rPr>
        <w:t>ac </w:t>
      </w:r>
      <w:r>
        <w:rPr/>
        <w:t>t </w:t>
      </w:r>
      <w:r>
        <w:rPr>
          <w:spacing w:val="7"/>
        </w:rPr>
        <w:t>er </w:t>
      </w:r>
      <w:r>
        <w:rPr/>
        <w:t>i s t i c s </w:t>
      </w:r>
      <w:r>
        <w:rPr>
          <w:spacing w:val="5"/>
        </w:rPr>
        <w:t>an </w:t>
      </w:r>
      <w:r>
        <w:rPr/>
        <w:t>d s e </w:t>
      </w:r>
      <w:r>
        <w:rPr>
          <w:spacing w:val="7"/>
        </w:rPr>
        <w:t>ns </w:t>
      </w:r>
      <w:r>
        <w:rPr/>
        <w:t>e </w:t>
      </w:r>
      <w:r>
        <w:rPr>
          <w:spacing w:val="7"/>
        </w:rPr>
        <w:t>of </w:t>
      </w:r>
      <w:r>
        <w:rPr/>
        <w:t>identity, </w:t>
      </w:r>
      <w:r>
        <w:rPr>
          <w:spacing w:val="12"/>
        </w:rPr>
        <w:t>wit </w:t>
      </w:r>
      <w:r>
        <w:rPr/>
        <w:t>h different population profiles and needs. For example, the Scunthorpe North locality comprises mainly younger citizens, high levels </w:t>
      </w:r>
      <w:r>
        <w:rPr>
          <w:spacing w:val="-3"/>
        </w:rPr>
        <w:t>of </w:t>
      </w:r>
      <w:r>
        <w:rPr/>
        <w:t>rented accommodation, with higher levels of Black and Minority Ethnic (BAME) residents than elsewhere in the </w:t>
      </w:r>
      <w:r>
        <w:rPr>
          <w:spacing w:val="-3"/>
        </w:rPr>
        <w:t>CCG </w:t>
      </w:r>
      <w:r>
        <w:rPr/>
        <w:t>area. Whereas the Axholme locality comprises higher number </w:t>
      </w:r>
      <w:r>
        <w:rPr>
          <w:spacing w:val="-3"/>
        </w:rPr>
        <w:t>of </w:t>
      </w:r>
      <w:r>
        <w:rPr/>
        <w:t>more affluent, older people, living in private accommodation, with a higher incidence </w:t>
      </w:r>
      <w:r>
        <w:rPr>
          <w:spacing w:val="-3"/>
        </w:rPr>
        <w:t>of </w:t>
      </w:r>
      <w:r>
        <w:rPr/>
        <w:t>long-term conditions associated with the older population.</w:t>
      </w:r>
    </w:p>
    <w:p>
      <w:pPr>
        <w:pStyle w:val="BodyText"/>
        <w:spacing w:before="4"/>
        <w:rPr>
          <w:sz w:val="25"/>
        </w:rPr>
      </w:pPr>
    </w:p>
    <w:p>
      <w:pPr>
        <w:spacing w:before="0"/>
        <w:ind w:left="680" w:right="0" w:firstLine="0"/>
        <w:jc w:val="left"/>
        <w:rPr>
          <w:b/>
          <w:sz w:val="24"/>
        </w:rPr>
      </w:pPr>
      <w:r>
        <w:rPr>
          <w:b/>
          <w:color w:val="365F91"/>
          <w:sz w:val="24"/>
        </w:rPr>
        <w:t>Scope of responsibility</w:t>
      </w:r>
    </w:p>
    <w:p>
      <w:pPr>
        <w:pStyle w:val="BodyText"/>
        <w:spacing w:before="1"/>
        <w:rPr>
          <w:b/>
          <w:sz w:val="31"/>
        </w:rPr>
      </w:pPr>
    </w:p>
    <w:p>
      <w:pPr>
        <w:pStyle w:val="BodyText"/>
        <w:ind w:left="680" w:right="843"/>
      </w:pPr>
      <w:r>
        <w:rPr/>
        <w:t>As Accountable Officer, I have responsibility for maintaining a sound system of internal control that supports the achievement of the clinical commissioning group’s policies, aims and objectives, whilst safeguarding the public funds and assets for which I am personally responsible, in accordance with the responsibilities assigned to me in Managing Public Money. I also acknowledge my responsibilities as set out under the National Health Service Act 2006 (as amended) and in my Clinical Commissioning Group Officer Appointment Letter.</w:t>
      </w:r>
    </w:p>
    <w:p>
      <w:pPr>
        <w:pStyle w:val="BodyText"/>
      </w:pPr>
    </w:p>
    <w:p>
      <w:pPr>
        <w:pStyle w:val="BodyText"/>
        <w:ind w:left="679" w:right="771"/>
      </w:pPr>
      <w:r>
        <w:rPr/>
        <w:t>I am responsible for ensuring that the clinical commissioning group is administered prudently and economically and that resources are applied efficiently and effectively, safeguarding financial propriety and regularity. I also have responsibility for reviewing the effectiveness of the system of internal control within the clinical commissioning group as set out in the Annual Governance Statement.</w:t>
      </w:r>
    </w:p>
    <w:p>
      <w:pPr>
        <w:pStyle w:val="BodyText"/>
        <w:spacing w:before="1"/>
      </w:pPr>
    </w:p>
    <w:p>
      <w:pPr>
        <w:pStyle w:val="BodyText"/>
        <w:ind w:left="677" w:right="1089" w:firstLine="2"/>
      </w:pPr>
      <w:r>
        <w:rPr/>
        <w:t>For fuller details of the Accountable Officer’s personal responsibilities please refer to section ‘Statement of Accountable Officers responsibilities’ on page 54.</w:t>
      </w:r>
    </w:p>
    <w:p>
      <w:pPr>
        <w:spacing w:after="0"/>
        <w:sectPr>
          <w:pgSz w:w="11920" w:h="16850"/>
          <w:pgMar w:header="0" w:footer="363" w:top="1320" w:bottom="640" w:left="760" w:right="420"/>
        </w:sectPr>
      </w:pPr>
    </w:p>
    <w:p>
      <w:pPr>
        <w:pStyle w:val="Heading4"/>
        <w:spacing w:before="79"/>
      </w:pPr>
      <w:bookmarkStart w:name="Governance arrangements and effectivenes" w:id="123"/>
      <w:bookmarkEnd w:id="123"/>
      <w:r>
        <w:rPr>
          <w:b w:val="0"/>
        </w:rPr>
      </w:r>
      <w:r>
        <w:rPr>
          <w:color w:val="365F91"/>
        </w:rPr>
        <w:t>Governance arrangements and effectiveness</w:t>
      </w:r>
    </w:p>
    <w:p>
      <w:pPr>
        <w:pStyle w:val="BodyText"/>
        <w:rPr>
          <w:b/>
          <w:sz w:val="31"/>
        </w:rPr>
      </w:pPr>
    </w:p>
    <w:p>
      <w:pPr>
        <w:pStyle w:val="BodyText"/>
        <w:ind w:left="679" w:right="721"/>
      </w:pPr>
      <w:r>
        <w:rPr/>
        <w:t>The main function of the Governing Body is to ensure that the group has made appropriate arrangements</w:t>
      </w:r>
      <w:r>
        <w:rPr>
          <w:spacing w:val="-20"/>
        </w:rPr>
        <w:t> </w:t>
      </w:r>
      <w:r>
        <w:rPr/>
        <w:t>for</w:t>
      </w:r>
      <w:r>
        <w:rPr>
          <w:spacing w:val="-12"/>
        </w:rPr>
        <w:t> </w:t>
      </w:r>
      <w:r>
        <w:rPr/>
        <w:t>ensuring</w:t>
      </w:r>
      <w:r>
        <w:rPr>
          <w:spacing w:val="-15"/>
        </w:rPr>
        <w:t> </w:t>
      </w:r>
      <w:r>
        <w:rPr/>
        <w:t>that</w:t>
      </w:r>
      <w:r>
        <w:rPr>
          <w:spacing w:val="-12"/>
        </w:rPr>
        <w:t> </w:t>
      </w:r>
      <w:r>
        <w:rPr/>
        <w:t>it</w:t>
      </w:r>
      <w:r>
        <w:rPr>
          <w:spacing w:val="-14"/>
        </w:rPr>
        <w:t> </w:t>
      </w:r>
      <w:r>
        <w:rPr/>
        <w:t>exercises</w:t>
      </w:r>
      <w:r>
        <w:rPr>
          <w:spacing w:val="-17"/>
        </w:rPr>
        <w:t> </w:t>
      </w:r>
      <w:r>
        <w:rPr/>
        <w:t>its</w:t>
      </w:r>
      <w:r>
        <w:rPr>
          <w:spacing w:val="-18"/>
        </w:rPr>
        <w:t> </w:t>
      </w:r>
      <w:r>
        <w:rPr/>
        <w:t>functions</w:t>
      </w:r>
      <w:r>
        <w:rPr>
          <w:spacing w:val="-15"/>
        </w:rPr>
        <w:t> </w:t>
      </w:r>
      <w:r>
        <w:rPr/>
        <w:t>effectively,</w:t>
      </w:r>
      <w:r>
        <w:rPr>
          <w:spacing w:val="-16"/>
        </w:rPr>
        <w:t> </w:t>
      </w:r>
      <w:r>
        <w:rPr/>
        <w:t>efficiently</w:t>
      </w:r>
      <w:r>
        <w:rPr>
          <w:spacing w:val="-15"/>
        </w:rPr>
        <w:t> </w:t>
      </w:r>
      <w:r>
        <w:rPr/>
        <w:t>and</w:t>
      </w:r>
      <w:r>
        <w:rPr>
          <w:spacing w:val="-16"/>
        </w:rPr>
        <w:t> </w:t>
      </w:r>
      <w:r>
        <w:rPr/>
        <w:t>economically and</w:t>
      </w:r>
      <w:r>
        <w:rPr>
          <w:spacing w:val="-12"/>
        </w:rPr>
        <w:t> </w:t>
      </w:r>
      <w:r>
        <w:rPr/>
        <w:t>complies</w:t>
      </w:r>
      <w:r>
        <w:rPr>
          <w:spacing w:val="-8"/>
        </w:rPr>
        <w:t> </w:t>
      </w:r>
      <w:r>
        <w:rPr/>
        <w:t>with</w:t>
      </w:r>
      <w:r>
        <w:rPr>
          <w:spacing w:val="-12"/>
        </w:rPr>
        <w:t> </w:t>
      </w:r>
      <w:r>
        <w:rPr/>
        <w:t>such</w:t>
      </w:r>
      <w:r>
        <w:rPr>
          <w:spacing w:val="-14"/>
        </w:rPr>
        <w:t> </w:t>
      </w:r>
      <w:r>
        <w:rPr/>
        <w:t>generally</w:t>
      </w:r>
      <w:r>
        <w:rPr>
          <w:spacing w:val="-10"/>
        </w:rPr>
        <w:t> </w:t>
      </w:r>
      <w:r>
        <w:rPr/>
        <w:t>accepted</w:t>
      </w:r>
      <w:r>
        <w:rPr>
          <w:spacing w:val="-12"/>
        </w:rPr>
        <w:t> </w:t>
      </w:r>
      <w:r>
        <w:rPr/>
        <w:t>principles</w:t>
      </w:r>
      <w:r>
        <w:rPr>
          <w:spacing w:val="-8"/>
        </w:rPr>
        <w:t> </w:t>
      </w:r>
      <w:r>
        <w:rPr/>
        <w:t>of</w:t>
      </w:r>
      <w:r>
        <w:rPr>
          <w:spacing w:val="-10"/>
        </w:rPr>
        <w:t> </w:t>
      </w:r>
      <w:r>
        <w:rPr/>
        <w:t>good</w:t>
      </w:r>
      <w:r>
        <w:rPr>
          <w:spacing w:val="-12"/>
        </w:rPr>
        <w:t> </w:t>
      </w:r>
      <w:r>
        <w:rPr/>
        <w:t>governance</w:t>
      </w:r>
      <w:r>
        <w:rPr>
          <w:spacing w:val="-11"/>
        </w:rPr>
        <w:t> </w:t>
      </w:r>
      <w:r>
        <w:rPr/>
        <w:t>as</w:t>
      </w:r>
      <w:r>
        <w:rPr>
          <w:spacing w:val="-8"/>
        </w:rPr>
        <w:t> </w:t>
      </w:r>
      <w:r>
        <w:rPr/>
        <w:t>are</w:t>
      </w:r>
      <w:r>
        <w:rPr>
          <w:spacing w:val="-14"/>
        </w:rPr>
        <w:t> </w:t>
      </w:r>
      <w:r>
        <w:rPr/>
        <w:t>relevant</w:t>
      </w:r>
      <w:r>
        <w:rPr>
          <w:spacing w:val="-9"/>
        </w:rPr>
        <w:t> </w:t>
      </w:r>
      <w:r>
        <w:rPr/>
        <w:t>to</w:t>
      </w:r>
      <w:r>
        <w:rPr>
          <w:spacing w:val="-11"/>
        </w:rPr>
        <w:t> </w:t>
      </w:r>
      <w:r>
        <w:rPr>
          <w:spacing w:val="-2"/>
        </w:rPr>
        <w:t>it.</w:t>
      </w:r>
    </w:p>
    <w:p>
      <w:pPr>
        <w:pStyle w:val="BodyText"/>
        <w:spacing w:before="1"/>
      </w:pPr>
    </w:p>
    <w:p>
      <w:pPr>
        <w:pStyle w:val="BodyText"/>
        <w:ind w:left="667" w:right="912" w:firstLine="11"/>
      </w:pPr>
      <w:r>
        <w:rPr/>
        <w:t>North Lincolnshire </w:t>
      </w:r>
      <w:r>
        <w:rPr>
          <w:spacing w:val="-3"/>
        </w:rPr>
        <w:t>CCG </w:t>
      </w:r>
      <w:r>
        <w:rPr/>
        <w:t>has a constitution that has been agreed by the Council of Members and approved by NHS England. It sets out the responsibilities and arrangements in place to commission services for the residents of North Lincolnshire. The constitution includes the Scheme </w:t>
      </w:r>
      <w:r>
        <w:rPr>
          <w:spacing w:val="-3"/>
        </w:rPr>
        <w:t>of </w:t>
      </w:r>
      <w:r>
        <w:rPr/>
        <w:t>Delegation </w:t>
      </w:r>
      <w:r>
        <w:rPr>
          <w:spacing w:val="-3"/>
        </w:rPr>
        <w:t>and </w:t>
      </w:r>
      <w:r>
        <w:rPr/>
        <w:t>Reservation, Authority to Act, Standing Orders and Prime Financial Policies. It identifies the governing  principles,  rules  and  procedures  to ensure accountability and probity for the running of the </w:t>
      </w:r>
      <w:r>
        <w:rPr>
          <w:spacing w:val="-2"/>
        </w:rPr>
        <w:t>CCG </w:t>
      </w:r>
      <w:r>
        <w:rPr/>
        <w:t>ensuring that decisions are taken in a transparent and open manner promoting the best interests for the people for </w:t>
      </w:r>
      <w:r>
        <w:rPr>
          <w:spacing w:val="-4"/>
        </w:rPr>
        <w:t>whom </w:t>
      </w:r>
      <w:r>
        <w:rPr/>
        <w:t>we commission</w:t>
      </w:r>
      <w:r>
        <w:rPr>
          <w:spacing w:val="-5"/>
        </w:rPr>
        <w:t> </w:t>
      </w:r>
      <w:r>
        <w:rPr/>
        <w:t>services.</w:t>
      </w:r>
    </w:p>
    <w:p>
      <w:pPr>
        <w:pStyle w:val="BodyText"/>
        <w:spacing w:before="3"/>
      </w:pPr>
    </w:p>
    <w:p>
      <w:pPr>
        <w:pStyle w:val="BodyText"/>
        <w:spacing w:line="249" w:lineRule="exact"/>
        <w:ind w:left="680"/>
      </w:pPr>
      <w:r>
        <w:rPr/>
        <w:t>The North Lincolnshire CCG Constitution includes provisions which regulate:</w:t>
      </w:r>
    </w:p>
    <w:p>
      <w:pPr>
        <w:pStyle w:val="ListParagraph"/>
        <w:numPr>
          <w:ilvl w:val="0"/>
          <w:numId w:val="13"/>
        </w:numPr>
        <w:tabs>
          <w:tab w:pos="1397" w:val="left" w:leader="none"/>
          <w:tab w:pos="1398" w:val="left" w:leader="none"/>
        </w:tabs>
        <w:spacing w:line="265" w:lineRule="exact" w:before="0" w:after="0"/>
        <w:ind w:left="1397" w:right="0" w:hanging="361"/>
        <w:jc w:val="left"/>
        <w:rPr>
          <w:sz w:val="22"/>
        </w:rPr>
      </w:pPr>
      <w:r>
        <w:rPr>
          <w:sz w:val="22"/>
        </w:rPr>
        <w:t>Its membership and geographical area </w:t>
      </w:r>
      <w:r>
        <w:rPr>
          <w:spacing w:val="-3"/>
          <w:sz w:val="22"/>
        </w:rPr>
        <w:t>of</w:t>
      </w:r>
      <w:r>
        <w:rPr>
          <w:spacing w:val="-10"/>
          <w:sz w:val="22"/>
        </w:rPr>
        <w:t> </w:t>
      </w:r>
      <w:r>
        <w:rPr>
          <w:sz w:val="22"/>
        </w:rPr>
        <w:t>coverage.</w:t>
      </w:r>
    </w:p>
    <w:p>
      <w:pPr>
        <w:pStyle w:val="ListParagraph"/>
        <w:numPr>
          <w:ilvl w:val="0"/>
          <w:numId w:val="13"/>
        </w:numPr>
        <w:tabs>
          <w:tab w:pos="1395" w:val="left" w:leader="none"/>
          <w:tab w:pos="1396" w:val="left" w:leader="none"/>
        </w:tabs>
        <w:spacing w:line="235" w:lineRule="auto" w:before="8" w:after="0"/>
        <w:ind w:left="1395" w:right="2632" w:hanging="358"/>
        <w:jc w:val="left"/>
        <w:rPr>
          <w:sz w:val="22"/>
        </w:rPr>
      </w:pPr>
      <w:r>
        <w:rPr>
          <w:sz w:val="22"/>
        </w:rPr>
        <w:t>The arrangements for the discharge of our functions and those </w:t>
      </w:r>
      <w:r>
        <w:rPr>
          <w:spacing w:val="-3"/>
          <w:sz w:val="22"/>
        </w:rPr>
        <w:t>of our </w:t>
      </w:r>
      <w:r>
        <w:rPr>
          <w:sz w:val="22"/>
        </w:rPr>
        <w:t>Governing</w:t>
      </w:r>
      <w:r>
        <w:rPr>
          <w:spacing w:val="-5"/>
          <w:sz w:val="22"/>
        </w:rPr>
        <w:t> </w:t>
      </w:r>
      <w:r>
        <w:rPr>
          <w:sz w:val="22"/>
        </w:rPr>
        <w:t>Body.</w:t>
      </w:r>
    </w:p>
    <w:p>
      <w:pPr>
        <w:pStyle w:val="ListParagraph"/>
        <w:numPr>
          <w:ilvl w:val="0"/>
          <w:numId w:val="13"/>
        </w:numPr>
        <w:tabs>
          <w:tab w:pos="1393" w:val="left" w:leader="none"/>
          <w:tab w:pos="1394" w:val="left" w:leader="none"/>
        </w:tabs>
        <w:spacing w:line="235" w:lineRule="auto" w:before="6" w:after="0"/>
        <w:ind w:left="1393" w:right="862" w:hanging="358"/>
        <w:jc w:val="left"/>
        <w:rPr>
          <w:sz w:val="22"/>
        </w:rPr>
      </w:pPr>
      <w:r>
        <w:rPr>
          <w:sz w:val="22"/>
        </w:rPr>
        <w:t>The</w:t>
      </w:r>
      <w:r>
        <w:rPr>
          <w:spacing w:val="-16"/>
          <w:sz w:val="22"/>
        </w:rPr>
        <w:t> </w:t>
      </w:r>
      <w:r>
        <w:rPr>
          <w:sz w:val="22"/>
        </w:rPr>
        <w:t>procedures</w:t>
      </w:r>
      <w:r>
        <w:rPr>
          <w:spacing w:val="-15"/>
          <w:sz w:val="22"/>
        </w:rPr>
        <w:t> </w:t>
      </w:r>
      <w:r>
        <w:rPr>
          <w:sz w:val="22"/>
        </w:rPr>
        <w:t>we</w:t>
      </w:r>
      <w:r>
        <w:rPr>
          <w:spacing w:val="-15"/>
          <w:sz w:val="22"/>
        </w:rPr>
        <w:t> </w:t>
      </w:r>
      <w:r>
        <w:rPr>
          <w:sz w:val="22"/>
        </w:rPr>
        <w:t>will</w:t>
      </w:r>
      <w:r>
        <w:rPr>
          <w:spacing w:val="-16"/>
          <w:sz w:val="22"/>
        </w:rPr>
        <w:t> </w:t>
      </w:r>
      <w:r>
        <w:rPr>
          <w:sz w:val="22"/>
        </w:rPr>
        <w:t>follow</w:t>
      </w:r>
      <w:r>
        <w:rPr>
          <w:spacing w:val="-15"/>
          <w:sz w:val="22"/>
        </w:rPr>
        <w:t> </w:t>
      </w:r>
      <w:r>
        <w:rPr>
          <w:sz w:val="22"/>
        </w:rPr>
        <w:t>in</w:t>
      </w:r>
      <w:r>
        <w:rPr>
          <w:spacing w:val="-16"/>
          <w:sz w:val="22"/>
        </w:rPr>
        <w:t> </w:t>
      </w:r>
      <w:r>
        <w:rPr>
          <w:sz w:val="22"/>
        </w:rPr>
        <w:t>making</w:t>
      </w:r>
      <w:r>
        <w:rPr>
          <w:spacing w:val="-14"/>
          <w:sz w:val="22"/>
        </w:rPr>
        <w:t> </w:t>
      </w:r>
      <w:r>
        <w:rPr>
          <w:sz w:val="22"/>
        </w:rPr>
        <w:t>decisions</w:t>
      </w:r>
      <w:r>
        <w:rPr>
          <w:spacing w:val="-15"/>
          <w:sz w:val="22"/>
        </w:rPr>
        <w:t> </w:t>
      </w:r>
      <w:r>
        <w:rPr>
          <w:sz w:val="22"/>
        </w:rPr>
        <w:t>and</w:t>
      </w:r>
      <w:r>
        <w:rPr>
          <w:spacing w:val="-11"/>
          <w:sz w:val="22"/>
        </w:rPr>
        <w:t> </w:t>
      </w:r>
      <w:r>
        <w:rPr>
          <w:sz w:val="22"/>
        </w:rPr>
        <w:t>securing</w:t>
      </w:r>
      <w:r>
        <w:rPr>
          <w:spacing w:val="-15"/>
          <w:sz w:val="22"/>
        </w:rPr>
        <w:t> </w:t>
      </w:r>
      <w:r>
        <w:rPr>
          <w:sz w:val="22"/>
        </w:rPr>
        <w:t>transparency</w:t>
      </w:r>
      <w:r>
        <w:rPr>
          <w:spacing w:val="-14"/>
          <w:sz w:val="22"/>
        </w:rPr>
        <w:t> </w:t>
      </w:r>
      <w:r>
        <w:rPr>
          <w:sz w:val="22"/>
        </w:rPr>
        <w:t>in</w:t>
      </w:r>
      <w:r>
        <w:rPr>
          <w:spacing w:val="-16"/>
          <w:sz w:val="22"/>
        </w:rPr>
        <w:t> </w:t>
      </w:r>
      <w:r>
        <w:rPr>
          <w:sz w:val="22"/>
        </w:rPr>
        <w:t>decision making.</w:t>
      </w:r>
    </w:p>
    <w:p>
      <w:pPr>
        <w:pStyle w:val="ListParagraph"/>
        <w:numPr>
          <w:ilvl w:val="0"/>
          <w:numId w:val="13"/>
        </w:numPr>
        <w:tabs>
          <w:tab w:pos="1393" w:val="left" w:leader="none"/>
          <w:tab w:pos="1394" w:val="left" w:leader="none"/>
        </w:tabs>
        <w:spacing w:line="235" w:lineRule="auto" w:before="7" w:after="0"/>
        <w:ind w:left="1393" w:right="1742" w:hanging="361"/>
        <w:jc w:val="left"/>
        <w:rPr>
          <w:sz w:val="22"/>
        </w:rPr>
      </w:pPr>
      <w:r>
        <w:rPr>
          <w:sz w:val="22"/>
        </w:rPr>
        <w:t>Arrangements for discharging our duties in relation to registersof interests and managing conflicts of</w:t>
      </w:r>
      <w:r>
        <w:rPr>
          <w:spacing w:val="-2"/>
          <w:sz w:val="22"/>
        </w:rPr>
        <w:t> </w:t>
      </w:r>
      <w:r>
        <w:rPr>
          <w:sz w:val="22"/>
        </w:rPr>
        <w:t>interests.</w:t>
      </w:r>
    </w:p>
    <w:p>
      <w:pPr>
        <w:pStyle w:val="BodyText"/>
        <w:spacing w:before="6"/>
        <w:rPr>
          <w:sz w:val="25"/>
        </w:rPr>
      </w:pPr>
    </w:p>
    <w:p>
      <w:pPr>
        <w:pStyle w:val="Heading4"/>
      </w:pPr>
      <w:bookmarkStart w:name="The Governing Body and committee structu" w:id="124"/>
      <w:bookmarkEnd w:id="124"/>
      <w:r>
        <w:rPr>
          <w:b w:val="0"/>
        </w:rPr>
      </w:r>
      <w:r>
        <w:rPr>
          <w:color w:val="365F91"/>
        </w:rPr>
        <w:t>The Governing Body and committee structure introduction</w:t>
      </w:r>
    </w:p>
    <w:p>
      <w:pPr>
        <w:pStyle w:val="BodyText"/>
        <w:spacing w:before="1"/>
        <w:rPr>
          <w:b/>
          <w:sz w:val="31"/>
        </w:rPr>
      </w:pPr>
    </w:p>
    <w:p>
      <w:pPr>
        <w:pStyle w:val="BodyText"/>
        <w:ind w:left="677" w:right="1015" w:firstLine="2"/>
      </w:pPr>
      <w:r>
        <w:rPr/>
        <w:t>The Governing Body has its functions identified as set out in the Constitution which has been agreed by member practices.</w:t>
      </w:r>
    </w:p>
    <w:p>
      <w:pPr>
        <w:pStyle w:val="BodyText"/>
        <w:spacing w:before="11"/>
        <w:rPr>
          <w:sz w:val="21"/>
        </w:rPr>
      </w:pPr>
    </w:p>
    <w:p>
      <w:pPr>
        <w:pStyle w:val="BodyText"/>
        <w:ind w:left="670" w:right="849" w:firstLine="9"/>
      </w:pPr>
      <w:r>
        <w:rPr/>
        <w:t>The </w:t>
      </w:r>
      <w:r>
        <w:rPr>
          <w:spacing w:val="-3"/>
        </w:rPr>
        <w:t>CCG </w:t>
      </w:r>
      <w:r>
        <w:rPr/>
        <w:t>maintains a constitution and associated Standing Orders, Prime Financial Policies and Scheme </w:t>
      </w:r>
      <w:r>
        <w:rPr>
          <w:spacing w:val="-3"/>
        </w:rPr>
        <w:t>of </w:t>
      </w:r>
      <w:r>
        <w:rPr/>
        <w:t>Delegation, all of which have been approved by the </w:t>
      </w:r>
      <w:r>
        <w:rPr>
          <w:spacing w:val="-3"/>
        </w:rPr>
        <w:t>CCG </w:t>
      </w:r>
      <w:r>
        <w:rPr/>
        <w:t>membership and certified as compliant with the requirements of </w:t>
      </w:r>
      <w:r>
        <w:rPr>
          <w:spacing w:val="-2"/>
        </w:rPr>
        <w:t>NHS </w:t>
      </w:r>
      <w:r>
        <w:rPr/>
        <w:t>England. Taken together these documents enable the maintenance of a robust system </w:t>
      </w:r>
      <w:r>
        <w:rPr>
          <w:spacing w:val="-3"/>
        </w:rPr>
        <w:t>of </w:t>
      </w:r>
      <w:r>
        <w:rPr/>
        <w:t>internal control. The Scheme of Delegation defines those decisions that are reserved to the Council of Members and those that are the responsibility of its Governing Body (and its committees),  </w:t>
      </w:r>
      <w:r>
        <w:rPr>
          <w:spacing w:val="-3"/>
        </w:rPr>
        <w:t>CCG  </w:t>
      </w:r>
      <w:r>
        <w:rPr/>
        <w:t>committees,  individual officers and other employees. The Council of Members comprises representatives of the 19 member practices and </w:t>
      </w:r>
      <w:r>
        <w:rPr>
          <w:spacing w:val="-3"/>
        </w:rPr>
        <w:t>has </w:t>
      </w:r>
      <w:r>
        <w:rPr/>
        <w:t>overall authority on </w:t>
      </w:r>
      <w:r>
        <w:rPr>
          <w:spacing w:val="-3"/>
        </w:rPr>
        <w:t>the </w:t>
      </w:r>
      <w:r>
        <w:rPr/>
        <w:t>CCG’s</w:t>
      </w:r>
      <w:r>
        <w:rPr>
          <w:spacing w:val="-13"/>
        </w:rPr>
        <w:t> </w:t>
      </w:r>
      <w:r>
        <w:rPr/>
        <w:t>business.</w:t>
      </w:r>
    </w:p>
    <w:p>
      <w:pPr>
        <w:pStyle w:val="BodyText"/>
      </w:pPr>
    </w:p>
    <w:p>
      <w:pPr>
        <w:pStyle w:val="BodyText"/>
        <w:ind w:left="675" w:right="886" w:firstLine="4"/>
      </w:pPr>
      <w:r>
        <w:rPr/>
        <w:t>The Governing Body has responsibility for leading the development of the CCG’s vision and strategy, as well as providing assurance to the Council of Members with regards to the achievement of the CCG’s objectives. It has established committees to assist in the delivery of the statutory functions and key strategic objectives.</w:t>
      </w:r>
    </w:p>
    <w:p>
      <w:pPr>
        <w:pStyle w:val="BodyText"/>
      </w:pPr>
    </w:p>
    <w:p>
      <w:pPr>
        <w:pStyle w:val="BodyText"/>
        <w:spacing w:line="251" w:lineRule="exact" w:before="1"/>
        <w:ind w:left="672"/>
      </w:pPr>
      <w:r>
        <w:rPr/>
        <w:t>The following committees support the Governing Body:</w:t>
      </w:r>
    </w:p>
    <w:p>
      <w:pPr>
        <w:pStyle w:val="ListParagraph"/>
        <w:numPr>
          <w:ilvl w:val="0"/>
          <w:numId w:val="13"/>
        </w:numPr>
        <w:tabs>
          <w:tab w:pos="1392" w:val="left" w:leader="none"/>
          <w:tab w:pos="1394" w:val="left" w:leader="none"/>
        </w:tabs>
        <w:spacing w:line="266" w:lineRule="exact" w:before="0" w:after="0"/>
        <w:ind w:left="1393" w:right="0" w:hanging="362"/>
        <w:jc w:val="left"/>
        <w:rPr>
          <w:sz w:val="22"/>
        </w:rPr>
      </w:pPr>
      <w:r>
        <w:rPr>
          <w:sz w:val="22"/>
        </w:rPr>
        <w:t>Integrated Audit &amp; Governance</w:t>
      </w:r>
      <w:r>
        <w:rPr>
          <w:spacing w:val="-9"/>
          <w:sz w:val="22"/>
        </w:rPr>
        <w:t> </w:t>
      </w:r>
      <w:r>
        <w:rPr>
          <w:sz w:val="22"/>
        </w:rPr>
        <w:t>Committee</w:t>
      </w:r>
    </w:p>
    <w:p>
      <w:pPr>
        <w:pStyle w:val="ListParagraph"/>
        <w:numPr>
          <w:ilvl w:val="0"/>
          <w:numId w:val="13"/>
        </w:numPr>
        <w:tabs>
          <w:tab w:pos="1392" w:val="left" w:leader="none"/>
          <w:tab w:pos="1394" w:val="left" w:leader="none"/>
        </w:tabs>
        <w:spacing w:line="268" w:lineRule="exact" w:before="0" w:after="0"/>
        <w:ind w:left="1393" w:right="0" w:hanging="362"/>
        <w:jc w:val="left"/>
        <w:rPr>
          <w:sz w:val="22"/>
        </w:rPr>
      </w:pPr>
      <w:r>
        <w:rPr>
          <w:sz w:val="22"/>
        </w:rPr>
        <w:t>Quality, Performance &amp; Finance</w:t>
      </w:r>
      <w:r>
        <w:rPr>
          <w:spacing w:val="-12"/>
          <w:sz w:val="22"/>
        </w:rPr>
        <w:t> </w:t>
      </w:r>
      <w:r>
        <w:rPr>
          <w:sz w:val="22"/>
        </w:rPr>
        <w:t>Committee</w:t>
      </w:r>
    </w:p>
    <w:p>
      <w:pPr>
        <w:pStyle w:val="ListParagraph"/>
        <w:numPr>
          <w:ilvl w:val="0"/>
          <w:numId w:val="13"/>
        </w:numPr>
        <w:tabs>
          <w:tab w:pos="1393" w:val="left" w:leader="none"/>
          <w:tab w:pos="1394" w:val="left" w:leader="none"/>
        </w:tabs>
        <w:spacing w:line="269" w:lineRule="exact" w:before="0" w:after="0"/>
        <w:ind w:left="1393" w:right="0" w:hanging="364"/>
        <w:jc w:val="left"/>
        <w:rPr>
          <w:sz w:val="22"/>
        </w:rPr>
      </w:pPr>
      <w:r>
        <w:rPr>
          <w:sz w:val="22"/>
        </w:rPr>
        <w:t>Planning &amp; Commissioning</w:t>
      </w:r>
      <w:r>
        <w:rPr>
          <w:spacing w:val="-1"/>
          <w:sz w:val="22"/>
        </w:rPr>
        <w:t> </w:t>
      </w:r>
      <w:r>
        <w:rPr>
          <w:sz w:val="22"/>
        </w:rPr>
        <w:t>Committee</w:t>
      </w:r>
    </w:p>
    <w:p>
      <w:pPr>
        <w:pStyle w:val="ListParagraph"/>
        <w:numPr>
          <w:ilvl w:val="0"/>
          <w:numId w:val="13"/>
        </w:numPr>
        <w:tabs>
          <w:tab w:pos="1400" w:val="left" w:leader="none"/>
          <w:tab w:pos="1401" w:val="left" w:leader="none"/>
        </w:tabs>
        <w:spacing w:line="269" w:lineRule="exact" w:before="0" w:after="0"/>
        <w:ind w:left="1400" w:right="0" w:hanging="361"/>
        <w:jc w:val="left"/>
        <w:rPr>
          <w:sz w:val="22"/>
        </w:rPr>
      </w:pPr>
      <w:r>
        <w:rPr>
          <w:sz w:val="22"/>
        </w:rPr>
        <w:t>Primary Care Commissioning</w:t>
      </w:r>
      <w:r>
        <w:rPr>
          <w:spacing w:val="-6"/>
          <w:sz w:val="22"/>
        </w:rPr>
        <w:t> </w:t>
      </w:r>
      <w:r>
        <w:rPr>
          <w:sz w:val="22"/>
        </w:rPr>
        <w:t>Committee</w:t>
      </w:r>
    </w:p>
    <w:p>
      <w:pPr>
        <w:pStyle w:val="ListParagraph"/>
        <w:numPr>
          <w:ilvl w:val="0"/>
          <w:numId w:val="13"/>
        </w:numPr>
        <w:tabs>
          <w:tab w:pos="1400" w:val="left" w:leader="none"/>
          <w:tab w:pos="1401" w:val="left" w:leader="none"/>
        </w:tabs>
        <w:spacing w:line="268" w:lineRule="exact" w:before="0" w:after="0"/>
        <w:ind w:left="1400" w:right="0" w:hanging="363"/>
        <w:jc w:val="left"/>
        <w:rPr>
          <w:sz w:val="22"/>
        </w:rPr>
      </w:pPr>
      <w:r>
        <w:rPr>
          <w:sz w:val="22"/>
        </w:rPr>
        <w:t>Remuneration</w:t>
      </w:r>
      <w:r>
        <w:rPr>
          <w:spacing w:val="-3"/>
          <w:sz w:val="22"/>
        </w:rPr>
        <w:t> </w:t>
      </w:r>
      <w:r>
        <w:rPr>
          <w:sz w:val="22"/>
        </w:rPr>
        <w:t>Committee</w:t>
      </w:r>
    </w:p>
    <w:p>
      <w:pPr>
        <w:pStyle w:val="ListParagraph"/>
        <w:numPr>
          <w:ilvl w:val="0"/>
          <w:numId w:val="13"/>
        </w:numPr>
        <w:tabs>
          <w:tab w:pos="1388" w:val="left" w:leader="none"/>
          <w:tab w:pos="1389" w:val="left" w:leader="none"/>
        </w:tabs>
        <w:spacing w:line="268" w:lineRule="exact" w:before="0" w:after="0"/>
        <w:ind w:left="1388" w:right="0" w:hanging="363"/>
        <w:jc w:val="left"/>
        <w:rPr>
          <w:sz w:val="22"/>
        </w:rPr>
      </w:pPr>
      <w:r>
        <w:rPr>
          <w:sz w:val="22"/>
        </w:rPr>
        <w:t>Integrated Commissioning (Committees in</w:t>
      </w:r>
      <w:r>
        <w:rPr>
          <w:spacing w:val="-12"/>
          <w:sz w:val="22"/>
        </w:rPr>
        <w:t> </w:t>
      </w:r>
      <w:r>
        <w:rPr>
          <w:sz w:val="22"/>
        </w:rPr>
        <w:t>Common)</w:t>
      </w:r>
    </w:p>
    <w:p>
      <w:pPr>
        <w:pStyle w:val="ListParagraph"/>
        <w:numPr>
          <w:ilvl w:val="0"/>
          <w:numId w:val="13"/>
        </w:numPr>
        <w:tabs>
          <w:tab w:pos="1400" w:val="left" w:leader="none"/>
          <w:tab w:pos="1401" w:val="left" w:leader="none"/>
        </w:tabs>
        <w:spacing w:line="269" w:lineRule="exact" w:before="0" w:after="0"/>
        <w:ind w:left="1401" w:right="0" w:hanging="363"/>
        <w:jc w:val="left"/>
        <w:rPr>
          <w:sz w:val="22"/>
        </w:rPr>
      </w:pPr>
      <w:r>
        <w:rPr>
          <w:sz w:val="22"/>
        </w:rPr>
        <w:t>Executive Management</w:t>
      </w:r>
      <w:r>
        <w:rPr>
          <w:spacing w:val="-10"/>
          <w:sz w:val="22"/>
        </w:rPr>
        <w:t> </w:t>
      </w:r>
      <w:r>
        <w:rPr>
          <w:sz w:val="22"/>
        </w:rPr>
        <w:t>Group</w:t>
      </w:r>
    </w:p>
    <w:p>
      <w:pPr>
        <w:spacing w:after="0" w:line="269" w:lineRule="exact"/>
        <w:jc w:val="left"/>
        <w:rPr>
          <w:sz w:val="22"/>
        </w:rPr>
        <w:sectPr>
          <w:pgSz w:w="11920" w:h="16850"/>
          <w:pgMar w:header="0" w:footer="363" w:top="1320" w:bottom="640" w:left="760" w:right="420"/>
        </w:sectPr>
      </w:pPr>
    </w:p>
    <w:p>
      <w:pPr>
        <w:pStyle w:val="Heading4"/>
        <w:spacing w:before="79"/>
      </w:pPr>
      <w:bookmarkStart w:name="The Governing Body" w:id="125"/>
      <w:bookmarkEnd w:id="125"/>
      <w:r>
        <w:rPr>
          <w:b w:val="0"/>
        </w:rPr>
      </w:r>
      <w:r>
        <w:rPr>
          <w:color w:val="365F91"/>
        </w:rPr>
        <w:t>The Governing Body</w:t>
      </w:r>
    </w:p>
    <w:p>
      <w:pPr>
        <w:pStyle w:val="BodyText"/>
        <w:rPr>
          <w:b/>
          <w:sz w:val="31"/>
        </w:rPr>
      </w:pPr>
    </w:p>
    <w:p>
      <w:pPr>
        <w:pStyle w:val="BodyText"/>
        <w:ind w:left="677" w:right="869" w:firstLine="2"/>
        <w:rPr>
          <w:b/>
        </w:rPr>
      </w:pPr>
      <w:r>
        <w:rPr/>
        <w:t>During 2021-22, the Governing Body met six times in public and was quorate at each meeting. The Governing Body also held five workshop sessions. Attendance figures for the Governing Body and other committees are attached at </w:t>
      </w:r>
      <w:r>
        <w:rPr>
          <w:b/>
        </w:rPr>
        <w:t>Appendix 1.</w:t>
      </w:r>
    </w:p>
    <w:p>
      <w:pPr>
        <w:pStyle w:val="BodyText"/>
        <w:spacing w:before="3"/>
        <w:rPr>
          <w:b/>
        </w:rPr>
      </w:pPr>
    </w:p>
    <w:p>
      <w:pPr>
        <w:pStyle w:val="BodyText"/>
        <w:ind w:left="677" w:right="1005"/>
      </w:pPr>
      <w:r>
        <w:rPr/>
        <w:t>The Governing Body received and considered a number of items and reports throughout the year in order for it to gain suitable assurance in the achievement of the strategic objectives of the CCG. This included reports in relation to:</w:t>
      </w:r>
    </w:p>
    <w:p>
      <w:pPr>
        <w:pStyle w:val="BodyText"/>
        <w:spacing w:before="5"/>
        <w:rPr>
          <w:sz w:val="21"/>
        </w:rPr>
      </w:pPr>
    </w:p>
    <w:p>
      <w:pPr>
        <w:pStyle w:val="ListParagraph"/>
        <w:numPr>
          <w:ilvl w:val="0"/>
          <w:numId w:val="13"/>
        </w:numPr>
        <w:tabs>
          <w:tab w:pos="1397" w:val="left" w:leader="none"/>
          <w:tab w:pos="1398" w:val="left" w:leader="none"/>
        </w:tabs>
        <w:spacing w:line="269" w:lineRule="exact" w:before="0" w:after="0"/>
        <w:ind w:left="1397" w:right="0" w:hanging="361"/>
        <w:jc w:val="left"/>
        <w:rPr>
          <w:sz w:val="22"/>
        </w:rPr>
      </w:pPr>
      <w:r>
        <w:rPr>
          <w:sz w:val="22"/>
        </w:rPr>
        <w:t>Organisational response in relation to the Coronavirus</w:t>
      </w:r>
      <w:r>
        <w:rPr>
          <w:spacing w:val="-18"/>
          <w:sz w:val="22"/>
        </w:rPr>
        <w:t> </w:t>
      </w:r>
      <w:r>
        <w:rPr>
          <w:sz w:val="22"/>
        </w:rPr>
        <w:t>pandemic</w:t>
      </w:r>
    </w:p>
    <w:p>
      <w:pPr>
        <w:pStyle w:val="ListParagraph"/>
        <w:numPr>
          <w:ilvl w:val="0"/>
          <w:numId w:val="13"/>
        </w:numPr>
        <w:tabs>
          <w:tab w:pos="1397" w:val="left" w:leader="none"/>
          <w:tab w:pos="1398" w:val="left" w:leader="none"/>
        </w:tabs>
        <w:spacing w:line="269" w:lineRule="exact" w:before="0" w:after="0"/>
        <w:ind w:left="1397" w:right="0" w:hanging="361"/>
        <w:jc w:val="left"/>
        <w:rPr>
          <w:sz w:val="22"/>
        </w:rPr>
      </w:pPr>
      <w:r>
        <w:rPr>
          <w:sz w:val="22"/>
        </w:rPr>
        <w:t>Achievement of key organisational performance and financial</w:t>
      </w:r>
      <w:r>
        <w:rPr>
          <w:spacing w:val="-16"/>
          <w:sz w:val="22"/>
        </w:rPr>
        <w:t> </w:t>
      </w:r>
      <w:r>
        <w:rPr>
          <w:sz w:val="22"/>
        </w:rPr>
        <w:t>targets</w:t>
      </w:r>
    </w:p>
    <w:p>
      <w:pPr>
        <w:pStyle w:val="ListParagraph"/>
        <w:numPr>
          <w:ilvl w:val="0"/>
          <w:numId w:val="13"/>
        </w:numPr>
        <w:tabs>
          <w:tab w:pos="1397" w:val="left" w:leader="none"/>
          <w:tab w:pos="1398" w:val="left" w:leader="none"/>
        </w:tabs>
        <w:spacing w:line="240" w:lineRule="auto" w:before="4" w:after="0"/>
        <w:ind w:left="1397" w:right="1016" w:hanging="361"/>
        <w:jc w:val="left"/>
        <w:rPr>
          <w:sz w:val="22"/>
        </w:rPr>
      </w:pPr>
      <w:r>
        <w:rPr>
          <w:sz w:val="22"/>
        </w:rPr>
        <w:t>Full and active participation in the development of Humber and North Yorkshire Integrated Care System’s preparatory arrangements and the associated development with key local partners, including North Lincolnshire Council, of the North Lincolnshire Place arrangements.</w:t>
      </w:r>
    </w:p>
    <w:p>
      <w:pPr>
        <w:pStyle w:val="BodyText"/>
        <w:spacing w:before="8"/>
        <w:rPr>
          <w:sz w:val="21"/>
        </w:rPr>
      </w:pPr>
    </w:p>
    <w:p>
      <w:pPr>
        <w:pStyle w:val="BodyText"/>
        <w:ind w:left="677" w:right="1006"/>
      </w:pPr>
      <w:r>
        <w:rPr/>
        <w:t>The Governing Body is supported by a number of the strategic committees, which are set out below.</w:t>
      </w:r>
    </w:p>
    <w:p>
      <w:pPr>
        <w:pStyle w:val="BodyText"/>
        <w:spacing w:before="7"/>
        <w:rPr>
          <w:sz w:val="27"/>
        </w:rPr>
      </w:pPr>
    </w:p>
    <w:p>
      <w:pPr>
        <w:pStyle w:val="Heading4"/>
      </w:pPr>
      <w:bookmarkStart w:name="The Integrated Audit &amp; Governance Commit" w:id="126"/>
      <w:bookmarkEnd w:id="126"/>
      <w:r>
        <w:rPr>
          <w:b w:val="0"/>
        </w:rPr>
      </w:r>
      <w:r>
        <w:rPr>
          <w:color w:val="365F91"/>
        </w:rPr>
        <w:t>The Integrated Audit &amp; Governance Committee</w:t>
      </w:r>
    </w:p>
    <w:p>
      <w:pPr>
        <w:pStyle w:val="BodyText"/>
        <w:spacing w:before="10"/>
        <w:rPr>
          <w:b/>
          <w:sz w:val="30"/>
        </w:rPr>
      </w:pPr>
    </w:p>
    <w:p>
      <w:pPr>
        <w:pStyle w:val="BodyText"/>
        <w:ind w:left="677" w:right="905" w:firstLine="2"/>
      </w:pPr>
      <w:r>
        <w:rPr/>
        <w:t>Chaired by the CCG Lay Member for Governance, and including additional lay representation, the committee met seven times during the year and was quorate at each meeting.</w:t>
      </w:r>
    </w:p>
    <w:p>
      <w:pPr>
        <w:pStyle w:val="BodyText"/>
        <w:spacing w:before="4"/>
      </w:pPr>
    </w:p>
    <w:p>
      <w:pPr>
        <w:pStyle w:val="BodyText"/>
        <w:ind w:left="670" w:right="1212" w:firstLine="9"/>
      </w:pPr>
      <w:r>
        <w:rPr/>
        <w:t>The committee is responsible for providing assurance to the Governing Body on processes operating within the organisation for risk, control and governance. It has delegated responsibility for oversight of risk management and internal control, internal audit, external audit, value for money whilst reviewing the findings of other significant assurance functions including counter fraud.</w:t>
      </w:r>
    </w:p>
    <w:p>
      <w:pPr>
        <w:pStyle w:val="BodyText"/>
        <w:spacing w:before="8"/>
        <w:rPr>
          <w:sz w:val="21"/>
        </w:rPr>
      </w:pPr>
    </w:p>
    <w:p>
      <w:pPr>
        <w:pStyle w:val="BodyText"/>
        <w:spacing w:line="251" w:lineRule="exact"/>
        <w:ind w:left="670"/>
      </w:pPr>
      <w:r>
        <w:rPr/>
        <w:t>Highlights of its work include:</w:t>
      </w:r>
    </w:p>
    <w:p>
      <w:pPr>
        <w:pStyle w:val="ListParagraph"/>
        <w:numPr>
          <w:ilvl w:val="0"/>
          <w:numId w:val="13"/>
        </w:numPr>
        <w:tabs>
          <w:tab w:pos="1390" w:val="left" w:leader="none"/>
          <w:tab w:pos="1391" w:val="left" w:leader="none"/>
        </w:tabs>
        <w:spacing w:line="268" w:lineRule="exact" w:before="0" w:after="0"/>
        <w:ind w:left="1390" w:right="0" w:hanging="363"/>
        <w:jc w:val="left"/>
        <w:rPr>
          <w:sz w:val="22"/>
        </w:rPr>
      </w:pPr>
      <w:r>
        <w:rPr>
          <w:sz w:val="22"/>
        </w:rPr>
        <w:t>Review of draft annual report and annual</w:t>
      </w:r>
      <w:r>
        <w:rPr>
          <w:spacing w:val="-6"/>
          <w:sz w:val="22"/>
        </w:rPr>
        <w:t> </w:t>
      </w:r>
      <w:r>
        <w:rPr>
          <w:sz w:val="22"/>
        </w:rPr>
        <w:t>accounts</w:t>
      </w:r>
    </w:p>
    <w:p>
      <w:pPr>
        <w:pStyle w:val="ListParagraph"/>
        <w:numPr>
          <w:ilvl w:val="0"/>
          <w:numId w:val="13"/>
        </w:numPr>
        <w:tabs>
          <w:tab w:pos="1388" w:val="left" w:leader="none"/>
          <w:tab w:pos="1389" w:val="left" w:leader="none"/>
        </w:tabs>
        <w:spacing w:line="235" w:lineRule="auto" w:before="9" w:after="0"/>
        <w:ind w:left="1400" w:right="2355" w:hanging="373"/>
        <w:jc w:val="left"/>
        <w:rPr>
          <w:sz w:val="22"/>
        </w:rPr>
      </w:pPr>
      <w:r>
        <w:rPr>
          <w:sz w:val="22"/>
        </w:rPr>
        <w:t>Tackling compliance issues e.g. taxation, legal and constitutional issues (e.g. tender waivers) and gaining relevant</w:t>
      </w:r>
      <w:r>
        <w:rPr>
          <w:spacing w:val="-13"/>
          <w:sz w:val="22"/>
        </w:rPr>
        <w:t> </w:t>
      </w:r>
      <w:r>
        <w:rPr>
          <w:sz w:val="22"/>
        </w:rPr>
        <w:t>assurances.</w:t>
      </w:r>
    </w:p>
    <w:p>
      <w:pPr>
        <w:pStyle w:val="ListParagraph"/>
        <w:numPr>
          <w:ilvl w:val="0"/>
          <w:numId w:val="13"/>
        </w:numPr>
        <w:tabs>
          <w:tab w:pos="1398" w:val="left" w:leader="none"/>
          <w:tab w:pos="1399" w:val="left" w:leader="none"/>
        </w:tabs>
        <w:spacing w:line="266" w:lineRule="exact" w:before="0" w:after="0"/>
        <w:ind w:left="1398" w:right="0" w:hanging="361"/>
        <w:jc w:val="left"/>
        <w:rPr>
          <w:sz w:val="22"/>
        </w:rPr>
      </w:pPr>
      <w:r>
        <w:rPr>
          <w:sz w:val="22"/>
        </w:rPr>
        <w:t>Review of Counter Fraud and security</w:t>
      </w:r>
      <w:r>
        <w:rPr>
          <w:spacing w:val="-4"/>
          <w:sz w:val="22"/>
        </w:rPr>
        <w:t> </w:t>
      </w:r>
      <w:r>
        <w:rPr>
          <w:spacing w:val="-3"/>
          <w:sz w:val="22"/>
        </w:rPr>
        <w:t>work</w:t>
      </w:r>
    </w:p>
    <w:p>
      <w:pPr>
        <w:pStyle w:val="ListParagraph"/>
        <w:numPr>
          <w:ilvl w:val="0"/>
          <w:numId w:val="13"/>
        </w:numPr>
        <w:tabs>
          <w:tab w:pos="1398" w:val="left" w:leader="none"/>
          <w:tab w:pos="1399" w:val="left" w:leader="none"/>
        </w:tabs>
        <w:spacing w:line="269" w:lineRule="exact" w:before="0" w:after="0"/>
        <w:ind w:left="1398" w:right="0" w:hanging="361"/>
        <w:jc w:val="left"/>
        <w:rPr>
          <w:sz w:val="22"/>
        </w:rPr>
      </w:pPr>
      <w:r>
        <w:rPr>
          <w:sz w:val="22"/>
        </w:rPr>
        <w:t>Monitoring the implementation of </w:t>
      </w:r>
      <w:r>
        <w:rPr>
          <w:spacing w:val="-4"/>
          <w:sz w:val="22"/>
        </w:rPr>
        <w:t>audit</w:t>
      </w:r>
      <w:r>
        <w:rPr>
          <w:spacing w:val="-10"/>
          <w:sz w:val="22"/>
        </w:rPr>
        <w:t> </w:t>
      </w:r>
      <w:r>
        <w:rPr>
          <w:sz w:val="22"/>
        </w:rPr>
        <w:t>recommendations</w:t>
      </w:r>
    </w:p>
    <w:p>
      <w:pPr>
        <w:pStyle w:val="ListParagraph"/>
        <w:numPr>
          <w:ilvl w:val="0"/>
          <w:numId w:val="13"/>
        </w:numPr>
        <w:tabs>
          <w:tab w:pos="1395" w:val="left" w:leader="none"/>
          <w:tab w:pos="1396" w:val="left" w:leader="none"/>
        </w:tabs>
        <w:spacing w:line="235" w:lineRule="auto" w:before="8" w:after="0"/>
        <w:ind w:left="1395" w:right="1082" w:hanging="358"/>
        <w:jc w:val="left"/>
        <w:rPr>
          <w:sz w:val="22"/>
        </w:rPr>
      </w:pPr>
      <w:r>
        <w:rPr>
          <w:sz w:val="22"/>
        </w:rPr>
        <w:t>Regular updates on </w:t>
      </w:r>
      <w:r>
        <w:rPr>
          <w:spacing w:val="-4"/>
          <w:sz w:val="22"/>
        </w:rPr>
        <w:t>detailed </w:t>
      </w:r>
      <w:r>
        <w:rPr>
          <w:sz w:val="22"/>
        </w:rPr>
        <w:t>financial policies and procedures, Scheme of Delegation and progress against the financial recovery</w:t>
      </w:r>
      <w:r>
        <w:rPr>
          <w:spacing w:val="-23"/>
          <w:sz w:val="22"/>
        </w:rPr>
        <w:t> </w:t>
      </w:r>
      <w:r>
        <w:rPr>
          <w:sz w:val="22"/>
        </w:rPr>
        <w:t>plan</w:t>
      </w:r>
    </w:p>
    <w:p>
      <w:pPr>
        <w:pStyle w:val="ListParagraph"/>
        <w:numPr>
          <w:ilvl w:val="0"/>
          <w:numId w:val="13"/>
        </w:numPr>
        <w:tabs>
          <w:tab w:pos="1393" w:val="left" w:leader="none"/>
          <w:tab w:pos="1394" w:val="left" w:leader="none"/>
        </w:tabs>
        <w:spacing w:line="235" w:lineRule="auto" w:before="4" w:after="0"/>
        <w:ind w:left="1393" w:right="1994" w:hanging="361"/>
        <w:jc w:val="left"/>
        <w:rPr>
          <w:sz w:val="22"/>
        </w:rPr>
      </w:pPr>
      <w:r>
        <w:rPr>
          <w:sz w:val="22"/>
        </w:rPr>
        <w:t>Supporting the development </w:t>
      </w:r>
      <w:r>
        <w:rPr>
          <w:spacing w:val="-3"/>
          <w:sz w:val="22"/>
        </w:rPr>
        <w:t>of </w:t>
      </w:r>
      <w:r>
        <w:rPr>
          <w:sz w:val="22"/>
        </w:rPr>
        <w:t>assurance mapping to record internal, semi- independent assurance to the </w:t>
      </w:r>
      <w:r>
        <w:rPr>
          <w:spacing w:val="-3"/>
          <w:sz w:val="22"/>
        </w:rPr>
        <w:t>CCG </w:t>
      </w:r>
      <w:r>
        <w:rPr>
          <w:sz w:val="22"/>
        </w:rPr>
        <w:t>linking with the Strategic </w:t>
      </w:r>
      <w:r>
        <w:rPr>
          <w:spacing w:val="-4"/>
          <w:sz w:val="22"/>
        </w:rPr>
        <w:t>Risk</w:t>
      </w:r>
      <w:r>
        <w:rPr>
          <w:spacing w:val="-34"/>
          <w:sz w:val="22"/>
        </w:rPr>
        <w:t> </w:t>
      </w:r>
      <w:r>
        <w:rPr>
          <w:sz w:val="22"/>
        </w:rPr>
        <w:t>Register</w:t>
      </w:r>
    </w:p>
    <w:p>
      <w:pPr>
        <w:pStyle w:val="ListParagraph"/>
        <w:numPr>
          <w:ilvl w:val="0"/>
          <w:numId w:val="13"/>
        </w:numPr>
        <w:tabs>
          <w:tab w:pos="1400" w:val="left" w:leader="none"/>
          <w:tab w:pos="1402" w:val="left" w:leader="none"/>
        </w:tabs>
        <w:spacing w:line="264" w:lineRule="exact" w:before="0" w:after="0"/>
        <w:ind w:left="1401" w:right="0" w:hanging="362"/>
        <w:jc w:val="left"/>
        <w:rPr>
          <w:sz w:val="22"/>
        </w:rPr>
      </w:pPr>
      <w:r>
        <w:rPr>
          <w:sz w:val="22"/>
        </w:rPr>
        <w:t>Reviewing Strategic and Corporate Risk</w:t>
      </w:r>
      <w:r>
        <w:rPr>
          <w:spacing w:val="-13"/>
          <w:sz w:val="22"/>
        </w:rPr>
        <w:t> </w:t>
      </w:r>
      <w:r>
        <w:rPr>
          <w:sz w:val="22"/>
        </w:rPr>
        <w:t>Registers</w:t>
      </w:r>
    </w:p>
    <w:p>
      <w:pPr>
        <w:pStyle w:val="ListParagraph"/>
        <w:numPr>
          <w:ilvl w:val="0"/>
          <w:numId w:val="13"/>
        </w:numPr>
        <w:tabs>
          <w:tab w:pos="1401" w:val="left" w:leader="none"/>
          <w:tab w:pos="1402" w:val="left" w:leader="none"/>
        </w:tabs>
        <w:spacing w:line="269" w:lineRule="exact" w:before="0" w:after="0"/>
        <w:ind w:left="1401" w:right="0" w:hanging="361"/>
        <w:jc w:val="left"/>
        <w:rPr>
          <w:sz w:val="22"/>
        </w:rPr>
      </w:pPr>
      <w:r>
        <w:rPr>
          <w:sz w:val="22"/>
        </w:rPr>
        <w:t>Monitoring the Contracts</w:t>
      </w:r>
      <w:r>
        <w:rPr>
          <w:spacing w:val="-16"/>
          <w:sz w:val="22"/>
        </w:rPr>
        <w:t> </w:t>
      </w:r>
      <w:r>
        <w:rPr>
          <w:sz w:val="22"/>
        </w:rPr>
        <w:t>Register</w:t>
      </w:r>
    </w:p>
    <w:p>
      <w:pPr>
        <w:pStyle w:val="ListParagraph"/>
        <w:numPr>
          <w:ilvl w:val="0"/>
          <w:numId w:val="13"/>
        </w:numPr>
        <w:tabs>
          <w:tab w:pos="1401" w:val="left" w:leader="none"/>
          <w:tab w:pos="1402" w:val="left" w:leader="none"/>
        </w:tabs>
        <w:spacing w:line="237" w:lineRule="auto" w:before="9" w:after="0"/>
        <w:ind w:left="1401" w:right="1436" w:hanging="361"/>
        <w:jc w:val="left"/>
        <w:rPr>
          <w:sz w:val="22"/>
        </w:rPr>
      </w:pPr>
      <w:r>
        <w:rPr>
          <w:sz w:val="22"/>
        </w:rPr>
        <w:t>Assurance with respect to the actions and response of the CCG to the COVID-19 pandemic.</w:t>
      </w:r>
    </w:p>
    <w:p>
      <w:pPr>
        <w:pStyle w:val="BodyText"/>
        <w:rPr>
          <w:sz w:val="24"/>
        </w:rPr>
      </w:pPr>
    </w:p>
    <w:p>
      <w:pPr>
        <w:pStyle w:val="Heading4"/>
        <w:spacing w:before="213"/>
      </w:pPr>
      <w:bookmarkStart w:name="Planning &amp; Commissioning Committee" w:id="127"/>
      <w:bookmarkEnd w:id="127"/>
      <w:r>
        <w:rPr>
          <w:b w:val="0"/>
        </w:rPr>
      </w:r>
      <w:r>
        <w:rPr>
          <w:color w:val="2D5294"/>
        </w:rPr>
        <w:t>Planning &amp; Commissioning Committee</w:t>
      </w:r>
    </w:p>
    <w:p>
      <w:pPr>
        <w:pStyle w:val="BodyText"/>
        <w:spacing w:before="3"/>
        <w:rPr>
          <w:b/>
          <w:sz w:val="21"/>
        </w:rPr>
      </w:pPr>
    </w:p>
    <w:p>
      <w:pPr>
        <w:pStyle w:val="BodyText"/>
        <w:ind w:left="677" w:firstLine="2"/>
      </w:pPr>
      <w:r>
        <w:rPr/>
        <w:t>The Planning &amp; Commissioning Committee met ten times and was quorate at each meeting.</w:t>
      </w:r>
    </w:p>
    <w:p>
      <w:pPr>
        <w:pStyle w:val="BodyText"/>
        <w:spacing w:line="242" w:lineRule="auto" w:before="196"/>
        <w:ind w:left="672" w:right="941" w:firstLine="4"/>
      </w:pPr>
      <w:r>
        <w:rPr/>
        <w:t>The Planning &amp; Commissioning Committee is chaired by a GP Board Member with delegated authority from the Council of Members. Its remit  is to ensure the planning, commissioning and procurement </w:t>
      </w:r>
      <w:r>
        <w:rPr>
          <w:spacing w:val="-3"/>
        </w:rPr>
        <w:t>of </w:t>
      </w:r>
      <w:r>
        <w:rPr/>
        <w:t>commissioning related business is in line with the commissioning strategy and organisational</w:t>
      </w:r>
      <w:r>
        <w:rPr>
          <w:spacing w:val="-3"/>
        </w:rPr>
        <w:t> </w:t>
      </w:r>
      <w:r>
        <w:rPr/>
        <w:t>objectives.</w:t>
      </w:r>
    </w:p>
    <w:p>
      <w:pPr>
        <w:spacing w:after="0" w:line="242" w:lineRule="auto"/>
        <w:sectPr>
          <w:pgSz w:w="11920" w:h="16850"/>
          <w:pgMar w:header="0" w:footer="363" w:top="1320" w:bottom="640" w:left="760" w:right="420"/>
        </w:sectPr>
      </w:pPr>
    </w:p>
    <w:p>
      <w:pPr>
        <w:pStyle w:val="BodyText"/>
        <w:spacing w:before="83"/>
        <w:ind w:left="680"/>
      </w:pPr>
      <w:r>
        <w:rPr/>
        <w:t>Highlights of its work include:</w:t>
      </w:r>
    </w:p>
    <w:p>
      <w:pPr>
        <w:pStyle w:val="BodyText"/>
        <w:spacing w:before="6"/>
        <w:rPr>
          <w:sz w:val="20"/>
        </w:rPr>
      </w:pPr>
    </w:p>
    <w:p>
      <w:pPr>
        <w:pStyle w:val="ListParagraph"/>
        <w:numPr>
          <w:ilvl w:val="0"/>
          <w:numId w:val="13"/>
        </w:numPr>
        <w:tabs>
          <w:tab w:pos="1401" w:val="left" w:leader="none"/>
        </w:tabs>
        <w:spacing w:line="237" w:lineRule="auto" w:before="0" w:after="0"/>
        <w:ind w:left="1400" w:right="703" w:hanging="363"/>
        <w:jc w:val="both"/>
        <w:rPr>
          <w:sz w:val="22"/>
        </w:rPr>
      </w:pPr>
      <w:r>
        <w:rPr>
          <w:sz w:val="22"/>
        </w:rPr>
        <w:t>Approval of work programs to meet the six priorities; prevention, primary care, out </w:t>
      </w:r>
      <w:r>
        <w:rPr>
          <w:spacing w:val="-3"/>
          <w:sz w:val="22"/>
        </w:rPr>
        <w:t>of </w:t>
      </w:r>
      <w:r>
        <w:rPr>
          <w:sz w:val="22"/>
        </w:rPr>
        <w:t>hospital</w:t>
      </w:r>
      <w:r>
        <w:rPr>
          <w:spacing w:val="-6"/>
          <w:sz w:val="22"/>
        </w:rPr>
        <w:t> </w:t>
      </w:r>
      <w:r>
        <w:rPr>
          <w:sz w:val="22"/>
        </w:rPr>
        <w:t>care,</w:t>
      </w:r>
      <w:r>
        <w:rPr>
          <w:spacing w:val="-4"/>
          <w:sz w:val="22"/>
        </w:rPr>
        <w:t> </w:t>
      </w:r>
      <w:r>
        <w:rPr>
          <w:sz w:val="22"/>
        </w:rPr>
        <w:t>children</w:t>
      </w:r>
      <w:r>
        <w:rPr>
          <w:spacing w:val="-8"/>
          <w:sz w:val="22"/>
        </w:rPr>
        <w:t> </w:t>
      </w:r>
      <w:r>
        <w:rPr>
          <w:sz w:val="22"/>
        </w:rPr>
        <w:t>and</w:t>
      </w:r>
      <w:r>
        <w:rPr>
          <w:spacing w:val="-6"/>
          <w:sz w:val="22"/>
        </w:rPr>
        <w:t> </w:t>
      </w:r>
      <w:r>
        <w:rPr>
          <w:sz w:val="22"/>
        </w:rPr>
        <w:t>maternity,</w:t>
      </w:r>
      <w:r>
        <w:rPr>
          <w:spacing w:val="-7"/>
          <w:sz w:val="22"/>
        </w:rPr>
        <w:t> </w:t>
      </w:r>
      <w:r>
        <w:rPr>
          <w:sz w:val="22"/>
        </w:rPr>
        <w:t>mental</w:t>
      </w:r>
      <w:r>
        <w:rPr>
          <w:spacing w:val="-8"/>
          <w:sz w:val="22"/>
        </w:rPr>
        <w:t> </w:t>
      </w:r>
      <w:r>
        <w:rPr>
          <w:sz w:val="22"/>
        </w:rPr>
        <w:t>health</w:t>
      </w:r>
      <w:r>
        <w:rPr>
          <w:spacing w:val="-3"/>
          <w:sz w:val="22"/>
        </w:rPr>
        <w:t> </w:t>
      </w:r>
      <w:r>
        <w:rPr>
          <w:sz w:val="22"/>
        </w:rPr>
        <w:t>and</w:t>
      </w:r>
      <w:r>
        <w:rPr>
          <w:spacing w:val="-8"/>
          <w:sz w:val="22"/>
        </w:rPr>
        <w:t> </w:t>
      </w:r>
      <w:r>
        <w:rPr>
          <w:sz w:val="22"/>
        </w:rPr>
        <w:t>learning</w:t>
      </w:r>
      <w:r>
        <w:rPr>
          <w:spacing w:val="-3"/>
          <w:sz w:val="22"/>
        </w:rPr>
        <w:t> </w:t>
      </w:r>
      <w:r>
        <w:rPr>
          <w:sz w:val="22"/>
        </w:rPr>
        <w:t>disabilities</w:t>
      </w:r>
      <w:r>
        <w:rPr>
          <w:spacing w:val="-3"/>
          <w:sz w:val="22"/>
        </w:rPr>
        <w:t> </w:t>
      </w:r>
      <w:r>
        <w:rPr>
          <w:sz w:val="22"/>
        </w:rPr>
        <w:t>and</w:t>
      </w:r>
      <w:r>
        <w:rPr>
          <w:spacing w:val="-8"/>
          <w:sz w:val="22"/>
        </w:rPr>
        <w:t> </w:t>
      </w:r>
      <w:r>
        <w:rPr>
          <w:sz w:val="22"/>
        </w:rPr>
        <w:t>hospital- based care</w:t>
      </w:r>
    </w:p>
    <w:p>
      <w:pPr>
        <w:pStyle w:val="ListParagraph"/>
        <w:numPr>
          <w:ilvl w:val="0"/>
          <w:numId w:val="13"/>
        </w:numPr>
        <w:tabs>
          <w:tab w:pos="1401" w:val="left" w:leader="none"/>
        </w:tabs>
        <w:spacing w:line="266" w:lineRule="auto" w:before="0" w:after="0"/>
        <w:ind w:left="1400" w:right="807" w:hanging="361"/>
        <w:jc w:val="both"/>
        <w:rPr>
          <w:sz w:val="22"/>
        </w:rPr>
      </w:pPr>
      <w:r>
        <w:rPr>
          <w:sz w:val="22"/>
        </w:rPr>
        <w:t>Approval of a range of service specifications to support people with Covid, including home monitoring</w:t>
      </w:r>
      <w:r>
        <w:rPr>
          <w:spacing w:val="-4"/>
          <w:sz w:val="22"/>
        </w:rPr>
        <w:t> </w:t>
      </w:r>
      <w:r>
        <w:rPr>
          <w:sz w:val="22"/>
        </w:rPr>
        <w:t>services</w:t>
      </w:r>
    </w:p>
    <w:p>
      <w:pPr>
        <w:pStyle w:val="ListParagraph"/>
        <w:numPr>
          <w:ilvl w:val="0"/>
          <w:numId w:val="13"/>
        </w:numPr>
        <w:tabs>
          <w:tab w:pos="1400" w:val="left" w:leader="none"/>
          <w:tab w:pos="1402" w:val="left" w:leader="none"/>
        </w:tabs>
        <w:spacing w:line="268" w:lineRule="auto" w:before="13" w:after="0"/>
        <w:ind w:left="1401" w:right="1492" w:hanging="361"/>
        <w:jc w:val="left"/>
        <w:rPr>
          <w:sz w:val="22"/>
        </w:rPr>
      </w:pPr>
      <w:r>
        <w:rPr>
          <w:sz w:val="22"/>
        </w:rPr>
        <w:t>Approval of a range of specifications for mental health services including a Crisis House, hospital liaison, Recovery College and Psychological Therapies</w:t>
      </w:r>
      <w:r>
        <w:rPr>
          <w:spacing w:val="-45"/>
          <w:sz w:val="22"/>
        </w:rPr>
        <w:t> </w:t>
      </w:r>
      <w:r>
        <w:rPr>
          <w:sz w:val="22"/>
        </w:rPr>
        <w:t>(IAPT)</w:t>
      </w:r>
    </w:p>
    <w:p>
      <w:pPr>
        <w:pStyle w:val="ListParagraph"/>
        <w:numPr>
          <w:ilvl w:val="0"/>
          <w:numId w:val="13"/>
        </w:numPr>
        <w:tabs>
          <w:tab w:pos="1400" w:val="left" w:leader="none"/>
          <w:tab w:pos="1402" w:val="left" w:leader="none"/>
        </w:tabs>
        <w:spacing w:line="240" w:lineRule="auto" w:before="5" w:after="0"/>
        <w:ind w:left="1401" w:right="0" w:hanging="362"/>
        <w:jc w:val="left"/>
        <w:rPr>
          <w:sz w:val="22"/>
        </w:rPr>
      </w:pPr>
      <w:r>
        <w:rPr>
          <w:sz w:val="22"/>
        </w:rPr>
        <w:t>Approval of pathways for neurodiversity</w:t>
      </w:r>
      <w:r>
        <w:rPr>
          <w:spacing w:val="-13"/>
          <w:sz w:val="22"/>
        </w:rPr>
        <w:t> </w:t>
      </w:r>
      <w:r>
        <w:rPr>
          <w:sz w:val="22"/>
        </w:rPr>
        <w:t>conditions</w:t>
      </w:r>
    </w:p>
    <w:p>
      <w:pPr>
        <w:pStyle w:val="ListParagraph"/>
        <w:numPr>
          <w:ilvl w:val="0"/>
          <w:numId w:val="13"/>
        </w:numPr>
        <w:tabs>
          <w:tab w:pos="1401" w:val="left" w:leader="none"/>
          <w:tab w:pos="1402" w:val="left" w:leader="none"/>
        </w:tabs>
        <w:spacing w:line="240" w:lineRule="auto" w:before="33" w:after="0"/>
        <w:ind w:left="1401" w:right="0" w:hanging="361"/>
        <w:jc w:val="left"/>
        <w:rPr>
          <w:sz w:val="22"/>
        </w:rPr>
      </w:pPr>
      <w:r>
        <w:rPr>
          <w:sz w:val="22"/>
        </w:rPr>
        <w:t>Development and approval of new pathways for a range of gastro-intestinal</w:t>
      </w:r>
      <w:r>
        <w:rPr>
          <w:spacing w:val="-47"/>
          <w:sz w:val="22"/>
        </w:rPr>
        <w:t> </w:t>
      </w:r>
      <w:r>
        <w:rPr>
          <w:sz w:val="22"/>
        </w:rPr>
        <w:t>conditions</w:t>
      </w:r>
    </w:p>
    <w:p>
      <w:pPr>
        <w:pStyle w:val="ListParagraph"/>
        <w:numPr>
          <w:ilvl w:val="0"/>
          <w:numId w:val="13"/>
        </w:numPr>
        <w:tabs>
          <w:tab w:pos="1401" w:val="left" w:leader="none"/>
          <w:tab w:pos="1402" w:val="left" w:leader="none"/>
        </w:tabs>
        <w:spacing w:line="266" w:lineRule="auto" w:before="35" w:after="0"/>
        <w:ind w:left="1401" w:right="949" w:hanging="361"/>
        <w:jc w:val="left"/>
        <w:rPr>
          <w:sz w:val="22"/>
        </w:rPr>
      </w:pPr>
      <w:r>
        <w:rPr>
          <w:sz w:val="22"/>
        </w:rPr>
        <w:t>Development of additional hospice beds to support step-down from hospital for people approaching end of life or with complex</w:t>
      </w:r>
      <w:r>
        <w:rPr>
          <w:spacing w:val="-13"/>
          <w:sz w:val="22"/>
        </w:rPr>
        <w:t> </w:t>
      </w:r>
      <w:r>
        <w:rPr>
          <w:sz w:val="22"/>
        </w:rPr>
        <w:t>needs</w:t>
      </w:r>
    </w:p>
    <w:p>
      <w:pPr>
        <w:pStyle w:val="ListParagraph"/>
        <w:numPr>
          <w:ilvl w:val="0"/>
          <w:numId w:val="13"/>
        </w:numPr>
        <w:tabs>
          <w:tab w:pos="1401" w:val="left" w:leader="none"/>
          <w:tab w:pos="1402" w:val="left" w:leader="none"/>
        </w:tabs>
        <w:spacing w:line="240" w:lineRule="auto" w:before="15" w:after="0"/>
        <w:ind w:left="1401" w:right="0" w:hanging="361"/>
        <w:jc w:val="left"/>
        <w:rPr>
          <w:sz w:val="22"/>
        </w:rPr>
      </w:pPr>
      <w:r>
        <w:rPr>
          <w:sz w:val="22"/>
        </w:rPr>
        <w:t>Approval of an updated weight management service</w:t>
      </w:r>
      <w:r>
        <w:rPr>
          <w:spacing w:val="-13"/>
          <w:sz w:val="22"/>
        </w:rPr>
        <w:t> </w:t>
      </w:r>
      <w:r>
        <w:rPr>
          <w:sz w:val="22"/>
        </w:rPr>
        <w:t>specification</w:t>
      </w:r>
    </w:p>
    <w:p>
      <w:pPr>
        <w:pStyle w:val="BodyText"/>
        <w:rPr>
          <w:sz w:val="26"/>
        </w:rPr>
      </w:pPr>
    </w:p>
    <w:p>
      <w:pPr>
        <w:pStyle w:val="Heading4"/>
        <w:spacing w:before="211"/>
      </w:pPr>
      <w:bookmarkStart w:name="The Quality, Performance &amp; Finance Commi" w:id="128"/>
      <w:bookmarkEnd w:id="128"/>
      <w:r>
        <w:rPr>
          <w:b w:val="0"/>
        </w:rPr>
      </w:r>
      <w:r>
        <w:rPr>
          <w:color w:val="2D5294"/>
        </w:rPr>
        <w:t>The Quality, Performance &amp; Finance Committee</w:t>
      </w:r>
    </w:p>
    <w:p>
      <w:pPr>
        <w:pStyle w:val="BodyText"/>
        <w:rPr>
          <w:b/>
          <w:sz w:val="21"/>
        </w:rPr>
      </w:pPr>
    </w:p>
    <w:p>
      <w:pPr>
        <w:pStyle w:val="BodyText"/>
        <w:ind w:left="675" w:right="781" w:firstLine="4"/>
      </w:pPr>
      <w:r>
        <w:rPr/>
        <w:t>The Quality</w:t>
      </w:r>
      <w:r>
        <w:rPr>
          <w:color w:val="1F477B"/>
        </w:rPr>
        <w:t>, </w:t>
      </w:r>
      <w:r>
        <w:rPr/>
        <w:t>Performance and Finance Committee is chaired by the CCG Lay member for Patient &amp; Public Involvement. The Committee met six times during the year and all meetings were quorate. The purpose of the Committee is to receive assurance regarding the continuing development, monitoring and reporting of quality, performance and financial outcome metrics in relation to the Clinical Commissioning Group (CCG) quality improvement, financial performance and management</w:t>
      </w:r>
      <w:r>
        <w:rPr>
          <w:spacing w:val="-9"/>
        </w:rPr>
        <w:t> </w:t>
      </w:r>
      <w:r>
        <w:rPr/>
        <w:t>plans.</w:t>
      </w:r>
    </w:p>
    <w:p>
      <w:pPr>
        <w:pStyle w:val="BodyText"/>
        <w:spacing w:before="203"/>
        <w:ind w:left="674"/>
      </w:pPr>
      <w:r>
        <w:rPr/>
        <w:t>Highlights of the work undertaken by the committee include:</w:t>
      </w:r>
    </w:p>
    <w:p>
      <w:pPr>
        <w:pStyle w:val="BodyText"/>
        <w:spacing w:before="6"/>
        <w:rPr>
          <w:sz w:val="20"/>
        </w:rPr>
      </w:pPr>
    </w:p>
    <w:p>
      <w:pPr>
        <w:pStyle w:val="ListParagraph"/>
        <w:numPr>
          <w:ilvl w:val="0"/>
          <w:numId w:val="13"/>
        </w:numPr>
        <w:tabs>
          <w:tab w:pos="1396" w:val="left" w:leader="none"/>
        </w:tabs>
        <w:spacing w:line="237" w:lineRule="auto" w:before="0" w:after="0"/>
        <w:ind w:left="1395" w:right="806" w:hanging="361"/>
        <w:jc w:val="both"/>
        <w:rPr>
          <w:sz w:val="22"/>
        </w:rPr>
      </w:pPr>
      <w:r>
        <w:rPr>
          <w:sz w:val="22"/>
        </w:rPr>
        <w:t>Oversight of the quality and performance indicators of local providers, including primary care, considering organisational responses to the COVID-19 pandemic and any associated improvement / recovery</w:t>
      </w:r>
      <w:r>
        <w:rPr>
          <w:spacing w:val="-7"/>
          <w:sz w:val="22"/>
        </w:rPr>
        <w:t> </w:t>
      </w:r>
      <w:r>
        <w:rPr>
          <w:sz w:val="22"/>
        </w:rPr>
        <w:t>plans.</w:t>
      </w:r>
    </w:p>
    <w:p>
      <w:pPr>
        <w:pStyle w:val="ListParagraph"/>
        <w:numPr>
          <w:ilvl w:val="0"/>
          <w:numId w:val="13"/>
        </w:numPr>
        <w:tabs>
          <w:tab w:pos="1396" w:val="left" w:leader="none"/>
        </w:tabs>
        <w:spacing w:line="235" w:lineRule="auto" w:before="5" w:after="0"/>
        <w:ind w:left="1395" w:right="806" w:hanging="361"/>
        <w:jc w:val="both"/>
        <w:rPr>
          <w:sz w:val="22"/>
        </w:rPr>
      </w:pPr>
      <w:r>
        <w:rPr>
          <w:sz w:val="22"/>
        </w:rPr>
        <w:t>Regular updates and oversight of the </w:t>
      </w:r>
      <w:r>
        <w:rPr>
          <w:spacing w:val="-2"/>
          <w:sz w:val="22"/>
        </w:rPr>
        <w:t>CCG </w:t>
      </w:r>
      <w:r>
        <w:rPr>
          <w:sz w:val="22"/>
        </w:rPr>
        <w:t>commissioned services and the local area Social Care sector CQC inspection outcomes, including any subsequent action plans and local</w:t>
      </w:r>
      <w:r>
        <w:rPr>
          <w:spacing w:val="-3"/>
          <w:sz w:val="22"/>
        </w:rPr>
        <w:t> </w:t>
      </w:r>
      <w:r>
        <w:rPr>
          <w:sz w:val="22"/>
        </w:rPr>
        <w:t>monitoring.</w:t>
      </w:r>
    </w:p>
    <w:p>
      <w:pPr>
        <w:pStyle w:val="ListParagraph"/>
        <w:numPr>
          <w:ilvl w:val="0"/>
          <w:numId w:val="13"/>
        </w:numPr>
        <w:tabs>
          <w:tab w:pos="1396" w:val="left" w:leader="none"/>
        </w:tabs>
        <w:spacing w:line="237" w:lineRule="auto" w:before="5" w:after="0"/>
        <w:ind w:left="1395" w:right="810" w:hanging="361"/>
        <w:jc w:val="both"/>
        <w:rPr>
          <w:sz w:val="22"/>
        </w:rPr>
      </w:pPr>
      <w:r>
        <w:rPr>
          <w:sz w:val="22"/>
        </w:rPr>
        <w:t>Ongoing oversight of the CCG’s Equality and Inclusion plan and progress made against each of the 4</w:t>
      </w:r>
      <w:r>
        <w:rPr>
          <w:spacing w:val="-8"/>
          <w:sz w:val="22"/>
        </w:rPr>
        <w:t> </w:t>
      </w:r>
      <w:r>
        <w:rPr>
          <w:sz w:val="22"/>
        </w:rPr>
        <w:t>objectives.</w:t>
      </w:r>
    </w:p>
    <w:p>
      <w:pPr>
        <w:pStyle w:val="ListParagraph"/>
        <w:numPr>
          <w:ilvl w:val="0"/>
          <w:numId w:val="13"/>
        </w:numPr>
        <w:tabs>
          <w:tab w:pos="1399" w:val="left" w:leader="none"/>
        </w:tabs>
        <w:spacing w:line="266" w:lineRule="auto" w:before="2" w:after="0"/>
        <w:ind w:left="1398" w:right="804" w:hanging="363"/>
        <w:jc w:val="both"/>
        <w:rPr>
          <w:sz w:val="22"/>
        </w:rPr>
      </w:pPr>
      <w:r>
        <w:rPr>
          <w:sz w:val="22"/>
        </w:rPr>
        <w:t>Regular updates in relation to progress made against the </w:t>
      </w:r>
      <w:r>
        <w:rPr>
          <w:spacing w:val="-3"/>
          <w:sz w:val="22"/>
        </w:rPr>
        <w:t>CCG </w:t>
      </w:r>
      <w:r>
        <w:rPr>
          <w:sz w:val="22"/>
        </w:rPr>
        <w:t>Quality Strategy, considering measurable outcomes and quality improvement</w:t>
      </w:r>
      <w:r>
        <w:rPr>
          <w:spacing w:val="-12"/>
          <w:sz w:val="22"/>
        </w:rPr>
        <w:t> </w:t>
      </w:r>
      <w:r>
        <w:rPr>
          <w:sz w:val="22"/>
        </w:rPr>
        <w:t>initiatives.</w:t>
      </w:r>
    </w:p>
    <w:p>
      <w:pPr>
        <w:pStyle w:val="ListParagraph"/>
        <w:numPr>
          <w:ilvl w:val="0"/>
          <w:numId w:val="13"/>
        </w:numPr>
        <w:tabs>
          <w:tab w:pos="1399" w:val="left" w:leader="none"/>
        </w:tabs>
        <w:spacing w:line="237" w:lineRule="auto" w:before="12" w:after="0"/>
        <w:ind w:left="1398" w:right="802" w:hanging="363"/>
        <w:jc w:val="both"/>
        <w:rPr>
          <w:sz w:val="22"/>
        </w:rPr>
      </w:pPr>
      <w:r>
        <w:rPr>
          <w:sz w:val="22"/>
        </w:rPr>
        <w:t>Oversight</w:t>
      </w:r>
      <w:r>
        <w:rPr>
          <w:spacing w:val="-11"/>
          <w:sz w:val="22"/>
        </w:rPr>
        <w:t> </w:t>
      </w:r>
      <w:r>
        <w:rPr>
          <w:sz w:val="22"/>
        </w:rPr>
        <w:t>of</w:t>
      </w:r>
      <w:r>
        <w:rPr>
          <w:spacing w:val="-17"/>
          <w:sz w:val="22"/>
        </w:rPr>
        <w:t> </w:t>
      </w:r>
      <w:r>
        <w:rPr>
          <w:sz w:val="22"/>
        </w:rPr>
        <w:t>the</w:t>
      </w:r>
      <w:r>
        <w:rPr>
          <w:spacing w:val="-17"/>
          <w:sz w:val="22"/>
        </w:rPr>
        <w:t> </w:t>
      </w:r>
      <w:r>
        <w:rPr>
          <w:sz w:val="22"/>
        </w:rPr>
        <w:t>CCGs</w:t>
      </w:r>
      <w:r>
        <w:rPr>
          <w:spacing w:val="-16"/>
          <w:sz w:val="22"/>
        </w:rPr>
        <w:t> </w:t>
      </w:r>
      <w:r>
        <w:rPr>
          <w:sz w:val="22"/>
        </w:rPr>
        <w:t>key</w:t>
      </w:r>
      <w:r>
        <w:rPr>
          <w:spacing w:val="-15"/>
          <w:sz w:val="22"/>
        </w:rPr>
        <w:t> </w:t>
      </w:r>
      <w:r>
        <w:rPr>
          <w:sz w:val="22"/>
        </w:rPr>
        <w:t>responsibilities</w:t>
      </w:r>
      <w:r>
        <w:rPr>
          <w:spacing w:val="-11"/>
          <w:sz w:val="22"/>
        </w:rPr>
        <w:t> </w:t>
      </w:r>
      <w:r>
        <w:rPr>
          <w:sz w:val="22"/>
        </w:rPr>
        <w:t>in</w:t>
      </w:r>
      <w:r>
        <w:rPr>
          <w:spacing w:val="-16"/>
          <w:sz w:val="22"/>
        </w:rPr>
        <w:t> </w:t>
      </w:r>
      <w:r>
        <w:rPr>
          <w:sz w:val="22"/>
        </w:rPr>
        <w:t>relation</w:t>
      </w:r>
      <w:r>
        <w:rPr>
          <w:spacing w:val="-14"/>
          <w:sz w:val="22"/>
        </w:rPr>
        <w:t> </w:t>
      </w:r>
      <w:r>
        <w:rPr>
          <w:sz w:val="22"/>
        </w:rPr>
        <w:t>to</w:t>
      </w:r>
      <w:r>
        <w:rPr>
          <w:spacing w:val="-16"/>
          <w:sz w:val="22"/>
        </w:rPr>
        <w:t> </w:t>
      </w:r>
      <w:r>
        <w:rPr>
          <w:sz w:val="22"/>
        </w:rPr>
        <w:t>quality,</w:t>
      </w:r>
      <w:r>
        <w:rPr>
          <w:spacing w:val="-13"/>
          <w:sz w:val="22"/>
        </w:rPr>
        <w:t> </w:t>
      </w:r>
      <w:r>
        <w:rPr>
          <w:sz w:val="22"/>
        </w:rPr>
        <w:t>including</w:t>
      </w:r>
      <w:r>
        <w:rPr>
          <w:spacing w:val="-15"/>
          <w:sz w:val="22"/>
        </w:rPr>
        <w:t> </w:t>
      </w:r>
      <w:r>
        <w:rPr>
          <w:sz w:val="22"/>
        </w:rPr>
        <w:t>regular</w:t>
      </w:r>
      <w:r>
        <w:rPr>
          <w:spacing w:val="-12"/>
          <w:sz w:val="22"/>
        </w:rPr>
        <w:t> </w:t>
      </w:r>
      <w:r>
        <w:rPr>
          <w:sz w:val="22"/>
        </w:rPr>
        <w:t>updates on the management of Serious Incidents, Complaints, Infection Prevention and Control and Safeguarding.</w:t>
      </w:r>
    </w:p>
    <w:p>
      <w:pPr>
        <w:pStyle w:val="ListParagraph"/>
        <w:numPr>
          <w:ilvl w:val="0"/>
          <w:numId w:val="13"/>
        </w:numPr>
        <w:tabs>
          <w:tab w:pos="1399" w:val="left" w:leader="none"/>
        </w:tabs>
        <w:spacing w:line="237" w:lineRule="auto" w:before="3" w:after="0"/>
        <w:ind w:left="1398" w:right="818" w:hanging="363"/>
        <w:jc w:val="both"/>
        <w:rPr>
          <w:sz w:val="22"/>
        </w:rPr>
      </w:pPr>
      <w:r>
        <w:rPr>
          <w:sz w:val="22"/>
        </w:rPr>
        <w:t>Continued utilisation of an agreed framework to determine the Committee’s level of assurance of the CCG and provider</w:t>
      </w:r>
      <w:r>
        <w:rPr>
          <w:spacing w:val="-18"/>
          <w:sz w:val="22"/>
        </w:rPr>
        <w:t> </w:t>
      </w:r>
      <w:r>
        <w:rPr>
          <w:sz w:val="22"/>
        </w:rPr>
        <w:t>responsibilities.</w:t>
      </w:r>
    </w:p>
    <w:p>
      <w:pPr>
        <w:pStyle w:val="BodyText"/>
        <w:rPr>
          <w:sz w:val="24"/>
        </w:rPr>
      </w:pPr>
    </w:p>
    <w:p>
      <w:pPr>
        <w:pStyle w:val="BodyText"/>
        <w:spacing w:before="1"/>
        <w:rPr>
          <w:sz w:val="21"/>
        </w:rPr>
      </w:pPr>
    </w:p>
    <w:p>
      <w:pPr>
        <w:pStyle w:val="Heading4"/>
      </w:pPr>
      <w:bookmarkStart w:name="Primary Care Commissioning Committee" w:id="129"/>
      <w:bookmarkEnd w:id="129"/>
      <w:r>
        <w:rPr>
          <w:b w:val="0"/>
        </w:rPr>
      </w:r>
      <w:r>
        <w:rPr>
          <w:color w:val="365F91"/>
        </w:rPr>
        <w:t>Primary Care Commissioning Committee</w:t>
      </w:r>
    </w:p>
    <w:p>
      <w:pPr>
        <w:pStyle w:val="BodyText"/>
        <w:spacing w:before="3"/>
        <w:rPr>
          <w:b/>
          <w:sz w:val="31"/>
        </w:rPr>
      </w:pPr>
    </w:p>
    <w:p>
      <w:pPr>
        <w:pStyle w:val="BodyText"/>
        <w:ind w:left="675" w:right="1019" w:firstLine="4"/>
      </w:pPr>
      <w:r>
        <w:rPr/>
        <w:t>This is a committee with the principal purpose of commissioning primary medical services for the people of North Lincolnshire. It is chaired by the CCG Lay member for Patient &amp; Public involvement and has met six times in 2021/22 with each meeting being quorate. Highlights of work undertaken by the committee include:</w:t>
      </w:r>
    </w:p>
    <w:p>
      <w:pPr>
        <w:pStyle w:val="ListParagraph"/>
        <w:numPr>
          <w:ilvl w:val="0"/>
          <w:numId w:val="13"/>
        </w:numPr>
        <w:tabs>
          <w:tab w:pos="1389" w:val="left" w:leader="none"/>
        </w:tabs>
        <w:spacing w:line="269" w:lineRule="exact" w:before="195" w:after="0"/>
        <w:ind w:left="1388" w:right="0" w:hanging="282"/>
        <w:jc w:val="left"/>
        <w:rPr>
          <w:sz w:val="22"/>
        </w:rPr>
      </w:pPr>
      <w:r>
        <w:rPr>
          <w:spacing w:val="12"/>
          <w:sz w:val="22"/>
        </w:rPr>
        <w:t>Initiatives </w:t>
      </w:r>
      <w:r>
        <w:rPr>
          <w:spacing w:val="4"/>
          <w:sz w:val="22"/>
        </w:rPr>
        <w:t>to </w:t>
      </w:r>
      <w:r>
        <w:rPr>
          <w:spacing w:val="9"/>
          <w:sz w:val="22"/>
        </w:rPr>
        <w:t>improve access </w:t>
      </w:r>
      <w:r>
        <w:rPr>
          <w:spacing w:val="4"/>
          <w:sz w:val="22"/>
        </w:rPr>
        <w:t>to </w:t>
      </w:r>
      <w:r>
        <w:rPr>
          <w:spacing w:val="10"/>
          <w:sz w:val="22"/>
        </w:rPr>
        <w:t>primary</w:t>
      </w:r>
      <w:r>
        <w:rPr>
          <w:spacing w:val="24"/>
          <w:sz w:val="22"/>
        </w:rPr>
        <w:t> </w:t>
      </w:r>
      <w:r>
        <w:rPr>
          <w:spacing w:val="10"/>
          <w:sz w:val="22"/>
        </w:rPr>
        <w:t>care</w:t>
      </w:r>
    </w:p>
    <w:p>
      <w:pPr>
        <w:pStyle w:val="ListParagraph"/>
        <w:numPr>
          <w:ilvl w:val="0"/>
          <w:numId w:val="13"/>
        </w:numPr>
        <w:tabs>
          <w:tab w:pos="1388" w:val="left" w:leader="none"/>
        </w:tabs>
        <w:spacing w:line="269" w:lineRule="exact" w:before="0" w:after="0"/>
        <w:ind w:left="1387" w:right="0" w:hanging="281"/>
        <w:jc w:val="left"/>
        <w:rPr>
          <w:sz w:val="22"/>
        </w:rPr>
      </w:pPr>
      <w:r>
        <w:rPr>
          <w:sz w:val="22"/>
        </w:rPr>
        <w:t>Primary care estates</w:t>
      </w:r>
      <w:r>
        <w:rPr>
          <w:spacing w:val="-13"/>
          <w:sz w:val="22"/>
        </w:rPr>
        <w:t> </w:t>
      </w:r>
      <w:r>
        <w:rPr>
          <w:sz w:val="22"/>
        </w:rPr>
        <w:t>strategy</w:t>
      </w:r>
    </w:p>
    <w:p>
      <w:pPr>
        <w:pStyle w:val="ListParagraph"/>
        <w:numPr>
          <w:ilvl w:val="0"/>
          <w:numId w:val="13"/>
        </w:numPr>
        <w:tabs>
          <w:tab w:pos="1388" w:val="left" w:leader="none"/>
        </w:tabs>
        <w:spacing w:line="269" w:lineRule="exact" w:before="0" w:after="0"/>
        <w:ind w:left="1387" w:right="0" w:hanging="281"/>
        <w:jc w:val="left"/>
        <w:rPr>
          <w:sz w:val="22"/>
        </w:rPr>
      </w:pPr>
      <w:r>
        <w:rPr>
          <w:sz w:val="22"/>
        </w:rPr>
        <w:t>Local service specifications through Primary Care</w:t>
      </w:r>
      <w:r>
        <w:rPr>
          <w:spacing w:val="-11"/>
          <w:sz w:val="22"/>
        </w:rPr>
        <w:t> </w:t>
      </w:r>
      <w:r>
        <w:rPr>
          <w:sz w:val="22"/>
        </w:rPr>
        <w:t>Networks</w:t>
      </w:r>
    </w:p>
    <w:p>
      <w:pPr>
        <w:spacing w:after="0" w:line="269" w:lineRule="exact"/>
        <w:jc w:val="left"/>
        <w:rPr>
          <w:sz w:val="22"/>
        </w:rPr>
        <w:sectPr>
          <w:pgSz w:w="11920" w:h="16850"/>
          <w:pgMar w:header="0" w:footer="363" w:top="1320" w:bottom="640" w:left="760" w:right="420"/>
        </w:sectPr>
      </w:pPr>
    </w:p>
    <w:p>
      <w:pPr>
        <w:pStyle w:val="ListParagraph"/>
        <w:numPr>
          <w:ilvl w:val="0"/>
          <w:numId w:val="13"/>
        </w:numPr>
        <w:tabs>
          <w:tab w:pos="1389" w:val="left" w:leader="none"/>
        </w:tabs>
        <w:spacing w:line="235" w:lineRule="auto" w:before="82" w:after="0"/>
        <w:ind w:left="1388" w:right="1370" w:hanging="281"/>
        <w:jc w:val="left"/>
        <w:rPr>
          <w:sz w:val="22"/>
        </w:rPr>
      </w:pPr>
      <w:r>
        <w:rPr>
          <w:sz w:val="22"/>
        </w:rPr>
        <w:t>Review of Primary Care Contractual changes and approval to sign changes in line with NHS England guidance.</w:t>
      </w:r>
    </w:p>
    <w:p>
      <w:pPr>
        <w:pStyle w:val="ListParagraph"/>
        <w:numPr>
          <w:ilvl w:val="0"/>
          <w:numId w:val="13"/>
        </w:numPr>
        <w:tabs>
          <w:tab w:pos="1389" w:val="left" w:leader="none"/>
        </w:tabs>
        <w:spacing w:line="235" w:lineRule="auto" w:before="6" w:after="0"/>
        <w:ind w:left="1388" w:right="1087" w:hanging="281"/>
        <w:jc w:val="left"/>
        <w:rPr>
          <w:sz w:val="22"/>
        </w:rPr>
      </w:pPr>
      <w:r>
        <w:rPr>
          <w:sz w:val="22"/>
        </w:rPr>
        <w:t>Additional Roles Reimbursement scheme, including support to rotational models with wider</w:t>
      </w:r>
      <w:r>
        <w:rPr>
          <w:spacing w:val="1"/>
          <w:sz w:val="22"/>
        </w:rPr>
        <w:t> </w:t>
      </w:r>
      <w:r>
        <w:rPr>
          <w:sz w:val="22"/>
        </w:rPr>
        <w:t>providers</w:t>
      </w:r>
    </w:p>
    <w:p>
      <w:pPr>
        <w:pStyle w:val="ListParagraph"/>
        <w:numPr>
          <w:ilvl w:val="0"/>
          <w:numId w:val="13"/>
        </w:numPr>
        <w:tabs>
          <w:tab w:pos="1389" w:val="left" w:leader="none"/>
        </w:tabs>
        <w:spacing w:line="266" w:lineRule="exact" w:before="0" w:after="0"/>
        <w:ind w:left="1388" w:right="0" w:hanging="282"/>
        <w:jc w:val="left"/>
        <w:rPr>
          <w:sz w:val="22"/>
        </w:rPr>
      </w:pPr>
      <w:r>
        <w:rPr>
          <w:sz w:val="22"/>
        </w:rPr>
        <w:t>Primary Care Covid19</w:t>
      </w:r>
      <w:r>
        <w:rPr>
          <w:spacing w:val="-9"/>
          <w:sz w:val="22"/>
        </w:rPr>
        <w:t> </w:t>
      </w:r>
      <w:r>
        <w:rPr>
          <w:sz w:val="22"/>
        </w:rPr>
        <w:t>Response</w:t>
      </w:r>
    </w:p>
    <w:p>
      <w:pPr>
        <w:pStyle w:val="ListParagraph"/>
        <w:numPr>
          <w:ilvl w:val="0"/>
          <w:numId w:val="13"/>
        </w:numPr>
        <w:tabs>
          <w:tab w:pos="1389" w:val="left" w:leader="none"/>
        </w:tabs>
        <w:spacing w:line="268" w:lineRule="exact" w:before="0" w:after="0"/>
        <w:ind w:left="1388" w:right="0" w:hanging="282"/>
        <w:jc w:val="left"/>
        <w:rPr>
          <w:sz w:val="22"/>
        </w:rPr>
      </w:pPr>
      <w:r>
        <w:rPr>
          <w:sz w:val="22"/>
        </w:rPr>
        <w:t>Redeployment of Extended</w:t>
      </w:r>
      <w:r>
        <w:rPr>
          <w:spacing w:val="6"/>
          <w:sz w:val="22"/>
        </w:rPr>
        <w:t> </w:t>
      </w:r>
      <w:r>
        <w:rPr>
          <w:sz w:val="22"/>
        </w:rPr>
        <w:t>Access</w:t>
      </w:r>
    </w:p>
    <w:p>
      <w:pPr>
        <w:pStyle w:val="ListParagraph"/>
        <w:numPr>
          <w:ilvl w:val="0"/>
          <w:numId w:val="13"/>
        </w:numPr>
        <w:tabs>
          <w:tab w:pos="1389" w:val="left" w:leader="none"/>
        </w:tabs>
        <w:spacing w:line="267" w:lineRule="exact" w:before="0" w:after="0"/>
        <w:ind w:left="1388" w:right="0" w:hanging="282"/>
        <w:jc w:val="left"/>
        <w:rPr>
          <w:sz w:val="22"/>
        </w:rPr>
      </w:pPr>
      <w:r>
        <w:rPr>
          <w:sz w:val="22"/>
        </w:rPr>
        <w:t>Home Oximetry service</w:t>
      </w:r>
      <w:r>
        <w:rPr>
          <w:spacing w:val="-23"/>
          <w:sz w:val="22"/>
        </w:rPr>
        <w:t> </w:t>
      </w:r>
      <w:r>
        <w:rPr>
          <w:sz w:val="22"/>
        </w:rPr>
        <w:t>update</w:t>
      </w:r>
    </w:p>
    <w:p>
      <w:pPr>
        <w:pStyle w:val="ListParagraph"/>
        <w:numPr>
          <w:ilvl w:val="0"/>
          <w:numId w:val="13"/>
        </w:numPr>
        <w:tabs>
          <w:tab w:pos="1389" w:val="left" w:leader="none"/>
        </w:tabs>
        <w:spacing w:line="268" w:lineRule="exact" w:before="0" w:after="0"/>
        <w:ind w:left="1388" w:right="0" w:hanging="282"/>
        <w:jc w:val="left"/>
        <w:rPr>
          <w:sz w:val="22"/>
        </w:rPr>
      </w:pPr>
      <w:r>
        <w:rPr>
          <w:sz w:val="22"/>
        </w:rPr>
        <w:t>Out of Hospital</w:t>
      </w:r>
      <w:r>
        <w:rPr>
          <w:spacing w:val="-29"/>
          <w:sz w:val="22"/>
        </w:rPr>
        <w:t> </w:t>
      </w:r>
      <w:r>
        <w:rPr>
          <w:sz w:val="22"/>
        </w:rPr>
        <w:t>Transformation</w:t>
      </w:r>
    </w:p>
    <w:p>
      <w:pPr>
        <w:pStyle w:val="ListParagraph"/>
        <w:numPr>
          <w:ilvl w:val="0"/>
          <w:numId w:val="13"/>
        </w:numPr>
        <w:tabs>
          <w:tab w:pos="1400" w:val="left" w:leader="none"/>
          <w:tab w:pos="1401" w:val="left" w:leader="none"/>
        </w:tabs>
        <w:spacing w:line="269" w:lineRule="exact" w:before="0" w:after="0"/>
        <w:ind w:left="1400" w:right="0" w:hanging="361"/>
        <w:jc w:val="left"/>
        <w:rPr>
          <w:sz w:val="22"/>
        </w:rPr>
      </w:pPr>
      <w:r>
        <w:rPr>
          <w:sz w:val="22"/>
        </w:rPr>
        <w:t>Lease agreements</w:t>
      </w:r>
    </w:p>
    <w:p>
      <w:pPr>
        <w:pStyle w:val="ListParagraph"/>
        <w:numPr>
          <w:ilvl w:val="0"/>
          <w:numId w:val="13"/>
        </w:numPr>
        <w:tabs>
          <w:tab w:pos="1400" w:val="left" w:leader="none"/>
          <w:tab w:pos="1401" w:val="left" w:leader="none"/>
        </w:tabs>
        <w:spacing w:line="240" w:lineRule="auto" w:before="43" w:after="0"/>
        <w:ind w:left="1400" w:right="0" w:hanging="361"/>
        <w:jc w:val="left"/>
        <w:rPr>
          <w:sz w:val="22"/>
        </w:rPr>
      </w:pPr>
      <w:r>
        <w:rPr>
          <w:sz w:val="22"/>
        </w:rPr>
        <w:t>Risk registers</w:t>
      </w:r>
    </w:p>
    <w:p>
      <w:pPr>
        <w:pStyle w:val="ListParagraph"/>
        <w:numPr>
          <w:ilvl w:val="0"/>
          <w:numId w:val="13"/>
        </w:numPr>
        <w:tabs>
          <w:tab w:pos="1400" w:val="left" w:leader="none"/>
          <w:tab w:pos="1401" w:val="left" w:leader="none"/>
        </w:tabs>
        <w:spacing w:line="240" w:lineRule="auto" w:before="35" w:after="0"/>
        <w:ind w:left="1400" w:right="0" w:hanging="361"/>
        <w:jc w:val="left"/>
        <w:rPr>
          <w:sz w:val="22"/>
        </w:rPr>
      </w:pPr>
      <w:r>
        <w:rPr>
          <w:sz w:val="22"/>
        </w:rPr>
        <w:t>Digital primary care</w:t>
      </w:r>
      <w:r>
        <w:rPr>
          <w:spacing w:val="-9"/>
          <w:sz w:val="22"/>
        </w:rPr>
        <w:t> </w:t>
      </w:r>
      <w:r>
        <w:rPr>
          <w:sz w:val="22"/>
        </w:rPr>
        <w:t>projects</w:t>
      </w:r>
    </w:p>
    <w:p>
      <w:pPr>
        <w:pStyle w:val="ListParagraph"/>
        <w:numPr>
          <w:ilvl w:val="0"/>
          <w:numId w:val="13"/>
        </w:numPr>
        <w:tabs>
          <w:tab w:pos="1403" w:val="left" w:leader="none"/>
          <w:tab w:pos="1404" w:val="left" w:leader="none"/>
        </w:tabs>
        <w:spacing w:line="240" w:lineRule="auto" w:before="33" w:after="0"/>
        <w:ind w:left="1403" w:right="0" w:hanging="364"/>
        <w:jc w:val="left"/>
        <w:rPr>
          <w:sz w:val="22"/>
        </w:rPr>
      </w:pPr>
      <w:r>
        <w:rPr>
          <w:sz w:val="22"/>
        </w:rPr>
        <w:t>Primary Care Data Gathering</w:t>
      </w:r>
      <w:r>
        <w:rPr>
          <w:spacing w:val="-13"/>
          <w:sz w:val="22"/>
        </w:rPr>
        <w:t> </w:t>
      </w:r>
      <w:r>
        <w:rPr>
          <w:sz w:val="22"/>
        </w:rPr>
        <w:t>Programme</w:t>
      </w:r>
    </w:p>
    <w:p>
      <w:pPr>
        <w:pStyle w:val="ListParagraph"/>
        <w:numPr>
          <w:ilvl w:val="0"/>
          <w:numId w:val="13"/>
        </w:numPr>
        <w:tabs>
          <w:tab w:pos="1403" w:val="left" w:leader="none"/>
          <w:tab w:pos="1404" w:val="left" w:leader="none"/>
        </w:tabs>
        <w:spacing w:line="240" w:lineRule="auto" w:before="35" w:after="0"/>
        <w:ind w:left="1403" w:right="0" w:hanging="364"/>
        <w:jc w:val="left"/>
        <w:rPr>
          <w:sz w:val="22"/>
        </w:rPr>
      </w:pPr>
      <w:r>
        <w:rPr>
          <w:sz w:val="22"/>
        </w:rPr>
        <w:t>Enhanced services commissioned from community</w:t>
      </w:r>
      <w:r>
        <w:rPr>
          <w:spacing w:val="-9"/>
          <w:sz w:val="22"/>
        </w:rPr>
        <w:t> </w:t>
      </w:r>
      <w:r>
        <w:rPr>
          <w:sz w:val="22"/>
        </w:rPr>
        <w:t>pharmacies</w:t>
      </w:r>
    </w:p>
    <w:p>
      <w:pPr>
        <w:pStyle w:val="ListParagraph"/>
        <w:numPr>
          <w:ilvl w:val="0"/>
          <w:numId w:val="13"/>
        </w:numPr>
        <w:tabs>
          <w:tab w:pos="1403" w:val="left" w:leader="none"/>
          <w:tab w:pos="1404" w:val="left" w:leader="none"/>
        </w:tabs>
        <w:spacing w:line="240" w:lineRule="auto" w:before="33" w:after="0"/>
        <w:ind w:left="1403" w:right="0" w:hanging="363"/>
        <w:jc w:val="left"/>
        <w:rPr>
          <w:sz w:val="22"/>
        </w:rPr>
      </w:pPr>
      <w:r>
        <w:rPr>
          <w:sz w:val="22"/>
        </w:rPr>
        <w:t>Enhanced Health in Care Homes DES</w:t>
      </w:r>
      <w:r>
        <w:rPr>
          <w:spacing w:val="-8"/>
          <w:sz w:val="22"/>
        </w:rPr>
        <w:t> </w:t>
      </w:r>
      <w:r>
        <w:rPr>
          <w:sz w:val="22"/>
        </w:rPr>
        <w:t>requirements</w:t>
      </w:r>
    </w:p>
    <w:p>
      <w:pPr>
        <w:pStyle w:val="ListParagraph"/>
        <w:numPr>
          <w:ilvl w:val="0"/>
          <w:numId w:val="13"/>
        </w:numPr>
        <w:tabs>
          <w:tab w:pos="1403" w:val="left" w:leader="none"/>
          <w:tab w:pos="1404" w:val="left" w:leader="none"/>
        </w:tabs>
        <w:spacing w:line="240" w:lineRule="auto" w:before="38" w:after="0"/>
        <w:ind w:left="1403" w:right="0" w:hanging="363"/>
        <w:jc w:val="left"/>
        <w:rPr>
          <w:sz w:val="22"/>
        </w:rPr>
      </w:pPr>
      <w:r>
        <w:rPr>
          <w:sz w:val="22"/>
        </w:rPr>
        <w:t>Practice Boundary Changes</w:t>
      </w:r>
    </w:p>
    <w:p>
      <w:pPr>
        <w:pStyle w:val="ListParagraph"/>
        <w:numPr>
          <w:ilvl w:val="0"/>
          <w:numId w:val="13"/>
        </w:numPr>
        <w:tabs>
          <w:tab w:pos="1403" w:val="left" w:leader="none"/>
          <w:tab w:pos="1404" w:val="left" w:leader="none"/>
        </w:tabs>
        <w:spacing w:line="240" w:lineRule="auto" w:before="33" w:after="0"/>
        <w:ind w:left="1403" w:right="0" w:hanging="363"/>
        <w:jc w:val="left"/>
        <w:rPr>
          <w:sz w:val="22"/>
        </w:rPr>
      </w:pPr>
      <w:r>
        <w:rPr>
          <w:sz w:val="22"/>
        </w:rPr>
        <w:t>Capital</w:t>
      </w:r>
      <w:r>
        <w:rPr>
          <w:spacing w:val="-1"/>
          <w:sz w:val="22"/>
        </w:rPr>
        <w:t> </w:t>
      </w:r>
      <w:r>
        <w:rPr>
          <w:sz w:val="22"/>
        </w:rPr>
        <w:t>bids</w:t>
      </w:r>
    </w:p>
    <w:p>
      <w:pPr>
        <w:pStyle w:val="ListParagraph"/>
        <w:numPr>
          <w:ilvl w:val="0"/>
          <w:numId w:val="13"/>
        </w:numPr>
        <w:tabs>
          <w:tab w:pos="1404" w:val="left" w:leader="none"/>
          <w:tab w:pos="1405" w:val="left" w:leader="none"/>
        </w:tabs>
        <w:spacing w:line="240" w:lineRule="auto" w:before="35" w:after="0"/>
        <w:ind w:left="1404" w:right="0" w:hanging="364"/>
        <w:jc w:val="left"/>
        <w:rPr>
          <w:sz w:val="22"/>
        </w:rPr>
      </w:pPr>
      <w:r>
        <w:rPr>
          <w:sz w:val="22"/>
        </w:rPr>
        <w:t>Paediatric Respiratory Syncytial Virus</w:t>
      </w:r>
      <w:r>
        <w:rPr>
          <w:spacing w:val="-8"/>
          <w:sz w:val="22"/>
        </w:rPr>
        <w:t> </w:t>
      </w:r>
      <w:r>
        <w:rPr>
          <w:sz w:val="22"/>
        </w:rPr>
        <w:t>(RSV)</w:t>
      </w:r>
    </w:p>
    <w:p>
      <w:pPr>
        <w:pStyle w:val="BodyText"/>
        <w:rPr>
          <w:sz w:val="26"/>
        </w:rPr>
      </w:pPr>
    </w:p>
    <w:p>
      <w:pPr>
        <w:pStyle w:val="Heading4"/>
        <w:spacing w:before="152"/>
      </w:pPr>
      <w:bookmarkStart w:name="The Remuneration Committee" w:id="130"/>
      <w:bookmarkEnd w:id="130"/>
      <w:r>
        <w:rPr>
          <w:b w:val="0"/>
        </w:rPr>
      </w:r>
      <w:r>
        <w:rPr>
          <w:color w:val="365F91"/>
        </w:rPr>
        <w:t>The Remuneration Committee</w:t>
      </w:r>
    </w:p>
    <w:p>
      <w:pPr>
        <w:pStyle w:val="BodyText"/>
        <w:spacing w:before="10"/>
        <w:rPr>
          <w:b/>
          <w:sz w:val="30"/>
        </w:rPr>
      </w:pPr>
    </w:p>
    <w:p>
      <w:pPr>
        <w:pStyle w:val="BodyText"/>
        <w:ind w:left="672" w:right="872" w:firstLine="7"/>
      </w:pPr>
      <w:r>
        <w:rPr/>
        <w:t>The Remuneration Committee is chaired by the Lay Member for Patient &amp; Public Involvement. The Group has delegated responsibility from the Governing Body for advising it on all aspects of salary not covered by Agenda for Change, arrangements for the termination of employment, monitoring and evaluating the performance of Governing Body members and approving human resources policies and</w:t>
      </w:r>
      <w:r>
        <w:rPr>
          <w:spacing w:val="-1"/>
        </w:rPr>
        <w:t> </w:t>
      </w:r>
      <w:r>
        <w:rPr/>
        <w:t>procedures.</w:t>
      </w:r>
    </w:p>
    <w:p>
      <w:pPr>
        <w:pStyle w:val="BodyText"/>
        <w:spacing w:before="4"/>
      </w:pPr>
    </w:p>
    <w:p>
      <w:pPr>
        <w:pStyle w:val="BodyText"/>
        <w:ind w:left="677" w:right="831" w:firstLine="2"/>
      </w:pPr>
      <w:r>
        <w:rPr/>
        <w:t>The Remuneration Committee met twice during the year and was quorate at each meeting, and its </w:t>
      </w:r>
      <w:r>
        <w:rPr>
          <w:spacing w:val="-4"/>
        </w:rPr>
        <w:t>work </w:t>
      </w:r>
      <w:r>
        <w:rPr>
          <w:spacing w:val="-3"/>
        </w:rPr>
        <w:t>during </w:t>
      </w:r>
      <w:r>
        <w:rPr/>
        <w:t>in 2021-22 was focussed on considering papers relevant to its terms of reference and, specifically, remuneration considerations and receipt of the annual performance appraisals of the CCG’s Very Senior Manager (VSM)</w:t>
      </w:r>
      <w:r>
        <w:rPr>
          <w:spacing w:val="-15"/>
        </w:rPr>
        <w:t> </w:t>
      </w:r>
      <w:r>
        <w:rPr/>
        <w:t>officers.</w:t>
      </w:r>
    </w:p>
    <w:p>
      <w:pPr>
        <w:pStyle w:val="BodyText"/>
      </w:pPr>
    </w:p>
    <w:p>
      <w:pPr>
        <w:pStyle w:val="BodyText"/>
        <w:ind w:left="677" w:right="945"/>
      </w:pPr>
      <w:r>
        <w:rPr/>
        <w:t>The Committee also engaged with the Remuneration Committees of NHS Hull CCG and NHS East Riding CCG with respect to those VSM officer posts that are shared across all three CCGs.</w:t>
      </w:r>
    </w:p>
    <w:p>
      <w:pPr>
        <w:pStyle w:val="BodyText"/>
        <w:spacing w:before="10"/>
        <w:rPr>
          <w:sz w:val="21"/>
        </w:rPr>
      </w:pPr>
    </w:p>
    <w:p>
      <w:pPr>
        <w:pStyle w:val="Heading4"/>
      </w:pPr>
      <w:bookmarkStart w:name="The CCG’s use of the UK Corporate Govern" w:id="131"/>
      <w:bookmarkEnd w:id="131"/>
      <w:r>
        <w:rPr>
          <w:b w:val="0"/>
        </w:rPr>
      </w:r>
      <w:r>
        <w:rPr>
          <w:color w:val="365F91"/>
        </w:rPr>
        <w:t>The CCG’s use of the UK Corporate Governance Code</w:t>
      </w:r>
    </w:p>
    <w:p>
      <w:pPr>
        <w:pStyle w:val="BodyText"/>
        <w:spacing w:before="3"/>
        <w:rPr>
          <w:b/>
          <w:sz w:val="31"/>
        </w:rPr>
      </w:pPr>
    </w:p>
    <w:p>
      <w:pPr>
        <w:pStyle w:val="BodyText"/>
        <w:ind w:left="680" w:right="1810"/>
      </w:pPr>
      <w:r>
        <w:rPr/>
        <w:t>To ensure compliance with best Governance practice, the CCG also refers to the UK Corporate Governance code.</w:t>
      </w:r>
    </w:p>
    <w:p>
      <w:pPr>
        <w:pStyle w:val="BodyText"/>
        <w:spacing w:before="9"/>
        <w:rPr>
          <w:sz w:val="21"/>
        </w:rPr>
      </w:pPr>
    </w:p>
    <w:p>
      <w:pPr>
        <w:pStyle w:val="BodyText"/>
        <w:ind w:left="672" w:right="802" w:firstLine="7"/>
      </w:pPr>
      <w:r>
        <w:rPr/>
        <w:t>Though the CCG is not formally required to comply with the UK Corporate Governance Code provisions, it has used the principles of the Corporate Governance Code as a guide to improving corporate governance, including those aspects of the Code that are considered most relevant to the CCG and “best practice”.</w:t>
      </w:r>
    </w:p>
    <w:p>
      <w:pPr>
        <w:pStyle w:val="BodyText"/>
        <w:spacing w:before="11"/>
        <w:rPr>
          <w:sz w:val="21"/>
        </w:rPr>
      </w:pPr>
    </w:p>
    <w:p>
      <w:pPr>
        <w:pStyle w:val="BodyText"/>
        <w:spacing w:line="251" w:lineRule="exact"/>
        <w:ind w:left="680"/>
      </w:pPr>
      <w:r>
        <w:rPr/>
        <w:t>Using the principles of the UK Corporate Code to support “best practice” the CCG has:</w:t>
      </w:r>
    </w:p>
    <w:p>
      <w:pPr>
        <w:pStyle w:val="ListParagraph"/>
        <w:numPr>
          <w:ilvl w:val="0"/>
          <w:numId w:val="13"/>
        </w:numPr>
        <w:tabs>
          <w:tab w:pos="1400" w:val="left" w:leader="none"/>
          <w:tab w:pos="1401" w:val="left" w:leader="none"/>
        </w:tabs>
        <w:spacing w:line="268" w:lineRule="exact" w:before="0" w:after="0"/>
        <w:ind w:left="1400" w:right="0" w:hanging="361"/>
        <w:jc w:val="left"/>
        <w:rPr>
          <w:sz w:val="22"/>
        </w:rPr>
      </w:pPr>
      <w:r>
        <w:rPr>
          <w:sz w:val="22"/>
        </w:rPr>
        <w:t>Reviewed declarations of interest and CCG compliance with statutory</w:t>
      </w:r>
      <w:r>
        <w:rPr>
          <w:spacing w:val="-7"/>
          <w:sz w:val="22"/>
        </w:rPr>
        <w:t> </w:t>
      </w:r>
      <w:r>
        <w:rPr>
          <w:sz w:val="22"/>
        </w:rPr>
        <w:t>requirements</w:t>
      </w:r>
    </w:p>
    <w:p>
      <w:pPr>
        <w:pStyle w:val="ListParagraph"/>
        <w:numPr>
          <w:ilvl w:val="0"/>
          <w:numId w:val="13"/>
        </w:numPr>
        <w:tabs>
          <w:tab w:pos="1400" w:val="left" w:leader="none"/>
          <w:tab w:pos="1401" w:val="left" w:leader="none"/>
          <w:tab w:pos="9111" w:val="left" w:leader="none"/>
          <w:tab w:pos="9538" w:val="left" w:leader="none"/>
        </w:tabs>
        <w:spacing w:line="235" w:lineRule="auto" w:before="9" w:after="0"/>
        <w:ind w:left="1400" w:right="724" w:hanging="360"/>
        <w:jc w:val="left"/>
        <w:rPr>
          <w:sz w:val="22"/>
        </w:rPr>
      </w:pPr>
      <w:r>
        <w:rPr>
          <w:sz w:val="22"/>
        </w:rPr>
        <w:t>Undertaken  a  continuous  assurance  mapping  exercise  against </w:t>
      </w:r>
      <w:r>
        <w:rPr>
          <w:spacing w:val="30"/>
          <w:sz w:val="22"/>
        </w:rPr>
        <w:t> </w:t>
      </w:r>
      <w:r>
        <w:rPr>
          <w:sz w:val="22"/>
        </w:rPr>
        <w:t>a </w:t>
      </w:r>
      <w:r>
        <w:rPr>
          <w:spacing w:val="1"/>
          <w:sz w:val="22"/>
        </w:rPr>
        <w:t> </w:t>
      </w:r>
      <w:r>
        <w:rPr>
          <w:sz w:val="22"/>
        </w:rPr>
        <w:t>range</w:t>
        <w:tab/>
        <w:t>of</w:t>
        <w:tab/>
      </w:r>
      <w:r>
        <w:rPr>
          <w:spacing w:val="-14"/>
          <w:sz w:val="22"/>
        </w:rPr>
        <w:t>CCG </w:t>
      </w:r>
      <w:r>
        <w:rPr>
          <w:sz w:val="22"/>
        </w:rPr>
        <w:t>functions</w:t>
      </w:r>
    </w:p>
    <w:p>
      <w:pPr>
        <w:pStyle w:val="ListParagraph"/>
        <w:numPr>
          <w:ilvl w:val="0"/>
          <w:numId w:val="13"/>
        </w:numPr>
        <w:tabs>
          <w:tab w:pos="1400" w:val="left" w:leader="none"/>
          <w:tab w:pos="1401" w:val="left" w:leader="none"/>
        </w:tabs>
        <w:spacing w:line="267" w:lineRule="exact" w:before="0" w:after="0"/>
        <w:ind w:left="1400" w:right="0" w:hanging="364"/>
        <w:jc w:val="left"/>
        <w:rPr>
          <w:sz w:val="22"/>
        </w:rPr>
      </w:pPr>
      <w:r>
        <w:rPr>
          <w:sz w:val="22"/>
        </w:rPr>
        <w:t>Reviewed counter fraud and security management</w:t>
      </w:r>
      <w:r>
        <w:rPr>
          <w:spacing w:val="-4"/>
          <w:sz w:val="22"/>
        </w:rPr>
        <w:t> </w:t>
      </w:r>
      <w:r>
        <w:rPr>
          <w:sz w:val="22"/>
        </w:rPr>
        <w:t>arrangements</w:t>
      </w:r>
    </w:p>
    <w:p>
      <w:pPr>
        <w:pStyle w:val="ListParagraph"/>
        <w:numPr>
          <w:ilvl w:val="0"/>
          <w:numId w:val="13"/>
        </w:numPr>
        <w:tabs>
          <w:tab w:pos="1400" w:val="left" w:leader="none"/>
          <w:tab w:pos="1401" w:val="left" w:leader="none"/>
        </w:tabs>
        <w:spacing w:line="235" w:lineRule="auto" w:before="6" w:after="0"/>
        <w:ind w:left="1400" w:right="830" w:hanging="361"/>
        <w:jc w:val="left"/>
        <w:rPr>
          <w:sz w:val="22"/>
        </w:rPr>
      </w:pPr>
      <w:r>
        <w:rPr>
          <w:sz w:val="22"/>
        </w:rPr>
        <w:t>Considered the Strategic Risk Register and receive appropriate assurance with regards to risk management and controls within the</w:t>
      </w:r>
      <w:r>
        <w:rPr>
          <w:spacing w:val="17"/>
          <w:sz w:val="22"/>
        </w:rPr>
        <w:t> </w:t>
      </w:r>
      <w:r>
        <w:rPr>
          <w:sz w:val="22"/>
        </w:rPr>
        <w:t>organisation</w:t>
      </w:r>
    </w:p>
    <w:p>
      <w:pPr>
        <w:spacing w:after="0" w:line="235" w:lineRule="auto"/>
        <w:jc w:val="left"/>
        <w:rPr>
          <w:sz w:val="22"/>
        </w:rPr>
        <w:sectPr>
          <w:pgSz w:w="11920" w:h="16850"/>
          <w:pgMar w:header="0" w:footer="363" w:top="1320" w:bottom="640" w:left="760" w:right="420"/>
        </w:sectPr>
      </w:pPr>
    </w:p>
    <w:p>
      <w:pPr>
        <w:pStyle w:val="ListParagraph"/>
        <w:numPr>
          <w:ilvl w:val="0"/>
          <w:numId w:val="13"/>
        </w:numPr>
        <w:tabs>
          <w:tab w:pos="1400" w:val="left" w:leader="none"/>
          <w:tab w:pos="1401" w:val="left" w:leader="none"/>
          <w:tab w:pos="2633" w:val="left" w:leader="none"/>
          <w:tab w:pos="3341" w:val="left" w:leader="none"/>
          <w:tab w:pos="4236" w:val="left" w:leader="none"/>
          <w:tab w:pos="5479" w:val="left" w:leader="none"/>
          <w:tab w:pos="6363" w:val="left" w:leader="none"/>
          <w:tab w:pos="7162" w:val="left" w:leader="none"/>
        </w:tabs>
        <w:spacing w:line="235" w:lineRule="auto" w:before="82" w:after="0"/>
        <w:ind w:left="1400" w:right="2125" w:hanging="361"/>
        <w:jc w:val="left"/>
        <w:rPr>
          <w:sz w:val="22"/>
        </w:rPr>
      </w:pPr>
      <w:r>
        <w:rPr>
          <w:sz w:val="22"/>
        </w:rPr>
        <w:t>Reviewed</w:t>
        <w:tab/>
        <w:t>Very</w:t>
        <w:tab/>
        <w:t>Senior</w:t>
        <w:tab/>
        <w:t>Managers</w:t>
        <w:tab/>
        <w:t>(VSM)</w:t>
        <w:tab/>
        <w:t>roles,</w:t>
        <w:tab/>
      </w:r>
      <w:r>
        <w:rPr>
          <w:spacing w:val="-1"/>
          <w:sz w:val="22"/>
        </w:rPr>
        <w:t>responsibilities </w:t>
      </w:r>
      <w:r>
        <w:rPr>
          <w:sz w:val="22"/>
        </w:rPr>
        <w:t>remuneration and</w:t>
      </w:r>
      <w:r>
        <w:rPr>
          <w:spacing w:val="5"/>
          <w:sz w:val="22"/>
        </w:rPr>
        <w:t> </w:t>
      </w:r>
      <w:r>
        <w:rPr>
          <w:sz w:val="22"/>
        </w:rPr>
        <w:t>performance</w:t>
      </w:r>
    </w:p>
    <w:p>
      <w:pPr>
        <w:pStyle w:val="ListParagraph"/>
        <w:numPr>
          <w:ilvl w:val="0"/>
          <w:numId w:val="13"/>
        </w:numPr>
        <w:tabs>
          <w:tab w:pos="1400" w:val="left" w:leader="none"/>
          <w:tab w:pos="1401" w:val="left" w:leader="none"/>
        </w:tabs>
        <w:spacing w:line="240" w:lineRule="auto" w:before="4" w:after="0"/>
        <w:ind w:left="1400" w:right="0" w:hanging="364"/>
        <w:jc w:val="left"/>
        <w:rPr>
          <w:sz w:val="22"/>
        </w:rPr>
      </w:pPr>
      <w:r>
        <w:rPr>
          <w:sz w:val="22"/>
        </w:rPr>
        <w:t>Reviewed Governing Body appointments and clinical</w:t>
      </w:r>
      <w:r>
        <w:rPr>
          <w:spacing w:val="22"/>
          <w:sz w:val="22"/>
        </w:rPr>
        <w:t> </w:t>
      </w:r>
      <w:r>
        <w:rPr>
          <w:sz w:val="22"/>
        </w:rPr>
        <w:t>leads</w:t>
      </w:r>
    </w:p>
    <w:p>
      <w:pPr>
        <w:pStyle w:val="BodyText"/>
        <w:spacing w:before="6"/>
        <w:rPr>
          <w:sz w:val="21"/>
        </w:rPr>
      </w:pPr>
    </w:p>
    <w:p>
      <w:pPr>
        <w:pStyle w:val="Heading6"/>
      </w:pPr>
      <w:bookmarkStart w:name="Discharge of statutory functions" w:id="132"/>
      <w:bookmarkEnd w:id="132"/>
      <w:r>
        <w:rPr>
          <w:b w:val="0"/>
        </w:rPr>
      </w:r>
      <w:r>
        <w:rPr>
          <w:color w:val="365F91"/>
        </w:rPr>
        <w:t>Discharge of statutory functions</w:t>
      </w:r>
    </w:p>
    <w:p>
      <w:pPr>
        <w:pStyle w:val="BodyText"/>
        <w:rPr>
          <w:b/>
        </w:rPr>
      </w:pPr>
    </w:p>
    <w:p>
      <w:pPr>
        <w:pStyle w:val="BodyText"/>
        <w:ind w:left="680" w:right="953"/>
      </w:pPr>
      <w:r>
        <w:rPr/>
        <w:t>Following establishment, the arrangements put in place by the CCG (and explained within the Corporate Governance Framework) and developed with extensive expert external legal input, have been reviewed to ensure compliance with all relevant legislation. That legal advice also informed the matters reserved for Membership Body and Governing Body decision and the Scheme of Delegation.</w:t>
      </w:r>
    </w:p>
    <w:p>
      <w:pPr>
        <w:pStyle w:val="BodyText"/>
        <w:spacing w:before="11"/>
        <w:rPr>
          <w:sz w:val="21"/>
        </w:rPr>
      </w:pPr>
    </w:p>
    <w:p>
      <w:pPr>
        <w:pStyle w:val="BodyText"/>
        <w:ind w:left="677" w:right="997" w:firstLine="2"/>
      </w:pPr>
      <w:r>
        <w:rPr/>
        <w:t>In light of the Harris Review, the CCG has reviewed all of the statutory duties and powers conferred on it by the National Health Service Act 2006 (as amended) and legislative requirements and regulations. As a result, I can confirm that North Lincolnshire CCG is clear about the legislative requirements associated with each of the statutory functions for which it is responsible, including any restrictions on delegation of those functions.</w:t>
      </w:r>
    </w:p>
    <w:p>
      <w:pPr>
        <w:pStyle w:val="BodyText"/>
        <w:spacing w:before="1"/>
      </w:pPr>
    </w:p>
    <w:p>
      <w:pPr>
        <w:pStyle w:val="BodyText"/>
        <w:ind w:left="675" w:right="1729"/>
      </w:pPr>
      <w:r>
        <w:rPr/>
        <w:t>Responsibility for each duty and power has been clearly allocated to a lead director. Directorates have confirmed that their structures provide the necessary capability and capacity to undertake all of the CCG’s statutory duties.</w:t>
      </w:r>
    </w:p>
    <w:p>
      <w:pPr>
        <w:pStyle w:val="BodyText"/>
        <w:spacing w:before="6"/>
        <w:rPr>
          <w:sz w:val="27"/>
        </w:rPr>
      </w:pPr>
    </w:p>
    <w:p>
      <w:pPr>
        <w:pStyle w:val="Heading4"/>
      </w:pPr>
      <w:bookmarkStart w:name="Risk management arrangements and effecti" w:id="133"/>
      <w:bookmarkEnd w:id="133"/>
      <w:r>
        <w:rPr>
          <w:b w:val="0"/>
        </w:rPr>
      </w:r>
      <w:r>
        <w:rPr>
          <w:color w:val="365F91"/>
        </w:rPr>
        <w:t>Risk management arrangements and effectiveness</w:t>
      </w:r>
    </w:p>
    <w:p>
      <w:pPr>
        <w:pStyle w:val="BodyText"/>
        <w:spacing w:before="1"/>
        <w:rPr>
          <w:b/>
          <w:sz w:val="31"/>
        </w:rPr>
      </w:pPr>
    </w:p>
    <w:p>
      <w:pPr>
        <w:pStyle w:val="BodyText"/>
        <w:ind w:left="677" w:right="1224" w:firstLine="2"/>
      </w:pPr>
      <w:r>
        <w:rPr/>
        <w:t>Arrangements for the identification, mitigation and management of risk play an integral role within the overall corporate CCG’s governance functions.</w:t>
      </w:r>
    </w:p>
    <w:p>
      <w:pPr>
        <w:pStyle w:val="BodyText"/>
        <w:spacing w:before="2"/>
      </w:pPr>
    </w:p>
    <w:p>
      <w:pPr>
        <w:pStyle w:val="BodyText"/>
        <w:ind w:left="665" w:right="1025" w:firstLine="12"/>
      </w:pPr>
      <w:r>
        <w:rPr/>
        <w:t>As outlined in its Risk Management Strategy, North Lincolnshire </w:t>
      </w:r>
      <w:r>
        <w:rPr>
          <w:spacing w:val="-3"/>
        </w:rPr>
        <w:t>CCG has </w:t>
      </w:r>
      <w:r>
        <w:rPr/>
        <w:t>adopted a risk management process where logical steps are taken to manage risks effectively. Following on from setting priorities, potential risks or opportunities are then identified and evaluated before a course of action is determined to address the identified risks. As few risks remain static and new issues are likely to emerge, it is essential that all risks captured are routinely monitored.</w:t>
      </w:r>
    </w:p>
    <w:p>
      <w:pPr>
        <w:pStyle w:val="BodyText"/>
      </w:pPr>
    </w:p>
    <w:p>
      <w:pPr>
        <w:pStyle w:val="BodyText"/>
        <w:ind w:left="672" w:right="1199" w:firstLine="7"/>
      </w:pPr>
      <w:r>
        <w:rPr/>
        <w:t>In addition, reporting of risk issues and in particular reporting and reflecting on any adverse events that do occur is essential to ensure that the CCG continuously improves its risk management activities. Risk management is embedded within the activities of North Lincolnshire CCG through the risk process. The assurance framework is reviewed by the Executive Management Team to ensure that the process is kept live and relevant.</w:t>
      </w:r>
    </w:p>
    <w:p>
      <w:pPr>
        <w:pStyle w:val="BodyText"/>
        <w:spacing w:before="10"/>
        <w:rPr>
          <w:sz w:val="21"/>
        </w:rPr>
      </w:pPr>
    </w:p>
    <w:p>
      <w:pPr>
        <w:pStyle w:val="BodyText"/>
        <w:spacing w:before="1"/>
        <w:ind w:left="665" w:right="1165" w:firstLine="4"/>
      </w:pPr>
      <w:r>
        <w:rPr/>
        <w:t>Members of staff are able to report any concerns through an electronic desktop incident reporting process, which is actively encouraged, and each incident is reviewed and investigated as applicable. Finally, the CCG is also committed to eliminating avoidable risks relating to either staff, patients, clients or other stakeholders.</w:t>
      </w:r>
    </w:p>
    <w:p>
      <w:pPr>
        <w:pStyle w:val="BodyText"/>
        <w:spacing w:before="11"/>
        <w:rPr>
          <w:sz w:val="21"/>
        </w:rPr>
      </w:pPr>
    </w:p>
    <w:p>
      <w:pPr>
        <w:pStyle w:val="BodyText"/>
        <w:ind w:left="675" w:right="797" w:firstLine="4"/>
      </w:pPr>
      <w:r>
        <w:rPr/>
        <w:t>In particular, North Lincolnshire CCG is committed to eliminating any form of discrimination and aims to commission services that are accessible, delivered in a way that respects the needs of each individual whilst being inclusive to everyone. The CCG remains fully committed to ensuring appropriate focus remains on this key programme of work and has an Equality and Inclusion Group that is accountable to the Quality, Performance and Finance Committee.</w:t>
      </w:r>
    </w:p>
    <w:p>
      <w:pPr>
        <w:pStyle w:val="BodyText"/>
        <w:spacing w:before="1"/>
      </w:pPr>
    </w:p>
    <w:p>
      <w:pPr>
        <w:pStyle w:val="BodyText"/>
        <w:ind w:left="675" w:right="871" w:firstLine="4"/>
        <w:jc w:val="both"/>
      </w:pPr>
      <w:r>
        <w:rPr/>
        <w:t>All new policies, projects or functions have an equality impact assessment conducted on them as part of an integrated impact assessment. The CCG has a tool and guidance for use by staff to help identify the likely impact and mitigations.</w:t>
      </w:r>
    </w:p>
    <w:p>
      <w:pPr>
        <w:spacing w:after="0"/>
        <w:jc w:val="both"/>
        <w:sectPr>
          <w:pgSz w:w="11920" w:h="16850"/>
          <w:pgMar w:header="0" w:footer="363" w:top="1320" w:bottom="640" w:left="760" w:right="420"/>
        </w:sectPr>
      </w:pPr>
    </w:p>
    <w:p>
      <w:pPr>
        <w:pStyle w:val="BodyText"/>
        <w:spacing w:line="252" w:lineRule="exact" w:before="81"/>
        <w:ind w:left="680"/>
      </w:pPr>
      <w:r>
        <w:rPr/>
        <w:t>In addition, North Lincolnshire CCG actively engages with public stakeholders for example:</w:t>
      </w:r>
    </w:p>
    <w:p>
      <w:pPr>
        <w:pStyle w:val="ListParagraph"/>
        <w:numPr>
          <w:ilvl w:val="0"/>
          <w:numId w:val="13"/>
        </w:numPr>
        <w:tabs>
          <w:tab w:pos="1395" w:val="left" w:leader="none"/>
          <w:tab w:pos="1396" w:val="left" w:leader="none"/>
        </w:tabs>
        <w:spacing w:line="235" w:lineRule="auto" w:before="3" w:after="0"/>
        <w:ind w:left="1395" w:right="1128" w:hanging="358"/>
        <w:jc w:val="left"/>
        <w:rPr>
          <w:sz w:val="22"/>
        </w:rPr>
      </w:pPr>
      <w:r>
        <w:rPr>
          <w:sz w:val="22"/>
        </w:rPr>
        <w:t>Partnership</w:t>
      </w:r>
      <w:r>
        <w:rPr>
          <w:spacing w:val="-7"/>
          <w:sz w:val="22"/>
        </w:rPr>
        <w:t> </w:t>
      </w:r>
      <w:r>
        <w:rPr>
          <w:sz w:val="22"/>
        </w:rPr>
        <w:t>working</w:t>
      </w:r>
      <w:r>
        <w:rPr>
          <w:spacing w:val="-6"/>
          <w:sz w:val="22"/>
        </w:rPr>
        <w:t> </w:t>
      </w:r>
      <w:r>
        <w:rPr>
          <w:sz w:val="22"/>
        </w:rPr>
        <w:t>with</w:t>
      </w:r>
      <w:r>
        <w:rPr>
          <w:spacing w:val="-12"/>
          <w:sz w:val="22"/>
        </w:rPr>
        <w:t> </w:t>
      </w:r>
      <w:r>
        <w:rPr>
          <w:sz w:val="22"/>
        </w:rPr>
        <w:t>the</w:t>
      </w:r>
      <w:r>
        <w:rPr>
          <w:spacing w:val="-6"/>
          <w:sz w:val="22"/>
        </w:rPr>
        <w:t> </w:t>
      </w:r>
      <w:r>
        <w:rPr>
          <w:sz w:val="22"/>
        </w:rPr>
        <w:t>Local</w:t>
      </w:r>
      <w:r>
        <w:rPr>
          <w:spacing w:val="-7"/>
          <w:sz w:val="22"/>
        </w:rPr>
        <w:t> </w:t>
      </w:r>
      <w:r>
        <w:rPr>
          <w:sz w:val="22"/>
        </w:rPr>
        <w:t>Authority</w:t>
      </w:r>
      <w:r>
        <w:rPr>
          <w:spacing w:val="-12"/>
          <w:sz w:val="22"/>
        </w:rPr>
        <w:t> </w:t>
      </w:r>
      <w:r>
        <w:rPr>
          <w:sz w:val="22"/>
        </w:rPr>
        <w:t>through</w:t>
      </w:r>
      <w:r>
        <w:rPr>
          <w:spacing w:val="-6"/>
          <w:sz w:val="22"/>
        </w:rPr>
        <w:t> </w:t>
      </w:r>
      <w:r>
        <w:rPr>
          <w:sz w:val="22"/>
        </w:rPr>
        <w:t>the</w:t>
      </w:r>
      <w:r>
        <w:rPr>
          <w:spacing w:val="-9"/>
          <w:sz w:val="22"/>
        </w:rPr>
        <w:t> </w:t>
      </w:r>
      <w:r>
        <w:rPr>
          <w:sz w:val="22"/>
        </w:rPr>
        <w:t>Health</w:t>
      </w:r>
      <w:r>
        <w:rPr>
          <w:spacing w:val="-7"/>
          <w:sz w:val="22"/>
        </w:rPr>
        <w:t> </w:t>
      </w:r>
      <w:r>
        <w:rPr>
          <w:sz w:val="22"/>
        </w:rPr>
        <w:t>and</w:t>
      </w:r>
      <w:r>
        <w:rPr>
          <w:spacing w:val="-11"/>
          <w:sz w:val="22"/>
        </w:rPr>
        <w:t> </w:t>
      </w:r>
      <w:r>
        <w:rPr>
          <w:sz w:val="22"/>
        </w:rPr>
        <w:t>Wellbeing</w:t>
      </w:r>
      <w:r>
        <w:rPr>
          <w:spacing w:val="-2"/>
          <w:sz w:val="22"/>
        </w:rPr>
        <w:t> </w:t>
      </w:r>
      <w:r>
        <w:rPr>
          <w:sz w:val="22"/>
        </w:rPr>
        <w:t>Board and liaison with the Health Scrutiny</w:t>
      </w:r>
      <w:r>
        <w:rPr>
          <w:spacing w:val="-17"/>
          <w:sz w:val="22"/>
        </w:rPr>
        <w:t> </w:t>
      </w:r>
      <w:r>
        <w:rPr>
          <w:sz w:val="22"/>
        </w:rPr>
        <w:t>Panel</w:t>
      </w:r>
    </w:p>
    <w:p>
      <w:pPr>
        <w:pStyle w:val="ListParagraph"/>
        <w:numPr>
          <w:ilvl w:val="0"/>
          <w:numId w:val="13"/>
        </w:numPr>
        <w:tabs>
          <w:tab w:pos="1395" w:val="left" w:leader="none"/>
          <w:tab w:pos="1396" w:val="left" w:leader="none"/>
        </w:tabs>
        <w:spacing w:line="264" w:lineRule="exact" w:before="0" w:after="0"/>
        <w:ind w:left="1395" w:right="0" w:hanging="361"/>
        <w:jc w:val="left"/>
        <w:rPr>
          <w:sz w:val="22"/>
        </w:rPr>
      </w:pPr>
      <w:r>
        <w:rPr>
          <w:spacing w:val="-5"/>
          <w:sz w:val="22"/>
        </w:rPr>
        <w:t>Maintenance </w:t>
      </w:r>
      <w:r>
        <w:rPr>
          <w:sz w:val="22"/>
        </w:rPr>
        <w:t>of a Patient and Community Assurance</w:t>
      </w:r>
      <w:r>
        <w:rPr>
          <w:spacing w:val="-8"/>
          <w:sz w:val="22"/>
        </w:rPr>
        <w:t> </w:t>
      </w:r>
      <w:r>
        <w:rPr>
          <w:sz w:val="22"/>
        </w:rPr>
        <w:t>Group</w:t>
      </w:r>
    </w:p>
    <w:p>
      <w:pPr>
        <w:pStyle w:val="ListParagraph"/>
        <w:numPr>
          <w:ilvl w:val="0"/>
          <w:numId w:val="13"/>
        </w:numPr>
        <w:tabs>
          <w:tab w:pos="1392" w:val="left" w:leader="none"/>
          <w:tab w:pos="1393" w:val="left" w:leader="none"/>
        </w:tabs>
        <w:spacing w:line="237" w:lineRule="auto" w:before="9" w:after="0"/>
        <w:ind w:left="1392" w:right="1337" w:hanging="358"/>
        <w:jc w:val="left"/>
        <w:rPr>
          <w:sz w:val="22"/>
        </w:rPr>
      </w:pPr>
      <w:r>
        <w:rPr>
          <w:sz w:val="22"/>
        </w:rPr>
        <w:t>Maintaining</w:t>
      </w:r>
      <w:r>
        <w:rPr>
          <w:spacing w:val="-9"/>
          <w:sz w:val="22"/>
        </w:rPr>
        <w:t> </w:t>
      </w:r>
      <w:r>
        <w:rPr>
          <w:sz w:val="22"/>
        </w:rPr>
        <w:t>a</w:t>
      </w:r>
      <w:r>
        <w:rPr>
          <w:spacing w:val="-9"/>
          <w:sz w:val="22"/>
        </w:rPr>
        <w:t> </w:t>
      </w:r>
      <w:r>
        <w:rPr>
          <w:sz w:val="22"/>
        </w:rPr>
        <w:t>Council</w:t>
      </w:r>
      <w:r>
        <w:rPr>
          <w:spacing w:val="-8"/>
          <w:sz w:val="22"/>
        </w:rPr>
        <w:t> </w:t>
      </w:r>
      <w:r>
        <w:rPr>
          <w:sz w:val="22"/>
        </w:rPr>
        <w:t>of</w:t>
      </w:r>
      <w:r>
        <w:rPr>
          <w:spacing w:val="-5"/>
          <w:sz w:val="22"/>
        </w:rPr>
        <w:t> </w:t>
      </w:r>
      <w:r>
        <w:rPr>
          <w:sz w:val="22"/>
        </w:rPr>
        <w:t>Members</w:t>
      </w:r>
      <w:r>
        <w:rPr>
          <w:spacing w:val="-5"/>
          <w:sz w:val="22"/>
        </w:rPr>
        <w:t> </w:t>
      </w:r>
      <w:r>
        <w:rPr>
          <w:sz w:val="22"/>
        </w:rPr>
        <w:t>which</w:t>
      </w:r>
      <w:r>
        <w:rPr>
          <w:spacing w:val="-6"/>
          <w:sz w:val="22"/>
        </w:rPr>
        <w:t> </w:t>
      </w:r>
      <w:r>
        <w:rPr>
          <w:sz w:val="22"/>
        </w:rPr>
        <w:t>is</w:t>
      </w:r>
      <w:r>
        <w:rPr>
          <w:spacing w:val="-12"/>
          <w:sz w:val="22"/>
        </w:rPr>
        <w:t> </w:t>
      </w:r>
      <w:r>
        <w:rPr>
          <w:sz w:val="22"/>
        </w:rPr>
        <w:t>made</w:t>
      </w:r>
      <w:r>
        <w:rPr>
          <w:spacing w:val="-14"/>
          <w:sz w:val="22"/>
        </w:rPr>
        <w:t> </w:t>
      </w:r>
      <w:r>
        <w:rPr>
          <w:sz w:val="22"/>
        </w:rPr>
        <w:t>up</w:t>
      </w:r>
      <w:r>
        <w:rPr>
          <w:spacing w:val="-6"/>
          <w:sz w:val="22"/>
        </w:rPr>
        <w:t> </w:t>
      </w:r>
      <w:r>
        <w:rPr>
          <w:sz w:val="22"/>
        </w:rPr>
        <w:t>of</w:t>
      </w:r>
      <w:r>
        <w:rPr>
          <w:spacing w:val="-6"/>
          <w:sz w:val="22"/>
        </w:rPr>
        <w:t> </w:t>
      </w:r>
      <w:r>
        <w:rPr>
          <w:sz w:val="22"/>
        </w:rPr>
        <w:t>a</w:t>
      </w:r>
      <w:r>
        <w:rPr>
          <w:spacing w:val="-9"/>
          <w:sz w:val="22"/>
        </w:rPr>
        <w:t> </w:t>
      </w:r>
      <w:r>
        <w:rPr>
          <w:sz w:val="22"/>
        </w:rPr>
        <w:t>healthcare</w:t>
      </w:r>
      <w:r>
        <w:rPr>
          <w:spacing w:val="-11"/>
          <w:sz w:val="22"/>
        </w:rPr>
        <w:t> </w:t>
      </w:r>
      <w:r>
        <w:rPr>
          <w:sz w:val="22"/>
        </w:rPr>
        <w:t>representative from each CCG member practice. The Council of Members participate and are engaged in the development </w:t>
      </w:r>
      <w:r>
        <w:rPr>
          <w:spacing w:val="-3"/>
          <w:sz w:val="22"/>
        </w:rPr>
        <w:t>of </w:t>
      </w:r>
      <w:r>
        <w:rPr>
          <w:sz w:val="22"/>
        </w:rPr>
        <w:t>North Lincolnshire CCG Strategy and</w:t>
      </w:r>
      <w:r>
        <w:rPr>
          <w:spacing w:val="-30"/>
          <w:sz w:val="22"/>
        </w:rPr>
        <w:t> </w:t>
      </w:r>
      <w:r>
        <w:rPr>
          <w:spacing w:val="-5"/>
          <w:sz w:val="22"/>
        </w:rPr>
        <w:t>plans</w:t>
      </w:r>
    </w:p>
    <w:p>
      <w:pPr>
        <w:pStyle w:val="ListParagraph"/>
        <w:numPr>
          <w:ilvl w:val="0"/>
          <w:numId w:val="13"/>
        </w:numPr>
        <w:tabs>
          <w:tab w:pos="1390" w:val="left" w:leader="none"/>
          <w:tab w:pos="1391" w:val="left" w:leader="none"/>
        </w:tabs>
        <w:spacing w:line="235" w:lineRule="auto" w:before="5" w:after="0"/>
        <w:ind w:left="1390" w:right="1406" w:hanging="361"/>
        <w:jc w:val="left"/>
        <w:rPr>
          <w:sz w:val="22"/>
        </w:rPr>
      </w:pPr>
      <w:r>
        <w:rPr>
          <w:sz w:val="22"/>
        </w:rPr>
        <w:t>Governing Body meetings are held in public, save for where members resolve to take</w:t>
      </w:r>
      <w:r>
        <w:rPr>
          <w:spacing w:val="-8"/>
          <w:sz w:val="22"/>
        </w:rPr>
        <w:t> </w:t>
      </w:r>
      <w:r>
        <w:rPr>
          <w:sz w:val="22"/>
        </w:rPr>
        <w:t>an</w:t>
      </w:r>
      <w:r>
        <w:rPr>
          <w:spacing w:val="-9"/>
          <w:sz w:val="22"/>
        </w:rPr>
        <w:t> </w:t>
      </w:r>
      <w:r>
        <w:rPr>
          <w:sz w:val="22"/>
        </w:rPr>
        <w:t>item</w:t>
      </w:r>
      <w:r>
        <w:rPr>
          <w:spacing w:val="-7"/>
          <w:sz w:val="22"/>
        </w:rPr>
        <w:t> </w:t>
      </w:r>
      <w:r>
        <w:rPr>
          <w:sz w:val="22"/>
        </w:rPr>
        <w:t>in</w:t>
      </w:r>
      <w:r>
        <w:rPr>
          <w:spacing w:val="-7"/>
          <w:sz w:val="22"/>
        </w:rPr>
        <w:t> </w:t>
      </w:r>
      <w:r>
        <w:rPr>
          <w:sz w:val="22"/>
        </w:rPr>
        <w:t>private,</w:t>
      </w:r>
      <w:r>
        <w:rPr>
          <w:spacing w:val="-6"/>
          <w:sz w:val="22"/>
        </w:rPr>
        <w:t> </w:t>
      </w:r>
      <w:r>
        <w:rPr>
          <w:sz w:val="22"/>
        </w:rPr>
        <w:t>allowing</w:t>
      </w:r>
      <w:r>
        <w:rPr>
          <w:spacing w:val="-7"/>
          <w:sz w:val="22"/>
        </w:rPr>
        <w:t> </w:t>
      </w:r>
      <w:r>
        <w:rPr>
          <w:sz w:val="22"/>
        </w:rPr>
        <w:t>a</w:t>
      </w:r>
      <w:r>
        <w:rPr>
          <w:spacing w:val="-10"/>
          <w:sz w:val="22"/>
        </w:rPr>
        <w:t> </w:t>
      </w:r>
      <w:r>
        <w:rPr>
          <w:sz w:val="22"/>
        </w:rPr>
        <w:t>transparent</w:t>
      </w:r>
      <w:r>
        <w:rPr>
          <w:spacing w:val="-3"/>
          <w:sz w:val="22"/>
        </w:rPr>
        <w:t> </w:t>
      </w:r>
      <w:r>
        <w:rPr>
          <w:sz w:val="22"/>
        </w:rPr>
        <w:t>and</w:t>
      </w:r>
      <w:r>
        <w:rPr>
          <w:spacing w:val="-12"/>
          <w:sz w:val="22"/>
        </w:rPr>
        <w:t> </w:t>
      </w:r>
      <w:r>
        <w:rPr>
          <w:sz w:val="22"/>
        </w:rPr>
        <w:t>public</w:t>
      </w:r>
      <w:r>
        <w:rPr>
          <w:spacing w:val="-7"/>
          <w:sz w:val="22"/>
        </w:rPr>
        <w:t> </w:t>
      </w:r>
      <w:r>
        <w:rPr>
          <w:sz w:val="22"/>
        </w:rPr>
        <w:t>decision-making</w:t>
      </w:r>
      <w:r>
        <w:rPr>
          <w:spacing w:val="-5"/>
          <w:sz w:val="22"/>
        </w:rPr>
        <w:t> </w:t>
      </w:r>
      <w:r>
        <w:rPr>
          <w:sz w:val="22"/>
        </w:rPr>
        <w:t>process</w:t>
      </w:r>
    </w:p>
    <w:p>
      <w:pPr>
        <w:pStyle w:val="ListParagraph"/>
        <w:numPr>
          <w:ilvl w:val="0"/>
          <w:numId w:val="13"/>
        </w:numPr>
        <w:tabs>
          <w:tab w:pos="1389" w:val="left" w:leader="none"/>
        </w:tabs>
        <w:spacing w:line="235" w:lineRule="auto" w:before="6" w:after="0"/>
        <w:ind w:left="1388" w:right="914" w:hanging="281"/>
        <w:jc w:val="left"/>
        <w:rPr>
          <w:sz w:val="22"/>
        </w:rPr>
      </w:pPr>
      <w:r>
        <w:rPr>
          <w:sz w:val="22"/>
        </w:rPr>
        <w:t>Seeking assurance on our approach to patient and public involvement through working with local community members on our Patient and Community Assurance Group (PCAG)</w:t>
      </w:r>
    </w:p>
    <w:p>
      <w:pPr>
        <w:pStyle w:val="ListParagraph"/>
        <w:numPr>
          <w:ilvl w:val="0"/>
          <w:numId w:val="13"/>
        </w:numPr>
        <w:tabs>
          <w:tab w:pos="1389" w:val="left" w:leader="none"/>
        </w:tabs>
        <w:spacing w:line="237" w:lineRule="auto" w:before="6" w:after="0"/>
        <w:ind w:left="1388" w:right="1050" w:hanging="281"/>
        <w:jc w:val="left"/>
        <w:rPr>
          <w:sz w:val="22"/>
        </w:rPr>
      </w:pPr>
      <w:r>
        <w:rPr>
          <w:sz w:val="22"/>
        </w:rPr>
        <w:t>Engaging through Embrace, the CCG’s patient engagement network comprising local people who are interested in being involved in </w:t>
      </w:r>
      <w:r>
        <w:rPr>
          <w:spacing w:val="-4"/>
          <w:sz w:val="22"/>
        </w:rPr>
        <w:t>CCG </w:t>
      </w:r>
      <w:r>
        <w:rPr>
          <w:sz w:val="22"/>
        </w:rPr>
        <w:t>decision</w:t>
      </w:r>
      <w:r>
        <w:rPr>
          <w:spacing w:val="-14"/>
          <w:sz w:val="22"/>
        </w:rPr>
        <w:t> </w:t>
      </w:r>
      <w:r>
        <w:rPr>
          <w:sz w:val="22"/>
        </w:rPr>
        <w:t>making</w:t>
      </w:r>
    </w:p>
    <w:p>
      <w:pPr>
        <w:pStyle w:val="ListParagraph"/>
        <w:numPr>
          <w:ilvl w:val="0"/>
          <w:numId w:val="13"/>
        </w:numPr>
        <w:tabs>
          <w:tab w:pos="1389" w:val="left" w:leader="none"/>
        </w:tabs>
        <w:spacing w:line="235" w:lineRule="auto" w:before="3" w:after="0"/>
        <w:ind w:left="1388" w:right="1357" w:hanging="281"/>
        <w:jc w:val="left"/>
        <w:rPr>
          <w:sz w:val="22"/>
        </w:rPr>
      </w:pPr>
      <w:r>
        <w:rPr>
          <w:sz w:val="22"/>
        </w:rPr>
        <w:t>Working closely with our local Healthwatch in jointly hosting the North Lincolnshire Patient Participation Group Chairs</w:t>
      </w:r>
      <w:r>
        <w:rPr>
          <w:spacing w:val="-2"/>
          <w:sz w:val="22"/>
        </w:rPr>
        <w:t> </w:t>
      </w:r>
      <w:r>
        <w:rPr>
          <w:sz w:val="22"/>
        </w:rPr>
        <w:t>Forum</w:t>
      </w:r>
    </w:p>
    <w:p>
      <w:pPr>
        <w:pStyle w:val="ListParagraph"/>
        <w:numPr>
          <w:ilvl w:val="0"/>
          <w:numId w:val="13"/>
        </w:numPr>
        <w:tabs>
          <w:tab w:pos="1389" w:val="left" w:leader="none"/>
        </w:tabs>
        <w:spacing w:line="240" w:lineRule="auto" w:before="2" w:after="0"/>
        <w:ind w:left="1388" w:right="0" w:hanging="282"/>
        <w:jc w:val="left"/>
        <w:rPr>
          <w:sz w:val="22"/>
        </w:rPr>
      </w:pPr>
      <w:r>
        <w:rPr>
          <w:sz w:val="22"/>
        </w:rPr>
        <w:t>Meeting with voluntary, community and social enterprise sector and faith</w:t>
      </w:r>
      <w:r>
        <w:rPr>
          <w:spacing w:val="-22"/>
          <w:sz w:val="22"/>
        </w:rPr>
        <w:t> </w:t>
      </w:r>
      <w:r>
        <w:rPr>
          <w:sz w:val="22"/>
        </w:rPr>
        <w:t>groups</w:t>
      </w:r>
    </w:p>
    <w:p>
      <w:pPr>
        <w:pStyle w:val="BodyText"/>
        <w:spacing w:before="4"/>
        <w:rPr>
          <w:sz w:val="27"/>
        </w:rPr>
      </w:pPr>
    </w:p>
    <w:p>
      <w:pPr>
        <w:pStyle w:val="Heading4"/>
      </w:pPr>
      <w:bookmarkStart w:name="The CCG’s capacity to handle risk" w:id="134"/>
      <w:bookmarkEnd w:id="134"/>
      <w:r>
        <w:rPr>
          <w:b w:val="0"/>
        </w:rPr>
      </w:r>
      <w:r>
        <w:rPr>
          <w:color w:val="365F91"/>
        </w:rPr>
        <w:t>The CCG’s capacity to handle risk</w:t>
      </w:r>
    </w:p>
    <w:p>
      <w:pPr>
        <w:pStyle w:val="BodyText"/>
        <w:spacing w:before="3"/>
        <w:rPr>
          <w:b/>
          <w:sz w:val="31"/>
        </w:rPr>
      </w:pPr>
    </w:p>
    <w:p>
      <w:pPr>
        <w:pStyle w:val="BodyText"/>
        <w:ind w:left="672" w:right="1138" w:firstLine="7"/>
      </w:pPr>
      <w:r>
        <w:rPr/>
        <w:t>The Risk Management Strategy, updated in February 2022, is designed to manage risk to a reasonable level rather than to eliminate all risk of failure to achieve policies, aims and objectives; it can therefore only provide reasonable and not absolute assurance of effectiveness. Governance and internal control of the organisation is an ongoing process designed to:</w:t>
      </w:r>
    </w:p>
    <w:p>
      <w:pPr>
        <w:pStyle w:val="ListParagraph"/>
        <w:numPr>
          <w:ilvl w:val="0"/>
          <w:numId w:val="13"/>
        </w:numPr>
        <w:tabs>
          <w:tab w:pos="1392" w:val="left" w:leader="none"/>
          <w:tab w:pos="1393" w:val="left" w:leader="none"/>
        </w:tabs>
        <w:spacing w:line="235" w:lineRule="auto" w:before="6" w:after="0"/>
        <w:ind w:left="1392" w:right="1100" w:hanging="360"/>
        <w:jc w:val="left"/>
        <w:rPr>
          <w:sz w:val="22"/>
        </w:rPr>
      </w:pPr>
      <w:r>
        <w:rPr>
          <w:sz w:val="22"/>
        </w:rPr>
        <w:t>Identify</w:t>
      </w:r>
      <w:r>
        <w:rPr>
          <w:spacing w:val="-8"/>
          <w:sz w:val="22"/>
        </w:rPr>
        <w:t> </w:t>
      </w:r>
      <w:r>
        <w:rPr>
          <w:sz w:val="22"/>
        </w:rPr>
        <w:t>and</w:t>
      </w:r>
      <w:r>
        <w:rPr>
          <w:spacing w:val="-6"/>
          <w:sz w:val="22"/>
        </w:rPr>
        <w:t> </w:t>
      </w:r>
      <w:r>
        <w:rPr>
          <w:sz w:val="22"/>
        </w:rPr>
        <w:t>prioritise</w:t>
      </w:r>
      <w:r>
        <w:rPr>
          <w:spacing w:val="-11"/>
          <w:sz w:val="22"/>
        </w:rPr>
        <w:t> </w:t>
      </w:r>
      <w:r>
        <w:rPr>
          <w:sz w:val="22"/>
        </w:rPr>
        <w:t>the</w:t>
      </w:r>
      <w:r>
        <w:rPr>
          <w:spacing w:val="-11"/>
          <w:sz w:val="22"/>
        </w:rPr>
        <w:t> </w:t>
      </w:r>
      <w:r>
        <w:rPr>
          <w:sz w:val="22"/>
        </w:rPr>
        <w:t>risks</w:t>
      </w:r>
      <w:r>
        <w:rPr>
          <w:spacing w:val="-7"/>
          <w:sz w:val="22"/>
        </w:rPr>
        <w:t> </w:t>
      </w:r>
      <w:r>
        <w:rPr>
          <w:sz w:val="22"/>
        </w:rPr>
        <w:t>to</w:t>
      </w:r>
      <w:r>
        <w:rPr>
          <w:spacing w:val="-6"/>
          <w:sz w:val="22"/>
        </w:rPr>
        <w:t> </w:t>
      </w:r>
      <w:r>
        <w:rPr>
          <w:sz w:val="22"/>
        </w:rPr>
        <w:t>the</w:t>
      </w:r>
      <w:r>
        <w:rPr>
          <w:spacing w:val="-9"/>
          <w:sz w:val="22"/>
        </w:rPr>
        <w:t> </w:t>
      </w:r>
      <w:r>
        <w:rPr>
          <w:sz w:val="22"/>
        </w:rPr>
        <w:t>achievement</w:t>
      </w:r>
      <w:r>
        <w:rPr>
          <w:spacing w:val="-7"/>
          <w:sz w:val="22"/>
        </w:rPr>
        <w:t> </w:t>
      </w:r>
      <w:r>
        <w:rPr>
          <w:sz w:val="22"/>
        </w:rPr>
        <w:t>of</w:t>
      </w:r>
      <w:r>
        <w:rPr>
          <w:spacing w:val="-2"/>
          <w:sz w:val="22"/>
        </w:rPr>
        <w:t> </w:t>
      </w:r>
      <w:r>
        <w:rPr>
          <w:sz w:val="22"/>
        </w:rPr>
        <w:t>the</w:t>
      </w:r>
      <w:r>
        <w:rPr>
          <w:spacing w:val="-6"/>
          <w:sz w:val="22"/>
        </w:rPr>
        <w:t> </w:t>
      </w:r>
      <w:r>
        <w:rPr>
          <w:sz w:val="22"/>
        </w:rPr>
        <w:t>policies,</w:t>
      </w:r>
      <w:r>
        <w:rPr>
          <w:spacing w:val="-2"/>
          <w:sz w:val="22"/>
        </w:rPr>
        <w:t> </w:t>
      </w:r>
      <w:r>
        <w:rPr>
          <w:sz w:val="22"/>
        </w:rPr>
        <w:t>aims</w:t>
      </w:r>
      <w:r>
        <w:rPr>
          <w:spacing w:val="-8"/>
          <w:sz w:val="22"/>
        </w:rPr>
        <w:t> </w:t>
      </w:r>
      <w:r>
        <w:rPr>
          <w:sz w:val="22"/>
        </w:rPr>
        <w:t>and</w:t>
      </w:r>
      <w:r>
        <w:rPr>
          <w:spacing w:val="-10"/>
          <w:sz w:val="22"/>
        </w:rPr>
        <w:t> </w:t>
      </w:r>
      <w:r>
        <w:rPr>
          <w:sz w:val="22"/>
        </w:rPr>
        <w:t>objectives of North Lincolnshire </w:t>
      </w:r>
      <w:r>
        <w:rPr>
          <w:spacing w:val="-3"/>
          <w:sz w:val="22"/>
        </w:rPr>
        <w:t>CCG</w:t>
      </w:r>
    </w:p>
    <w:p>
      <w:pPr>
        <w:pStyle w:val="ListParagraph"/>
        <w:numPr>
          <w:ilvl w:val="0"/>
          <w:numId w:val="13"/>
        </w:numPr>
        <w:tabs>
          <w:tab w:pos="1397" w:val="left" w:leader="none"/>
          <w:tab w:pos="1398" w:val="left" w:leader="none"/>
        </w:tabs>
        <w:spacing w:line="235" w:lineRule="auto" w:before="7" w:after="0"/>
        <w:ind w:left="1397" w:right="1402" w:hanging="358"/>
        <w:jc w:val="left"/>
        <w:rPr>
          <w:sz w:val="22"/>
        </w:rPr>
      </w:pPr>
      <w:r>
        <w:rPr>
          <w:sz w:val="22"/>
        </w:rPr>
        <w:t>Evaluate</w:t>
      </w:r>
      <w:r>
        <w:rPr>
          <w:spacing w:val="-10"/>
          <w:sz w:val="22"/>
        </w:rPr>
        <w:t> </w:t>
      </w:r>
      <w:r>
        <w:rPr>
          <w:sz w:val="22"/>
        </w:rPr>
        <w:t>the</w:t>
      </w:r>
      <w:r>
        <w:rPr>
          <w:spacing w:val="-6"/>
          <w:sz w:val="22"/>
        </w:rPr>
        <w:t> </w:t>
      </w:r>
      <w:r>
        <w:rPr>
          <w:sz w:val="22"/>
        </w:rPr>
        <w:t>likelihood</w:t>
      </w:r>
      <w:r>
        <w:rPr>
          <w:spacing w:val="-6"/>
          <w:sz w:val="22"/>
        </w:rPr>
        <w:t> </w:t>
      </w:r>
      <w:r>
        <w:rPr>
          <w:sz w:val="22"/>
        </w:rPr>
        <w:t>of</w:t>
      </w:r>
      <w:r>
        <w:rPr>
          <w:spacing w:val="-7"/>
          <w:sz w:val="22"/>
        </w:rPr>
        <w:t> </w:t>
      </w:r>
      <w:r>
        <w:rPr>
          <w:sz w:val="22"/>
        </w:rPr>
        <w:t>those</w:t>
      </w:r>
      <w:r>
        <w:rPr>
          <w:spacing w:val="-11"/>
          <w:sz w:val="22"/>
        </w:rPr>
        <w:t> </w:t>
      </w:r>
      <w:r>
        <w:rPr>
          <w:sz w:val="22"/>
        </w:rPr>
        <w:t>risks</w:t>
      </w:r>
      <w:r>
        <w:rPr>
          <w:spacing w:val="-8"/>
          <w:sz w:val="22"/>
        </w:rPr>
        <w:t> </w:t>
      </w:r>
      <w:r>
        <w:rPr>
          <w:sz w:val="22"/>
        </w:rPr>
        <w:t>being</w:t>
      </w:r>
      <w:r>
        <w:rPr>
          <w:spacing w:val="-6"/>
          <w:sz w:val="22"/>
        </w:rPr>
        <w:t> </w:t>
      </w:r>
      <w:r>
        <w:rPr>
          <w:sz w:val="22"/>
        </w:rPr>
        <w:t>realised</w:t>
      </w:r>
      <w:r>
        <w:rPr>
          <w:spacing w:val="-5"/>
          <w:sz w:val="22"/>
        </w:rPr>
        <w:t> </w:t>
      </w:r>
      <w:r>
        <w:rPr>
          <w:sz w:val="22"/>
        </w:rPr>
        <w:t>and</w:t>
      </w:r>
      <w:r>
        <w:rPr>
          <w:spacing w:val="-9"/>
          <w:sz w:val="22"/>
        </w:rPr>
        <w:t> </w:t>
      </w:r>
      <w:r>
        <w:rPr>
          <w:sz w:val="22"/>
        </w:rPr>
        <w:t>the</w:t>
      </w:r>
      <w:r>
        <w:rPr>
          <w:spacing w:val="-6"/>
          <w:sz w:val="22"/>
        </w:rPr>
        <w:t> </w:t>
      </w:r>
      <w:r>
        <w:rPr>
          <w:sz w:val="22"/>
        </w:rPr>
        <w:t>impact</w:t>
      </w:r>
      <w:r>
        <w:rPr>
          <w:spacing w:val="-5"/>
          <w:sz w:val="22"/>
        </w:rPr>
        <w:t> </w:t>
      </w:r>
      <w:r>
        <w:rPr>
          <w:sz w:val="22"/>
        </w:rPr>
        <w:t>should</w:t>
      </w:r>
      <w:r>
        <w:rPr>
          <w:spacing w:val="-9"/>
          <w:sz w:val="22"/>
        </w:rPr>
        <w:t> </w:t>
      </w:r>
      <w:r>
        <w:rPr>
          <w:sz w:val="22"/>
        </w:rPr>
        <w:t>they</w:t>
      </w:r>
      <w:r>
        <w:rPr>
          <w:spacing w:val="-6"/>
          <w:sz w:val="22"/>
        </w:rPr>
        <w:t> </w:t>
      </w:r>
      <w:r>
        <w:rPr>
          <w:sz w:val="22"/>
        </w:rPr>
        <w:t>be realised and to manage them efficiently, effectively and</w:t>
      </w:r>
      <w:r>
        <w:rPr>
          <w:spacing w:val="-31"/>
          <w:sz w:val="22"/>
        </w:rPr>
        <w:t> </w:t>
      </w:r>
      <w:r>
        <w:rPr>
          <w:sz w:val="22"/>
        </w:rPr>
        <w:t>economically</w:t>
      </w:r>
    </w:p>
    <w:p>
      <w:pPr>
        <w:pStyle w:val="BodyText"/>
        <w:spacing w:before="8"/>
        <w:rPr>
          <w:sz w:val="21"/>
        </w:rPr>
      </w:pPr>
    </w:p>
    <w:p>
      <w:pPr>
        <w:pStyle w:val="BodyText"/>
        <w:ind w:left="672" w:right="1646" w:firstLine="2"/>
      </w:pPr>
      <w:r>
        <w:rPr/>
        <w:t>The CCG’s Integrated Audit and Governance Committee has assured itself that the organisation has adequate arrangements in place for countering fraud and reviews the outcomes of counter fraud work.</w:t>
      </w:r>
    </w:p>
    <w:p>
      <w:pPr>
        <w:pStyle w:val="BodyText"/>
        <w:spacing w:before="1"/>
      </w:pPr>
    </w:p>
    <w:p>
      <w:pPr>
        <w:pStyle w:val="BodyText"/>
        <w:ind w:left="667" w:right="808" w:firstLine="4"/>
      </w:pPr>
      <w:r>
        <w:rPr/>
        <w:t>North Lincolnshire CCG implements anti-fraud prevention measures and counter fraud risks in compliance with NHS Protect Standards on countering fraud, bribery and corruption. To ensure compliance with the standards the CCG contracts with an external provider, Audit Yorkshire, who supply Local Counter Fraud Specialist (LCFS) services to the organisation via an annual fraud plan.</w:t>
      </w:r>
    </w:p>
    <w:p>
      <w:pPr>
        <w:pStyle w:val="BodyText"/>
        <w:spacing w:before="10"/>
        <w:rPr>
          <w:sz w:val="21"/>
        </w:rPr>
      </w:pPr>
    </w:p>
    <w:p>
      <w:pPr>
        <w:pStyle w:val="BodyText"/>
        <w:ind w:left="670" w:right="780" w:firstLine="9"/>
      </w:pPr>
      <w:r>
        <w:rPr/>
        <w:t>The Fraud Plan includes initiatives to promote fraud awareness, deterrence and prevention and also to investigate suspected cases of fraud, and if required, apply a range of potential sanctions including criminal, civil and disciplinary measures. Progress against the Internal Audit Plan is monitored at the Integrated Audit and Governance Committee. The Local Counter Fraud Specialist is directly responsible to the </w:t>
      </w:r>
      <w:r>
        <w:rPr>
          <w:spacing w:val="-4"/>
        </w:rPr>
        <w:t>Chief </w:t>
      </w:r>
      <w:r>
        <w:rPr/>
        <w:t>Financial Officer and all fraud work is reported to the </w:t>
      </w:r>
      <w:r>
        <w:rPr>
          <w:spacing w:val="-3"/>
        </w:rPr>
        <w:t>CCG </w:t>
      </w:r>
      <w:r>
        <w:rPr/>
        <w:t>Integrated Audit &amp; Governance Committee. The CCG’s policies have been updated to reflect counter fraud policy and the 2010 Bribery Act and GDPR as</w:t>
      </w:r>
      <w:r>
        <w:rPr>
          <w:spacing w:val="-41"/>
        </w:rPr>
        <w:t> </w:t>
      </w:r>
      <w:r>
        <w:rPr/>
        <w:t>standard.</w:t>
      </w:r>
    </w:p>
    <w:p>
      <w:pPr>
        <w:pStyle w:val="BodyText"/>
        <w:spacing w:before="2"/>
      </w:pPr>
    </w:p>
    <w:p>
      <w:pPr>
        <w:pStyle w:val="BodyText"/>
        <w:ind w:left="680"/>
      </w:pPr>
      <w:r>
        <w:rPr/>
        <w:t>The key elements of the Risk Management Strategy are:</w:t>
      </w:r>
    </w:p>
    <w:p>
      <w:pPr>
        <w:pStyle w:val="ListParagraph"/>
        <w:numPr>
          <w:ilvl w:val="0"/>
          <w:numId w:val="13"/>
        </w:numPr>
        <w:tabs>
          <w:tab w:pos="1393" w:val="left" w:leader="none"/>
          <w:tab w:pos="1394" w:val="left" w:leader="none"/>
        </w:tabs>
        <w:spacing w:line="240" w:lineRule="auto" w:before="3" w:after="0"/>
        <w:ind w:left="1393" w:right="1115" w:hanging="353"/>
        <w:jc w:val="left"/>
        <w:rPr>
          <w:sz w:val="22"/>
        </w:rPr>
      </w:pPr>
      <w:r>
        <w:rPr>
          <w:sz w:val="22"/>
        </w:rPr>
        <w:t>To support the Governing Body in carrying out its duties effectively. The Integrated Audit and Governance Committee provides assurance (and the Quality Performance and Finance Committee additional assurance) that the risk registers and assurance framework are regularly reviewed and updated and that corresponding robust and adequately progressed risk treatment plans</w:t>
      </w:r>
      <w:r>
        <w:rPr>
          <w:spacing w:val="6"/>
          <w:sz w:val="22"/>
        </w:rPr>
        <w:t> </w:t>
      </w:r>
      <w:r>
        <w:rPr>
          <w:sz w:val="22"/>
        </w:rPr>
        <w:t>exist.</w:t>
      </w:r>
    </w:p>
    <w:p>
      <w:pPr>
        <w:spacing w:after="0" w:line="240" w:lineRule="auto"/>
        <w:jc w:val="left"/>
        <w:rPr>
          <w:sz w:val="22"/>
        </w:rPr>
        <w:sectPr>
          <w:pgSz w:w="11920" w:h="16850"/>
          <w:pgMar w:header="0" w:footer="363" w:top="1320" w:bottom="640" w:left="760" w:right="420"/>
        </w:sectPr>
      </w:pPr>
    </w:p>
    <w:p>
      <w:pPr>
        <w:pStyle w:val="ListParagraph"/>
        <w:numPr>
          <w:ilvl w:val="0"/>
          <w:numId w:val="13"/>
        </w:numPr>
        <w:tabs>
          <w:tab w:pos="1397" w:val="left" w:leader="none"/>
          <w:tab w:pos="1398" w:val="left" w:leader="none"/>
        </w:tabs>
        <w:spacing w:line="235" w:lineRule="auto" w:before="82" w:after="0"/>
        <w:ind w:left="1397" w:right="1135" w:hanging="361"/>
        <w:jc w:val="left"/>
        <w:rPr>
          <w:sz w:val="22"/>
        </w:rPr>
      </w:pPr>
      <w:r>
        <w:rPr>
          <w:sz w:val="22"/>
        </w:rPr>
        <w:t>That  the  Accountable Officer  has  overall  accountability  for   ensuring that there is a sound system in place for the management </w:t>
      </w:r>
      <w:r>
        <w:rPr>
          <w:spacing w:val="-3"/>
          <w:sz w:val="22"/>
        </w:rPr>
        <w:t>of </w:t>
      </w:r>
      <w:r>
        <w:rPr>
          <w:sz w:val="22"/>
        </w:rPr>
        <w:t>risk and is responsible</w:t>
      </w:r>
      <w:r>
        <w:rPr>
          <w:spacing w:val="-22"/>
          <w:sz w:val="22"/>
        </w:rPr>
        <w:t> </w:t>
      </w:r>
      <w:r>
        <w:rPr>
          <w:sz w:val="22"/>
        </w:rPr>
        <w:t>for</w:t>
      </w:r>
    </w:p>
    <w:p>
      <w:pPr>
        <w:pStyle w:val="BodyText"/>
        <w:spacing w:before="2"/>
        <w:ind w:left="1397"/>
      </w:pPr>
      <w:r>
        <w:rPr/>
        <w:t>ens ur i ng syst e m s an d processes ar e implemented to comply with the strategy.</w:t>
      </w:r>
    </w:p>
    <w:p>
      <w:pPr>
        <w:pStyle w:val="BodyText"/>
        <w:spacing w:before="3"/>
      </w:pPr>
    </w:p>
    <w:p>
      <w:pPr>
        <w:pStyle w:val="BodyText"/>
        <w:ind w:left="670" w:right="1080" w:firstLine="7"/>
      </w:pPr>
      <w:r>
        <w:rPr/>
        <w:t>New risks identified for inclusion on the risk register and assurance framework are assessed for likelihood and consequence using a 5 x 5 risk matrix in accordance with the risk management strategy. The Strategic Risk Register identifies the risks to the delivery of the organisation’s strategic objectives whilst the Corporate Risk Register focuses on operational risks.</w:t>
      </w:r>
    </w:p>
    <w:p>
      <w:pPr>
        <w:pStyle w:val="BodyText"/>
        <w:spacing w:before="8"/>
        <w:rPr>
          <w:sz w:val="21"/>
        </w:rPr>
      </w:pPr>
    </w:p>
    <w:p>
      <w:pPr>
        <w:pStyle w:val="BodyText"/>
        <w:ind w:left="680" w:right="979"/>
      </w:pPr>
      <w:r>
        <w:rPr/>
        <w:t>All the CCG’s risk registers are linked to the CCG’s agreed risk appetites by risk type to support the effective management of risks across the organisation. Risk appetite is aligned to the following risk categories: reputation, compliance, financial, operational and strategic. The resultant heat maps allow the CGG Governing Body, committees and staff to more effectively focus resources and attention on key risks that are ‘out of appetite’.</w:t>
      </w:r>
    </w:p>
    <w:p>
      <w:pPr>
        <w:pStyle w:val="BodyText"/>
        <w:spacing w:before="1"/>
      </w:pPr>
    </w:p>
    <w:p>
      <w:pPr>
        <w:pStyle w:val="BodyText"/>
        <w:ind w:left="680" w:right="783"/>
      </w:pPr>
      <w:r>
        <w:rPr/>
        <w:t>The </w:t>
      </w:r>
      <w:r>
        <w:rPr>
          <w:spacing w:val="-4"/>
        </w:rPr>
        <w:t>CCG </w:t>
      </w:r>
      <w:r>
        <w:rPr/>
        <w:t>has undertaken governing body sessions on risk appetite to establish a </w:t>
      </w:r>
      <w:r>
        <w:rPr>
          <w:spacing w:val="-5"/>
        </w:rPr>
        <w:t>clear </w:t>
      </w:r>
      <w:r>
        <w:rPr/>
        <w:t>corporate approach to risk taking, tolerances and control. Setting of risk appetite has driven organisational</w:t>
      </w:r>
      <w:r>
        <w:rPr>
          <w:spacing w:val="-16"/>
        </w:rPr>
        <w:t> </w:t>
      </w:r>
      <w:r>
        <w:rPr/>
        <w:t>behaviours</w:t>
      </w:r>
      <w:r>
        <w:rPr>
          <w:spacing w:val="-12"/>
        </w:rPr>
        <w:t> </w:t>
      </w:r>
      <w:r>
        <w:rPr/>
        <w:t>and</w:t>
      </w:r>
      <w:r>
        <w:rPr>
          <w:spacing w:val="-16"/>
        </w:rPr>
        <w:t> </w:t>
      </w:r>
      <w:r>
        <w:rPr/>
        <w:t>allowed</w:t>
      </w:r>
      <w:r>
        <w:rPr>
          <w:spacing w:val="-13"/>
        </w:rPr>
        <w:t> </w:t>
      </w:r>
      <w:r>
        <w:rPr/>
        <w:t>us</w:t>
      </w:r>
      <w:r>
        <w:rPr>
          <w:spacing w:val="-18"/>
        </w:rPr>
        <w:t> </w:t>
      </w:r>
      <w:r>
        <w:rPr/>
        <w:t>to</w:t>
      </w:r>
      <w:r>
        <w:rPr>
          <w:spacing w:val="-13"/>
        </w:rPr>
        <w:t> </w:t>
      </w:r>
      <w:r>
        <w:rPr/>
        <w:t>develop</w:t>
      </w:r>
      <w:r>
        <w:rPr>
          <w:spacing w:val="-13"/>
        </w:rPr>
        <w:t> </w:t>
      </w:r>
      <w:r>
        <w:rPr/>
        <w:t>confidence,</w:t>
      </w:r>
      <w:r>
        <w:rPr>
          <w:spacing w:val="-13"/>
        </w:rPr>
        <w:t> </w:t>
      </w:r>
      <w:r>
        <w:rPr/>
        <w:t>competence</w:t>
      </w:r>
      <w:r>
        <w:rPr>
          <w:spacing w:val="-15"/>
        </w:rPr>
        <w:t> </w:t>
      </w:r>
      <w:r>
        <w:rPr/>
        <w:t>and</w:t>
      </w:r>
      <w:r>
        <w:rPr>
          <w:spacing w:val="-18"/>
        </w:rPr>
        <w:t> </w:t>
      </w:r>
      <w:r>
        <w:rPr/>
        <w:t>resilience</w:t>
      </w:r>
      <w:r>
        <w:rPr>
          <w:spacing w:val="-15"/>
        </w:rPr>
        <w:t> </w:t>
      </w:r>
      <w:r>
        <w:rPr/>
        <w:t>on an incremental basis. Risk is unavoidable but the CCG’s risk appetite has been informed by experience and</w:t>
      </w:r>
      <w:r>
        <w:rPr>
          <w:spacing w:val="-6"/>
        </w:rPr>
        <w:t> </w:t>
      </w:r>
      <w:r>
        <w:rPr>
          <w:spacing w:val="-4"/>
        </w:rPr>
        <w:t>knowledge.</w:t>
      </w:r>
    </w:p>
    <w:p>
      <w:pPr>
        <w:pStyle w:val="BodyText"/>
        <w:spacing w:before="11"/>
        <w:rPr>
          <w:sz w:val="21"/>
        </w:rPr>
      </w:pPr>
    </w:p>
    <w:p>
      <w:pPr>
        <w:pStyle w:val="BodyText"/>
        <w:ind w:left="677" w:right="1005" w:firstLine="2"/>
      </w:pPr>
      <w:r>
        <w:rPr/>
        <w:t>If the assessment of the risk is higher than the risk appetite, further action will be taken to reduce the likelihood and/or impact of the risk occurring. A more detailed consideration of the CCG’s approach to risk appetite is set out in the Risk Assessment section below.</w:t>
      </w:r>
    </w:p>
    <w:p>
      <w:pPr>
        <w:pStyle w:val="BodyText"/>
        <w:spacing w:before="1"/>
      </w:pPr>
    </w:p>
    <w:p>
      <w:pPr>
        <w:pStyle w:val="BodyText"/>
        <w:tabs>
          <w:tab w:pos="1452" w:val="left" w:leader="none"/>
          <w:tab w:pos="1870" w:val="left" w:leader="none"/>
          <w:tab w:pos="2530" w:val="left" w:leader="none"/>
          <w:tab w:pos="3521" w:val="left" w:leader="none"/>
          <w:tab w:pos="4070" w:val="left" w:leader="none"/>
          <w:tab w:pos="5222" w:val="left" w:leader="none"/>
          <w:tab w:pos="6201" w:val="left" w:leader="none"/>
          <w:tab w:pos="6559" w:val="left" w:leader="none"/>
          <w:tab w:pos="7257" w:val="left" w:leader="none"/>
          <w:tab w:pos="7672" w:val="left" w:leader="none"/>
        </w:tabs>
        <w:ind w:left="672" w:right="1617" w:firstLine="5"/>
      </w:pPr>
      <w:r>
        <w:rPr/>
        <w:t>Risks</w:t>
        <w:tab/>
        <w:t>to</w:t>
        <w:tab/>
        <w:t>data</w:t>
        <w:tab/>
        <w:t>security</w:t>
        <w:tab/>
        <w:t>are</w:t>
        <w:tab/>
        <w:t>managed</w:t>
        <w:tab/>
        <w:t>through</w:t>
        <w:tab/>
        <w:t>a</w:t>
        <w:tab/>
        <w:t>suite</w:t>
        <w:tab/>
        <w:t>of</w:t>
        <w:tab/>
        <w:t>information governance policies and CCG staff have undertaken the Electronic Staff Record (ESR) Information Governance training – Data Security Awareness Level 1. Any data security incidents are reported through the CCG’s incident reporting system and notified to the Information Governance Manager for</w:t>
      </w:r>
      <w:r>
        <w:rPr>
          <w:spacing w:val="-14"/>
        </w:rPr>
        <w:t> </w:t>
      </w:r>
      <w:r>
        <w:rPr/>
        <w:t>investigation.</w:t>
      </w:r>
    </w:p>
    <w:p>
      <w:pPr>
        <w:pStyle w:val="BodyText"/>
        <w:spacing w:before="11"/>
        <w:rPr>
          <w:sz w:val="21"/>
        </w:rPr>
      </w:pPr>
    </w:p>
    <w:p>
      <w:pPr>
        <w:pStyle w:val="Heading4"/>
      </w:pPr>
      <w:bookmarkStart w:name="Risk Assessment" w:id="135"/>
      <w:bookmarkEnd w:id="135"/>
      <w:r>
        <w:rPr>
          <w:b w:val="0"/>
        </w:rPr>
      </w:r>
      <w:r>
        <w:rPr>
          <w:color w:val="365F91"/>
        </w:rPr>
        <w:t>Risk Assessment</w:t>
      </w:r>
    </w:p>
    <w:p>
      <w:pPr>
        <w:pStyle w:val="BodyText"/>
        <w:spacing w:before="11"/>
        <w:rPr>
          <w:b/>
          <w:sz w:val="28"/>
        </w:rPr>
      </w:pPr>
    </w:p>
    <w:p>
      <w:pPr>
        <w:pStyle w:val="BodyText"/>
        <w:ind w:left="677" w:right="820" w:firstLine="2"/>
      </w:pPr>
      <w:r>
        <w:rPr/>
        <w:t>The CCG recognises the need for a robust focus on the identification and management of risks and therefore places risk within an integral part of our overall approach to governance.</w:t>
      </w:r>
    </w:p>
    <w:p>
      <w:pPr>
        <w:pStyle w:val="BodyText"/>
        <w:ind w:left="675" w:right="1131"/>
      </w:pPr>
      <w:r>
        <w:rPr/>
        <w:t>Consequently, risk management is an explicit process in every activity the CCG and its staff take part in.</w:t>
      </w:r>
    </w:p>
    <w:p>
      <w:pPr>
        <w:pStyle w:val="BodyText"/>
      </w:pPr>
    </w:p>
    <w:p>
      <w:pPr>
        <w:pStyle w:val="BodyText"/>
        <w:ind w:left="667" w:right="893" w:firstLine="4"/>
      </w:pPr>
      <w:r>
        <w:rPr/>
        <w:t>The CCG has a robust process for identification and mitigation of risks and where there have been serious incidents, responding to them quickly and ensuring that lessons learnt from them are implemented swiftly across the CCG.</w:t>
      </w:r>
    </w:p>
    <w:p>
      <w:pPr>
        <w:pStyle w:val="BodyText"/>
        <w:spacing w:before="10"/>
        <w:rPr>
          <w:sz w:val="21"/>
        </w:rPr>
      </w:pPr>
    </w:p>
    <w:p>
      <w:pPr>
        <w:pStyle w:val="BodyText"/>
        <w:ind w:left="672" w:right="864" w:firstLine="7"/>
      </w:pPr>
      <w:r>
        <w:rPr/>
        <w:t>The Risk Management Strategy reflects the risk management processes within the CCG and its responsibilities for management of risks. Those risks which were deemed to be a strategic risk have been allocated to the Strategic Risk Register and risk owners asked to identify assurances on control, gaps in control or and assurance and direct or Indirect influence on risk mitigation. The operational risks remain on the corporate register or directorate risk registers.</w:t>
      </w:r>
    </w:p>
    <w:p>
      <w:pPr>
        <w:pStyle w:val="BodyText"/>
        <w:spacing w:before="10"/>
        <w:rPr>
          <w:sz w:val="21"/>
        </w:rPr>
      </w:pPr>
    </w:p>
    <w:p>
      <w:pPr>
        <w:pStyle w:val="BodyText"/>
        <w:ind w:left="672" w:right="1316"/>
      </w:pPr>
      <w:r>
        <w:rPr/>
        <w:t>An Assurance Framework based upon Department of Health and “best practice” guidance has been in place throughout the</w:t>
      </w:r>
      <w:r>
        <w:rPr>
          <w:spacing w:val="-3"/>
        </w:rPr>
        <w:t> </w:t>
      </w:r>
      <w:r>
        <w:rPr/>
        <w:t>year.</w:t>
      </w:r>
    </w:p>
    <w:p>
      <w:pPr>
        <w:pStyle w:val="BodyText"/>
        <w:spacing w:before="2"/>
      </w:pPr>
    </w:p>
    <w:p>
      <w:pPr>
        <w:pStyle w:val="BodyText"/>
        <w:ind w:left="677" w:right="1212" w:firstLine="2"/>
      </w:pPr>
      <w:r>
        <w:rPr/>
        <w:t>A key element of the framework is the Strategic Risk Register that provides a structure and process to enable the organisation to focus on the risks that might compromise the achievement of its strategic</w:t>
      </w:r>
      <w:r>
        <w:rPr>
          <w:spacing w:val="-4"/>
        </w:rPr>
        <w:t> </w:t>
      </w:r>
      <w:r>
        <w:rPr/>
        <w:t>objectives.</w:t>
      </w:r>
    </w:p>
    <w:p>
      <w:pPr>
        <w:spacing w:after="0"/>
        <w:sectPr>
          <w:pgSz w:w="11920" w:h="16850"/>
          <w:pgMar w:header="0" w:footer="363" w:top="1320" w:bottom="640" w:left="760" w:right="420"/>
        </w:sectPr>
      </w:pPr>
    </w:p>
    <w:p>
      <w:pPr>
        <w:pStyle w:val="BodyText"/>
        <w:spacing w:before="81"/>
        <w:ind w:left="672" w:right="986" w:firstLine="7"/>
      </w:pPr>
      <w:r>
        <w:rPr/>
        <w:t>The Strategic Risk Register maps out the key controls to mitigate the risks and provides a mechanism to inform the Governing Body of the assurances received about the effectiveness of these controls. It is a dynamic tool and is reviewed at public meetings of the Governing Body and regularly by the Integrated Audit and Governance Committee. The Quality Performance and Finance Committee provides additional assurance.</w:t>
      </w:r>
    </w:p>
    <w:p>
      <w:pPr>
        <w:pStyle w:val="BodyText"/>
        <w:spacing w:before="7"/>
        <w:rPr>
          <w:sz w:val="21"/>
        </w:rPr>
      </w:pPr>
    </w:p>
    <w:p>
      <w:pPr>
        <w:pStyle w:val="BodyText"/>
        <w:spacing w:before="1"/>
        <w:ind w:left="667" w:right="1076" w:firstLine="4"/>
      </w:pPr>
      <w:r>
        <w:rPr/>
        <w:t>The Strategic Risk Register provides an effective focus on strategic and reputational risk rather than operational issues and highlights any gaps in control and assurances. It provides the Governing Body with confidence that systems and processes are in place and that it operates in a way that is safe and effective.</w:t>
      </w:r>
    </w:p>
    <w:p>
      <w:pPr>
        <w:pStyle w:val="BodyText"/>
        <w:spacing w:before="11"/>
        <w:rPr>
          <w:sz w:val="21"/>
        </w:rPr>
      </w:pPr>
    </w:p>
    <w:p>
      <w:pPr>
        <w:pStyle w:val="BodyText"/>
        <w:ind w:left="680" w:right="2556"/>
      </w:pPr>
      <w:r>
        <w:rPr/>
        <w:t>The key risks on the assurance framework as of the end of January 2022 are highlighted in the table below:</w:t>
      </w:r>
    </w:p>
    <w:p>
      <w:pPr>
        <w:pStyle w:val="BodyText"/>
        <w:spacing w:before="2"/>
      </w:pPr>
    </w:p>
    <w:tbl>
      <w:tblPr>
        <w:tblW w:w="0" w:type="auto"/>
        <w:jc w:val="left"/>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3"/>
        <w:gridCol w:w="2549"/>
        <w:gridCol w:w="2835"/>
        <w:gridCol w:w="1702"/>
      </w:tblGrid>
      <w:tr>
        <w:trPr>
          <w:trHeight w:val="990" w:hRule="atLeast"/>
        </w:trPr>
        <w:tc>
          <w:tcPr>
            <w:tcW w:w="2803" w:type="dxa"/>
          </w:tcPr>
          <w:p>
            <w:pPr>
              <w:pStyle w:val="TableParagraph"/>
              <w:spacing w:before="11"/>
              <w:rPr>
                <w:sz w:val="32"/>
              </w:rPr>
            </w:pPr>
          </w:p>
          <w:p>
            <w:pPr>
              <w:pStyle w:val="TableParagraph"/>
              <w:ind w:left="547"/>
              <w:rPr>
                <w:b/>
                <w:sz w:val="22"/>
              </w:rPr>
            </w:pPr>
            <w:r>
              <w:rPr>
                <w:b/>
                <w:sz w:val="22"/>
              </w:rPr>
              <w:t>Risk Description</w:t>
            </w:r>
          </w:p>
        </w:tc>
        <w:tc>
          <w:tcPr>
            <w:tcW w:w="2549" w:type="dxa"/>
          </w:tcPr>
          <w:p>
            <w:pPr>
              <w:pStyle w:val="TableParagraph"/>
              <w:spacing w:before="11"/>
              <w:rPr>
                <w:sz w:val="32"/>
              </w:rPr>
            </w:pPr>
          </w:p>
          <w:p>
            <w:pPr>
              <w:pStyle w:val="TableParagraph"/>
              <w:ind w:left="837"/>
              <w:rPr>
                <w:b/>
                <w:sz w:val="22"/>
              </w:rPr>
            </w:pPr>
            <w:r>
              <w:rPr>
                <w:b/>
                <w:sz w:val="22"/>
              </w:rPr>
              <w:t>Controls</w:t>
            </w:r>
          </w:p>
        </w:tc>
        <w:tc>
          <w:tcPr>
            <w:tcW w:w="2835" w:type="dxa"/>
          </w:tcPr>
          <w:p>
            <w:pPr>
              <w:pStyle w:val="TableParagraph"/>
              <w:spacing w:before="11"/>
              <w:rPr>
                <w:sz w:val="32"/>
              </w:rPr>
            </w:pPr>
          </w:p>
          <w:p>
            <w:pPr>
              <w:pStyle w:val="TableParagraph"/>
              <w:ind w:left="811"/>
              <w:rPr>
                <w:b/>
                <w:sz w:val="22"/>
              </w:rPr>
            </w:pPr>
            <w:r>
              <w:rPr>
                <w:b/>
                <w:sz w:val="22"/>
              </w:rPr>
              <w:t>Assurances</w:t>
            </w:r>
          </w:p>
        </w:tc>
        <w:tc>
          <w:tcPr>
            <w:tcW w:w="1702" w:type="dxa"/>
          </w:tcPr>
          <w:p>
            <w:pPr>
              <w:pStyle w:val="TableParagraph"/>
              <w:ind w:left="241" w:right="200"/>
              <w:jc w:val="center"/>
              <w:rPr>
                <w:b/>
                <w:sz w:val="22"/>
              </w:rPr>
            </w:pPr>
            <w:r>
              <w:rPr>
                <w:b/>
                <w:sz w:val="22"/>
              </w:rPr>
              <w:t>Risk Rating</w:t>
            </w:r>
          </w:p>
          <w:p>
            <w:pPr>
              <w:pStyle w:val="TableParagraph"/>
              <w:spacing w:line="340" w:lineRule="atLeast" w:before="15"/>
              <w:ind w:left="419" w:right="379" w:hanging="5"/>
              <w:jc w:val="center"/>
              <w:rPr>
                <w:sz w:val="20"/>
              </w:rPr>
            </w:pPr>
            <w:r>
              <w:rPr>
                <w:sz w:val="20"/>
              </w:rPr>
              <w:t>(Impact x </w:t>
            </w:r>
            <w:r>
              <w:rPr>
                <w:w w:val="95"/>
                <w:sz w:val="20"/>
              </w:rPr>
              <w:t>likelihood)</w:t>
            </w:r>
          </w:p>
        </w:tc>
      </w:tr>
      <w:tr>
        <w:trPr>
          <w:trHeight w:val="4523" w:hRule="atLeast"/>
        </w:trPr>
        <w:tc>
          <w:tcPr>
            <w:tcW w:w="2803" w:type="dxa"/>
          </w:tcPr>
          <w:p>
            <w:pPr>
              <w:pStyle w:val="TableParagraph"/>
              <w:spacing w:before="2"/>
              <w:ind w:left="110" w:right="95"/>
              <w:rPr>
                <w:sz w:val="22"/>
              </w:rPr>
            </w:pPr>
            <w:r>
              <w:rPr>
                <w:sz w:val="22"/>
              </w:rPr>
              <w:t>If the CCG fails to develop alternative out of hospital provision in the right place the acute sector does not have a workforce or resources to deliver the forecast demand</w:t>
            </w:r>
          </w:p>
        </w:tc>
        <w:tc>
          <w:tcPr>
            <w:tcW w:w="2549" w:type="dxa"/>
          </w:tcPr>
          <w:p>
            <w:pPr>
              <w:pStyle w:val="TableParagraph"/>
              <w:spacing w:before="2"/>
              <w:ind w:left="110" w:right="125"/>
              <w:rPr>
                <w:sz w:val="22"/>
              </w:rPr>
            </w:pPr>
            <w:r>
              <w:rPr>
                <w:sz w:val="22"/>
              </w:rPr>
              <w:t>Agreed Governing Body priority and overseen by Planning and Commissioning Committee. Part of the place plan in conjunction with NLC, Out of Hospital programme management in place reporting to programme delivery group</w:t>
            </w:r>
          </w:p>
        </w:tc>
        <w:tc>
          <w:tcPr>
            <w:tcW w:w="2835" w:type="dxa"/>
          </w:tcPr>
          <w:p>
            <w:pPr>
              <w:pStyle w:val="TableParagraph"/>
              <w:spacing w:before="2"/>
              <w:ind w:left="110" w:right="127"/>
              <w:rPr>
                <w:sz w:val="22"/>
              </w:rPr>
            </w:pPr>
            <w:r>
              <w:rPr>
                <w:sz w:val="22"/>
              </w:rPr>
              <w:t>Delivery of programme plan is monitored through programme delivery group on a monthly basis.</w:t>
            </w:r>
          </w:p>
        </w:tc>
        <w:tc>
          <w:tcPr>
            <w:tcW w:w="1702" w:type="dxa"/>
          </w:tcPr>
          <w:p>
            <w:pPr>
              <w:pStyle w:val="TableParagraph"/>
              <w:spacing w:before="1"/>
              <w:rPr>
                <w:sz w:val="33"/>
              </w:rPr>
            </w:pPr>
          </w:p>
          <w:p>
            <w:pPr>
              <w:pStyle w:val="TableParagraph"/>
              <w:spacing w:before="1"/>
              <w:ind w:left="378"/>
              <w:rPr>
                <w:sz w:val="22"/>
              </w:rPr>
            </w:pPr>
            <w:r>
              <w:rPr>
                <w:sz w:val="22"/>
              </w:rPr>
              <w:t>5 x 3 = 15</w:t>
            </w:r>
          </w:p>
        </w:tc>
      </w:tr>
    </w:tbl>
    <w:p>
      <w:pPr>
        <w:spacing w:after="0"/>
        <w:rPr>
          <w:sz w:val="22"/>
        </w:rPr>
        <w:sectPr>
          <w:pgSz w:w="11920" w:h="16850"/>
          <w:pgMar w:header="0" w:footer="363" w:top="1320" w:bottom="640" w:left="760" w:right="420"/>
        </w:sectPr>
      </w:pPr>
    </w:p>
    <w:tbl>
      <w:tblPr>
        <w:tblW w:w="0" w:type="auto"/>
        <w:jc w:val="left"/>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3"/>
        <w:gridCol w:w="2549"/>
        <w:gridCol w:w="2835"/>
        <w:gridCol w:w="1702"/>
      </w:tblGrid>
      <w:tr>
        <w:trPr>
          <w:trHeight w:val="7365" w:hRule="atLeast"/>
        </w:trPr>
        <w:tc>
          <w:tcPr>
            <w:tcW w:w="2803" w:type="dxa"/>
          </w:tcPr>
          <w:p>
            <w:pPr>
              <w:pStyle w:val="TableParagraph"/>
              <w:spacing w:before="2"/>
              <w:ind w:left="110" w:right="227"/>
              <w:jc w:val="both"/>
              <w:rPr>
                <w:sz w:val="22"/>
              </w:rPr>
            </w:pPr>
            <w:r>
              <w:rPr>
                <w:sz w:val="22"/>
              </w:rPr>
              <w:t>There is a risk of harm to patients due to Failure of NL&amp;G to meet all Control targets for Quality</w:t>
            </w:r>
          </w:p>
        </w:tc>
        <w:tc>
          <w:tcPr>
            <w:tcW w:w="2549" w:type="dxa"/>
          </w:tcPr>
          <w:p>
            <w:pPr>
              <w:pStyle w:val="TableParagraph"/>
              <w:spacing w:before="2"/>
              <w:ind w:left="110" w:right="86"/>
              <w:rPr>
                <w:sz w:val="22"/>
              </w:rPr>
            </w:pPr>
            <w:r>
              <w:rPr>
                <w:sz w:val="22"/>
              </w:rPr>
              <w:t>Monthly Quality Review (QRM) meeting in place to oversee delivery of schedule 4 requirements and to enable a monthly assessment of quality impact against key performance indicators. QRM became a Commissioner only meeting in October 2020 due to a request via the provider as a consequence of demand from the</w:t>
            </w:r>
          </w:p>
          <w:p>
            <w:pPr>
              <w:pStyle w:val="TableParagraph"/>
              <w:ind w:left="110" w:right="142"/>
              <w:rPr>
                <w:sz w:val="22"/>
              </w:rPr>
            </w:pPr>
            <w:r>
              <w:rPr>
                <w:sz w:val="22"/>
              </w:rPr>
              <w:t>Covid-19 pandemic, which was supported by NHSEI. Quality Board continues to meet bi-monthly which is Chaired by NHSEI. NL&amp;G's clinical harm process and risk stratification model remains in place with regular updates and oversight via the relevant quality forums.</w:t>
            </w:r>
          </w:p>
        </w:tc>
        <w:tc>
          <w:tcPr>
            <w:tcW w:w="2835" w:type="dxa"/>
          </w:tcPr>
          <w:p>
            <w:pPr>
              <w:pStyle w:val="TableParagraph"/>
              <w:spacing w:before="2"/>
              <w:ind w:left="110" w:right="90"/>
              <w:rPr>
                <w:sz w:val="22"/>
              </w:rPr>
            </w:pPr>
            <w:r>
              <w:rPr>
                <w:sz w:val="22"/>
              </w:rPr>
              <w:t>Assurance reporting and improvement actions by NL&amp;G are submitted to the Quality Board, Commissioner Quality Review Meeting and internally into the Quality and Safety Committee which has Commissioned representation.</w:t>
            </w:r>
          </w:p>
          <w:p>
            <w:pPr>
              <w:pStyle w:val="TableParagraph"/>
              <w:ind w:left="110" w:right="359"/>
              <w:rPr>
                <w:sz w:val="22"/>
              </w:rPr>
            </w:pPr>
            <w:r>
              <w:rPr>
                <w:sz w:val="22"/>
              </w:rPr>
              <w:t>Additionally the CCG reports internally to the Quality Performance &amp; Finance Committee and Governing Body and externally to the Local / Regional Quality Surveillance Group.</w:t>
            </w:r>
          </w:p>
        </w:tc>
        <w:tc>
          <w:tcPr>
            <w:tcW w:w="1702" w:type="dxa"/>
          </w:tcPr>
          <w:p>
            <w:pPr>
              <w:pStyle w:val="TableParagraph"/>
              <w:spacing w:before="10"/>
              <w:rPr>
                <w:sz w:val="21"/>
              </w:rPr>
            </w:pPr>
          </w:p>
          <w:p>
            <w:pPr>
              <w:pStyle w:val="TableParagraph"/>
              <w:ind w:left="378"/>
              <w:rPr>
                <w:sz w:val="22"/>
              </w:rPr>
            </w:pPr>
            <w:r>
              <w:rPr>
                <w:sz w:val="22"/>
              </w:rPr>
              <w:t>3 x 4 = 12</w:t>
            </w:r>
          </w:p>
        </w:tc>
      </w:tr>
      <w:tr>
        <w:trPr>
          <w:trHeight w:val="2409" w:hRule="atLeast"/>
        </w:trPr>
        <w:tc>
          <w:tcPr>
            <w:tcW w:w="2803" w:type="dxa"/>
          </w:tcPr>
          <w:p>
            <w:pPr>
              <w:pStyle w:val="TableParagraph"/>
              <w:ind w:left="110" w:right="233" w:firstLine="48"/>
              <w:rPr>
                <w:sz w:val="22"/>
              </w:rPr>
            </w:pPr>
            <w:r>
              <w:rPr>
                <w:sz w:val="22"/>
              </w:rPr>
              <w:t>If the CCG fails to deliver its constitutional targets this may result in the CCG being assessed as inadequate.</w:t>
            </w:r>
          </w:p>
        </w:tc>
        <w:tc>
          <w:tcPr>
            <w:tcW w:w="2549" w:type="dxa"/>
          </w:tcPr>
          <w:p>
            <w:pPr>
              <w:pStyle w:val="TableParagraph"/>
              <w:ind w:left="110" w:right="281"/>
              <w:rPr>
                <w:sz w:val="22"/>
              </w:rPr>
            </w:pPr>
            <w:r>
              <w:rPr>
                <w:sz w:val="22"/>
              </w:rPr>
              <w:t>Ensuring robust contract management of our key providers</w:t>
            </w:r>
          </w:p>
        </w:tc>
        <w:tc>
          <w:tcPr>
            <w:tcW w:w="2835" w:type="dxa"/>
          </w:tcPr>
          <w:p>
            <w:pPr>
              <w:pStyle w:val="TableParagraph"/>
              <w:ind w:left="110" w:right="151"/>
              <w:rPr>
                <w:sz w:val="22"/>
              </w:rPr>
            </w:pPr>
            <w:r>
              <w:rPr>
                <w:sz w:val="22"/>
              </w:rPr>
              <w:t>Working with providers to address waiting times including transferring care to alternative providers for some specialities (where capacity is available).</w:t>
            </w:r>
          </w:p>
          <w:p>
            <w:pPr>
              <w:pStyle w:val="TableParagraph"/>
              <w:spacing w:before="1"/>
              <w:ind w:left="110" w:right="163"/>
              <w:rPr>
                <w:sz w:val="22"/>
              </w:rPr>
            </w:pPr>
            <w:r>
              <w:rPr>
                <w:sz w:val="22"/>
              </w:rPr>
              <w:t>Monitored through Quality Performance &amp; Finance Committee</w:t>
            </w:r>
          </w:p>
        </w:tc>
        <w:tc>
          <w:tcPr>
            <w:tcW w:w="1702" w:type="dxa"/>
          </w:tcPr>
          <w:p>
            <w:pPr>
              <w:pStyle w:val="TableParagraph"/>
              <w:spacing w:before="10"/>
              <w:rPr>
                <w:sz w:val="21"/>
              </w:rPr>
            </w:pPr>
          </w:p>
          <w:p>
            <w:pPr>
              <w:pStyle w:val="TableParagraph"/>
              <w:ind w:left="378"/>
              <w:rPr>
                <w:sz w:val="22"/>
              </w:rPr>
            </w:pPr>
            <w:r>
              <w:rPr>
                <w:sz w:val="22"/>
              </w:rPr>
              <w:t>3 x 4 = 12</w:t>
            </w:r>
          </w:p>
        </w:tc>
      </w:tr>
    </w:tbl>
    <w:p>
      <w:pPr>
        <w:spacing w:after="0"/>
        <w:rPr>
          <w:sz w:val="22"/>
        </w:rPr>
        <w:sectPr>
          <w:pgSz w:w="11920" w:h="16850"/>
          <w:pgMar w:header="0" w:footer="363" w:top="1400" w:bottom="560" w:left="760" w:right="420"/>
        </w:sectPr>
      </w:pPr>
    </w:p>
    <w:tbl>
      <w:tblPr>
        <w:tblW w:w="0" w:type="auto"/>
        <w:jc w:val="left"/>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3"/>
        <w:gridCol w:w="2549"/>
        <w:gridCol w:w="2835"/>
        <w:gridCol w:w="1702"/>
      </w:tblGrid>
      <w:tr>
        <w:trPr>
          <w:trHeight w:val="5236" w:hRule="atLeast"/>
        </w:trPr>
        <w:tc>
          <w:tcPr>
            <w:tcW w:w="2803" w:type="dxa"/>
          </w:tcPr>
          <w:p>
            <w:pPr>
              <w:pStyle w:val="TableParagraph"/>
              <w:spacing w:before="2"/>
              <w:ind w:left="110" w:right="304" w:firstLine="48"/>
              <w:rPr>
                <w:sz w:val="22"/>
              </w:rPr>
            </w:pPr>
            <w:r>
              <w:rPr>
                <w:sz w:val="22"/>
              </w:rPr>
              <w:t>Risk of harm to patients due to EMAS failure to reach control standards</w:t>
            </w:r>
          </w:p>
        </w:tc>
        <w:tc>
          <w:tcPr>
            <w:tcW w:w="2549" w:type="dxa"/>
          </w:tcPr>
          <w:p>
            <w:pPr>
              <w:pStyle w:val="TableParagraph"/>
              <w:spacing w:before="2"/>
              <w:ind w:left="110" w:right="101"/>
              <w:rPr>
                <w:sz w:val="22"/>
              </w:rPr>
            </w:pPr>
            <w:r>
              <w:rPr>
                <w:sz w:val="22"/>
              </w:rPr>
              <w:t>Regional meetings in place between EMAS and Commissioners regarding quality oversight and improvement plans, with direct links to the A&amp;E Delivery Board. Agreed actions in place with regards to improving non- conveyance rates and use of alternative pathways across the system. Audit of long waiters continues, with a view to understand current risk of harm and any improvement opportunities.</w:t>
            </w:r>
          </w:p>
        </w:tc>
        <w:tc>
          <w:tcPr>
            <w:tcW w:w="2835" w:type="dxa"/>
          </w:tcPr>
          <w:p>
            <w:pPr>
              <w:pStyle w:val="TableParagraph"/>
              <w:spacing w:before="2"/>
              <w:ind w:left="110" w:right="120"/>
              <w:rPr>
                <w:sz w:val="22"/>
              </w:rPr>
            </w:pPr>
            <w:r>
              <w:rPr>
                <w:sz w:val="22"/>
              </w:rPr>
              <w:t>Improved engagement with local EMAS team and Divisional General Manager. Assurance reporting to Quality Performance and Finance Committee, EMAS Quality Assurance Group and A&amp;E Delivery Board. Local initiatives in place to reduce patient conveyance which is mapped to the A&amp;E delivery board transformation</w:t>
            </w:r>
            <w:r>
              <w:rPr>
                <w:spacing w:val="-5"/>
                <w:sz w:val="22"/>
              </w:rPr>
              <w:t> </w:t>
            </w:r>
            <w:r>
              <w:rPr>
                <w:sz w:val="22"/>
              </w:rPr>
              <w:t>plan.</w:t>
            </w:r>
          </w:p>
        </w:tc>
        <w:tc>
          <w:tcPr>
            <w:tcW w:w="1702" w:type="dxa"/>
          </w:tcPr>
          <w:p>
            <w:pPr>
              <w:pStyle w:val="TableParagraph"/>
              <w:spacing w:before="10"/>
              <w:rPr>
                <w:sz w:val="21"/>
              </w:rPr>
            </w:pPr>
          </w:p>
          <w:p>
            <w:pPr>
              <w:pStyle w:val="TableParagraph"/>
              <w:ind w:left="378"/>
              <w:rPr>
                <w:sz w:val="22"/>
              </w:rPr>
            </w:pPr>
            <w:r>
              <w:rPr>
                <w:sz w:val="22"/>
              </w:rPr>
              <w:t>4 x 3 = 12</w:t>
            </w:r>
          </w:p>
        </w:tc>
      </w:tr>
      <w:tr>
        <w:trPr>
          <w:trHeight w:val="3678" w:hRule="atLeast"/>
        </w:trPr>
        <w:tc>
          <w:tcPr>
            <w:tcW w:w="2803" w:type="dxa"/>
          </w:tcPr>
          <w:p>
            <w:pPr>
              <w:pStyle w:val="TableParagraph"/>
              <w:ind w:left="110" w:right="209" w:firstLine="48"/>
              <w:rPr>
                <w:sz w:val="22"/>
              </w:rPr>
            </w:pPr>
            <w:r>
              <w:rPr>
                <w:sz w:val="22"/>
              </w:rPr>
              <w:t>If the Humber system cannot successful resolve the identified fragile specialties within the Trusts (NLAG &amp; HUTH), the CCG may experience reputational damage as patients need to travel further to access treatment. This may also have a negative impact on patients in terms of accessibility and quality of</w:t>
            </w:r>
            <w:r>
              <w:rPr>
                <w:spacing w:val="1"/>
                <w:sz w:val="22"/>
              </w:rPr>
              <w:t> </w:t>
            </w:r>
            <w:r>
              <w:rPr>
                <w:sz w:val="22"/>
              </w:rPr>
              <w:t>healthcare</w:t>
            </w:r>
          </w:p>
        </w:tc>
        <w:tc>
          <w:tcPr>
            <w:tcW w:w="2549" w:type="dxa"/>
          </w:tcPr>
          <w:p>
            <w:pPr>
              <w:pStyle w:val="TableParagraph"/>
              <w:ind w:left="110" w:right="97"/>
              <w:rPr>
                <w:sz w:val="22"/>
              </w:rPr>
            </w:pPr>
            <w:r>
              <w:rPr>
                <w:sz w:val="22"/>
              </w:rPr>
              <w:t>NLAG Trust plans to address fragile specialties. Humber Acute Services Review (HASR) plans to develop Humber wide options for engagement which will address fragile services as a priority</w:t>
            </w:r>
          </w:p>
        </w:tc>
        <w:tc>
          <w:tcPr>
            <w:tcW w:w="2835" w:type="dxa"/>
          </w:tcPr>
          <w:p>
            <w:pPr>
              <w:pStyle w:val="TableParagraph"/>
              <w:ind w:left="110" w:right="96"/>
              <w:rPr>
                <w:sz w:val="22"/>
              </w:rPr>
            </w:pPr>
            <w:r>
              <w:rPr>
                <w:sz w:val="22"/>
              </w:rPr>
              <w:t>HASR options in development across a range of fragile</w:t>
            </w:r>
            <w:r>
              <w:rPr>
                <w:spacing w:val="-14"/>
                <w:sz w:val="22"/>
              </w:rPr>
              <w:t> </w:t>
            </w:r>
            <w:r>
              <w:rPr>
                <w:sz w:val="22"/>
              </w:rPr>
              <w:t>specialties. To be completed Jan 21 for commencement of public engagement. NLAG Trust plans for outpatient transformation having some impact in reducing referrals and</w:t>
            </w:r>
            <w:r>
              <w:rPr>
                <w:spacing w:val="-15"/>
                <w:sz w:val="22"/>
              </w:rPr>
              <w:t> </w:t>
            </w:r>
            <w:r>
              <w:rPr>
                <w:sz w:val="22"/>
              </w:rPr>
              <w:t>attendances.</w:t>
            </w:r>
          </w:p>
        </w:tc>
        <w:tc>
          <w:tcPr>
            <w:tcW w:w="1702" w:type="dxa"/>
          </w:tcPr>
          <w:p>
            <w:pPr>
              <w:pStyle w:val="TableParagraph"/>
              <w:spacing w:before="10"/>
              <w:rPr>
                <w:sz w:val="21"/>
              </w:rPr>
            </w:pPr>
          </w:p>
          <w:p>
            <w:pPr>
              <w:pStyle w:val="TableParagraph"/>
              <w:ind w:left="378"/>
              <w:rPr>
                <w:sz w:val="22"/>
              </w:rPr>
            </w:pPr>
            <w:r>
              <w:rPr>
                <w:sz w:val="22"/>
              </w:rPr>
              <w:t>4 x 4 = 16</w:t>
            </w:r>
          </w:p>
        </w:tc>
      </w:tr>
    </w:tbl>
    <w:p>
      <w:pPr>
        <w:spacing w:after="0"/>
        <w:rPr>
          <w:sz w:val="22"/>
        </w:rPr>
        <w:sectPr>
          <w:pgSz w:w="11920" w:h="16850"/>
          <w:pgMar w:header="0" w:footer="363" w:top="1400" w:bottom="560" w:left="760" w:right="420"/>
        </w:sectPr>
      </w:pPr>
    </w:p>
    <w:tbl>
      <w:tblPr>
        <w:tblW w:w="0" w:type="auto"/>
        <w:jc w:val="left"/>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3"/>
        <w:gridCol w:w="2549"/>
        <w:gridCol w:w="2835"/>
        <w:gridCol w:w="1702"/>
      </w:tblGrid>
      <w:tr>
        <w:trPr>
          <w:trHeight w:val="6378" w:hRule="atLeast"/>
        </w:trPr>
        <w:tc>
          <w:tcPr>
            <w:tcW w:w="2803" w:type="dxa"/>
          </w:tcPr>
          <w:p>
            <w:pPr>
              <w:pStyle w:val="TableParagraph"/>
              <w:spacing w:before="2"/>
              <w:ind w:left="110" w:right="303" w:firstLine="48"/>
              <w:rPr>
                <w:sz w:val="22"/>
              </w:rPr>
            </w:pPr>
            <w:r>
              <w:rPr>
                <w:sz w:val="22"/>
              </w:rPr>
              <w:t>Risk of delivery of the CCG and HC&amp;V finance performance targets in 2021/22 due to:</w:t>
            </w:r>
          </w:p>
          <w:p>
            <w:pPr>
              <w:pStyle w:val="TableParagraph"/>
              <w:spacing w:before="9"/>
              <w:rPr>
                <w:sz w:val="21"/>
              </w:rPr>
            </w:pPr>
          </w:p>
          <w:p>
            <w:pPr>
              <w:pStyle w:val="TableParagraph"/>
              <w:numPr>
                <w:ilvl w:val="0"/>
                <w:numId w:val="14"/>
              </w:numPr>
              <w:tabs>
                <w:tab w:pos="370" w:val="left" w:leader="none"/>
              </w:tabs>
              <w:spacing w:line="240" w:lineRule="auto" w:before="0" w:after="0"/>
              <w:ind w:left="109" w:right="503" w:firstLine="0"/>
              <w:jc w:val="left"/>
              <w:rPr>
                <w:sz w:val="22"/>
              </w:rPr>
            </w:pPr>
            <w:r>
              <w:rPr>
                <w:sz w:val="22"/>
              </w:rPr>
              <w:t>Affordability of Hospital Discharge programme, excess of planned costs vs allocation.</w:t>
            </w:r>
          </w:p>
          <w:p>
            <w:pPr>
              <w:pStyle w:val="TableParagraph"/>
              <w:numPr>
                <w:ilvl w:val="0"/>
                <w:numId w:val="14"/>
              </w:numPr>
              <w:tabs>
                <w:tab w:pos="369" w:val="left" w:leader="none"/>
              </w:tabs>
              <w:spacing w:line="240" w:lineRule="auto" w:before="0" w:after="0"/>
              <w:ind w:left="109" w:right="228" w:firstLine="0"/>
              <w:jc w:val="left"/>
              <w:rPr>
                <w:sz w:val="22"/>
              </w:rPr>
            </w:pPr>
            <w:r>
              <w:rPr>
                <w:sz w:val="22"/>
              </w:rPr>
              <w:t>Delivery of ERF baseline, risk that income doesn't cover Independent sector</w:t>
            </w:r>
            <w:r>
              <w:rPr>
                <w:spacing w:val="-15"/>
                <w:sz w:val="22"/>
              </w:rPr>
              <w:t> </w:t>
            </w:r>
            <w:r>
              <w:rPr>
                <w:sz w:val="22"/>
              </w:rPr>
              <w:t>costs</w:t>
            </w:r>
          </w:p>
          <w:p>
            <w:pPr>
              <w:pStyle w:val="TableParagraph"/>
              <w:numPr>
                <w:ilvl w:val="0"/>
                <w:numId w:val="14"/>
              </w:numPr>
              <w:tabs>
                <w:tab w:pos="369" w:val="left" w:leader="none"/>
              </w:tabs>
              <w:spacing w:line="240" w:lineRule="auto" w:before="0" w:after="0"/>
              <w:ind w:left="109" w:right="346" w:firstLine="0"/>
              <w:jc w:val="left"/>
              <w:rPr>
                <w:sz w:val="22"/>
              </w:rPr>
            </w:pPr>
            <w:r>
              <w:rPr>
                <w:sz w:val="22"/>
              </w:rPr>
              <w:t>Significant non recurrent resource raising </w:t>
            </w:r>
            <w:r>
              <w:rPr>
                <w:spacing w:val="-2"/>
                <w:sz w:val="22"/>
              </w:rPr>
              <w:t>expectation/requirement </w:t>
            </w:r>
            <w:r>
              <w:rPr>
                <w:sz w:val="22"/>
              </w:rPr>
              <w:t>for recurrent</w:t>
            </w:r>
            <w:r>
              <w:rPr>
                <w:spacing w:val="-19"/>
                <w:sz w:val="22"/>
              </w:rPr>
              <w:t> </w:t>
            </w:r>
            <w:r>
              <w:rPr>
                <w:sz w:val="22"/>
              </w:rPr>
              <w:t>investment</w:t>
            </w:r>
          </w:p>
          <w:p>
            <w:pPr>
              <w:pStyle w:val="TableParagraph"/>
              <w:numPr>
                <w:ilvl w:val="0"/>
                <w:numId w:val="14"/>
              </w:numPr>
              <w:tabs>
                <w:tab w:pos="369" w:val="left" w:leader="none"/>
              </w:tabs>
              <w:spacing w:line="240" w:lineRule="auto" w:before="0" w:after="0"/>
              <w:ind w:left="109" w:right="721" w:firstLine="0"/>
              <w:jc w:val="left"/>
              <w:rPr>
                <w:sz w:val="22"/>
              </w:rPr>
            </w:pPr>
            <w:r>
              <w:rPr>
                <w:sz w:val="22"/>
              </w:rPr>
              <w:t>Complexity of the financial</w:t>
            </w:r>
            <w:r>
              <w:rPr>
                <w:spacing w:val="-1"/>
                <w:sz w:val="22"/>
              </w:rPr>
              <w:t> </w:t>
            </w:r>
            <w:r>
              <w:rPr>
                <w:sz w:val="22"/>
              </w:rPr>
              <w:t>regime</w:t>
            </w:r>
          </w:p>
          <w:p>
            <w:pPr>
              <w:pStyle w:val="TableParagraph"/>
              <w:numPr>
                <w:ilvl w:val="0"/>
                <w:numId w:val="14"/>
              </w:numPr>
              <w:tabs>
                <w:tab w:pos="369" w:val="left" w:leader="none"/>
              </w:tabs>
              <w:spacing w:line="240" w:lineRule="auto" w:before="0" w:after="0"/>
              <w:ind w:left="108" w:right="380" w:firstLine="0"/>
              <w:jc w:val="left"/>
              <w:rPr>
                <w:sz w:val="22"/>
              </w:rPr>
            </w:pPr>
            <w:r>
              <w:rPr>
                <w:sz w:val="22"/>
              </w:rPr>
              <w:t>System allocations and funding arrangements unknown for</w:t>
            </w:r>
            <w:r>
              <w:rPr>
                <w:spacing w:val="-2"/>
                <w:sz w:val="22"/>
              </w:rPr>
              <w:t> </w:t>
            </w:r>
            <w:r>
              <w:rPr>
                <w:sz w:val="22"/>
              </w:rPr>
              <w:t>H2</w:t>
            </w:r>
          </w:p>
        </w:tc>
        <w:tc>
          <w:tcPr>
            <w:tcW w:w="2549" w:type="dxa"/>
          </w:tcPr>
          <w:p>
            <w:pPr>
              <w:pStyle w:val="TableParagraph"/>
              <w:spacing w:before="2"/>
              <w:ind w:left="110" w:right="489"/>
              <w:rPr>
                <w:sz w:val="22"/>
              </w:rPr>
            </w:pPr>
            <w:r>
              <w:rPr>
                <w:sz w:val="22"/>
              </w:rPr>
              <w:t>Understand exit run rate</w:t>
            </w:r>
          </w:p>
          <w:p>
            <w:pPr>
              <w:pStyle w:val="TableParagraph"/>
              <w:spacing w:before="8"/>
              <w:rPr>
                <w:sz w:val="21"/>
              </w:rPr>
            </w:pPr>
          </w:p>
          <w:p>
            <w:pPr>
              <w:pStyle w:val="TableParagraph"/>
              <w:spacing w:before="1"/>
              <w:ind w:left="110" w:right="158"/>
              <w:rPr>
                <w:sz w:val="22"/>
              </w:rPr>
            </w:pPr>
            <w:r>
              <w:rPr>
                <w:sz w:val="22"/>
              </w:rPr>
              <w:t>Strong financial governance to manage discretionary spend</w:t>
            </w:r>
          </w:p>
          <w:p>
            <w:pPr>
              <w:pStyle w:val="TableParagraph"/>
              <w:rPr>
                <w:sz w:val="22"/>
              </w:rPr>
            </w:pPr>
          </w:p>
          <w:p>
            <w:pPr>
              <w:pStyle w:val="TableParagraph"/>
              <w:ind w:left="110" w:right="207"/>
              <w:rPr>
                <w:sz w:val="22"/>
              </w:rPr>
            </w:pPr>
            <w:r>
              <w:rPr>
                <w:sz w:val="22"/>
              </w:rPr>
              <w:t>Agree principles within the ICS to outline how we will work together (Financial Framework)</w:t>
            </w:r>
          </w:p>
          <w:p>
            <w:pPr>
              <w:pStyle w:val="TableParagraph"/>
              <w:rPr>
                <w:sz w:val="22"/>
              </w:rPr>
            </w:pPr>
          </w:p>
          <w:p>
            <w:pPr>
              <w:pStyle w:val="TableParagraph"/>
              <w:ind w:left="110" w:right="306"/>
              <w:rPr>
                <w:sz w:val="22"/>
              </w:rPr>
            </w:pPr>
            <w:r>
              <w:rPr>
                <w:sz w:val="22"/>
              </w:rPr>
              <w:t>Agree ERF risk share approach</w:t>
            </w:r>
          </w:p>
          <w:p>
            <w:pPr>
              <w:pStyle w:val="TableParagraph"/>
              <w:spacing w:before="2"/>
              <w:rPr>
                <w:sz w:val="22"/>
              </w:rPr>
            </w:pPr>
          </w:p>
          <w:p>
            <w:pPr>
              <w:pStyle w:val="TableParagraph"/>
              <w:ind w:left="110" w:right="232"/>
              <w:rPr>
                <w:sz w:val="22"/>
              </w:rPr>
            </w:pPr>
            <w:r>
              <w:rPr>
                <w:sz w:val="22"/>
              </w:rPr>
              <w:t>Financial risk to be understood across the organisation and system and reported monthly</w:t>
            </w:r>
          </w:p>
        </w:tc>
        <w:tc>
          <w:tcPr>
            <w:tcW w:w="2835" w:type="dxa"/>
          </w:tcPr>
          <w:p>
            <w:pPr>
              <w:pStyle w:val="TableParagraph"/>
              <w:spacing w:before="2"/>
              <w:ind w:left="110" w:right="175"/>
              <w:jc w:val="both"/>
              <w:rPr>
                <w:sz w:val="22"/>
              </w:rPr>
            </w:pPr>
            <w:r>
              <w:rPr>
                <w:sz w:val="22"/>
              </w:rPr>
              <w:t>Monthly reports to QP&amp;F, Governing Body and NHS England (non ISFE).</w:t>
            </w:r>
          </w:p>
          <w:p>
            <w:pPr>
              <w:pStyle w:val="TableParagraph"/>
              <w:spacing w:before="10"/>
              <w:rPr>
                <w:sz w:val="21"/>
              </w:rPr>
            </w:pPr>
          </w:p>
          <w:p>
            <w:pPr>
              <w:pStyle w:val="TableParagraph"/>
              <w:ind w:left="110" w:right="298"/>
              <w:rPr>
                <w:sz w:val="22"/>
              </w:rPr>
            </w:pPr>
            <w:r>
              <w:rPr>
                <w:sz w:val="22"/>
              </w:rPr>
              <w:t>Monthly ICS meetings to look at the system wide position.</w:t>
            </w:r>
          </w:p>
        </w:tc>
        <w:tc>
          <w:tcPr>
            <w:tcW w:w="1702" w:type="dxa"/>
          </w:tcPr>
          <w:p>
            <w:pPr>
              <w:pStyle w:val="TableParagraph"/>
              <w:spacing w:before="10"/>
              <w:rPr>
                <w:sz w:val="21"/>
              </w:rPr>
            </w:pPr>
          </w:p>
          <w:p>
            <w:pPr>
              <w:pStyle w:val="TableParagraph"/>
              <w:ind w:left="378"/>
              <w:rPr>
                <w:sz w:val="22"/>
              </w:rPr>
            </w:pPr>
            <w:r>
              <w:rPr>
                <w:sz w:val="22"/>
              </w:rPr>
              <w:t>4 x 3 = 12</w:t>
            </w:r>
          </w:p>
        </w:tc>
      </w:tr>
      <w:tr>
        <w:trPr>
          <w:trHeight w:val="3110" w:hRule="atLeast"/>
        </w:trPr>
        <w:tc>
          <w:tcPr>
            <w:tcW w:w="2803" w:type="dxa"/>
          </w:tcPr>
          <w:p>
            <w:pPr>
              <w:pStyle w:val="TableParagraph"/>
              <w:ind w:left="110" w:right="241"/>
              <w:rPr>
                <w:sz w:val="22"/>
              </w:rPr>
            </w:pPr>
            <w:r>
              <w:rPr>
                <w:sz w:val="22"/>
              </w:rPr>
              <w:t>Requirement for pump priming or additional investment into services prior to the mobilisation of ICB governance arrangements may compromise timely delivery of transformational change, impacting on service capacity and recovery and patient experience.</w:t>
            </w:r>
          </w:p>
        </w:tc>
        <w:tc>
          <w:tcPr>
            <w:tcW w:w="2549" w:type="dxa"/>
          </w:tcPr>
          <w:p>
            <w:pPr>
              <w:pStyle w:val="TableParagraph"/>
              <w:ind w:left="110" w:right="330"/>
              <w:rPr>
                <w:sz w:val="22"/>
              </w:rPr>
            </w:pPr>
            <w:r>
              <w:rPr>
                <w:sz w:val="22"/>
              </w:rPr>
              <w:t>CCG shared understanding of financial risks and impacts of transformational change programmes. Risks identified and managed through Programme reporting and Programme Delivery Group</w:t>
            </w:r>
          </w:p>
        </w:tc>
        <w:tc>
          <w:tcPr>
            <w:tcW w:w="2835" w:type="dxa"/>
          </w:tcPr>
          <w:p>
            <w:pPr>
              <w:pStyle w:val="TableParagraph"/>
              <w:ind w:left="110" w:right="139"/>
              <w:rPr>
                <w:sz w:val="22"/>
              </w:rPr>
            </w:pPr>
            <w:r>
              <w:rPr>
                <w:sz w:val="22"/>
              </w:rPr>
              <w:t>PDG reporting and project risk logs</w:t>
            </w:r>
          </w:p>
        </w:tc>
        <w:tc>
          <w:tcPr>
            <w:tcW w:w="1702" w:type="dxa"/>
          </w:tcPr>
          <w:p>
            <w:pPr>
              <w:pStyle w:val="TableParagraph"/>
              <w:spacing w:before="10"/>
              <w:rPr>
                <w:sz w:val="21"/>
              </w:rPr>
            </w:pPr>
          </w:p>
          <w:p>
            <w:pPr>
              <w:pStyle w:val="TableParagraph"/>
              <w:ind w:left="378"/>
              <w:rPr>
                <w:sz w:val="22"/>
              </w:rPr>
            </w:pPr>
            <w:r>
              <w:rPr>
                <w:sz w:val="22"/>
              </w:rPr>
              <w:t>4 x 3 = 12</w:t>
            </w:r>
          </w:p>
        </w:tc>
      </w:tr>
      <w:tr>
        <w:trPr>
          <w:trHeight w:val="4094" w:hRule="atLeast"/>
        </w:trPr>
        <w:tc>
          <w:tcPr>
            <w:tcW w:w="2803" w:type="dxa"/>
          </w:tcPr>
          <w:p>
            <w:pPr>
              <w:pStyle w:val="TableParagraph"/>
              <w:ind w:left="110" w:right="94"/>
              <w:rPr>
                <w:sz w:val="22"/>
              </w:rPr>
            </w:pPr>
            <w:r>
              <w:rPr>
                <w:sz w:val="22"/>
              </w:rPr>
              <w:t>Information Governance risks due to the inability to be able to access and share information within Share point with other ICS organisations</w:t>
            </w:r>
          </w:p>
        </w:tc>
        <w:tc>
          <w:tcPr>
            <w:tcW w:w="2549" w:type="dxa"/>
          </w:tcPr>
          <w:p>
            <w:pPr>
              <w:pStyle w:val="TableParagraph"/>
              <w:ind w:left="110" w:right="100"/>
              <w:rPr>
                <w:sz w:val="22"/>
              </w:rPr>
            </w:pPr>
            <w:r>
              <w:rPr>
                <w:sz w:val="22"/>
              </w:rPr>
              <w:t>This is being picked up as part of the ICS Digital Transition Group which includes key partners and will help to provide assurance to the exec team once a solution has been established.</w:t>
            </w:r>
          </w:p>
        </w:tc>
        <w:tc>
          <w:tcPr>
            <w:tcW w:w="2835" w:type="dxa"/>
          </w:tcPr>
          <w:p>
            <w:pPr>
              <w:pStyle w:val="TableParagraph"/>
              <w:ind w:left="110" w:right="95"/>
              <w:rPr>
                <w:sz w:val="22"/>
              </w:rPr>
            </w:pPr>
            <w:r>
              <w:rPr>
                <w:sz w:val="22"/>
              </w:rPr>
              <w:t>This is high on the agenda for transition and IG meetings, advice has been sought around the process for a federation between NHS &amp; NLC Teams instances and this is being actively worked on. Exec team within the CCG are regularly updated on the latest developments. We do have a contingency of moving NL staff over to the ICS version of share point model if need</w:t>
            </w:r>
            <w:r>
              <w:rPr>
                <w:spacing w:val="-7"/>
                <w:sz w:val="22"/>
              </w:rPr>
              <w:t> </w:t>
            </w:r>
            <w:r>
              <w:rPr>
                <w:spacing w:val="-3"/>
                <w:sz w:val="22"/>
              </w:rPr>
              <w:t>be.</w:t>
            </w:r>
          </w:p>
        </w:tc>
        <w:tc>
          <w:tcPr>
            <w:tcW w:w="1702" w:type="dxa"/>
          </w:tcPr>
          <w:p>
            <w:pPr>
              <w:pStyle w:val="TableParagraph"/>
              <w:ind w:left="368"/>
              <w:rPr>
                <w:sz w:val="22"/>
              </w:rPr>
            </w:pPr>
            <w:r>
              <w:rPr>
                <w:sz w:val="22"/>
              </w:rPr>
              <w:t>4 x 4 = 16</w:t>
            </w:r>
          </w:p>
        </w:tc>
      </w:tr>
    </w:tbl>
    <w:p>
      <w:pPr>
        <w:pStyle w:val="BodyText"/>
        <w:rPr>
          <w:sz w:val="14"/>
        </w:rPr>
      </w:pPr>
    </w:p>
    <w:p>
      <w:pPr>
        <w:pStyle w:val="BodyText"/>
        <w:spacing w:before="94"/>
        <w:ind w:left="680" w:right="941" w:hanging="1"/>
      </w:pPr>
      <w:r>
        <w:rPr/>
        <w:t>Note: Covid-19 continued to be identified as an ongoing risk for the CCG throughout 2021-22. The CCG was an active member of the Humber area major incident arrangements, with</w:t>
      </w:r>
    </w:p>
    <w:p>
      <w:pPr>
        <w:spacing w:after="0"/>
        <w:sectPr>
          <w:pgSz w:w="11920" w:h="16850"/>
          <w:pgMar w:header="0" w:footer="363" w:top="1400" w:bottom="560" w:left="760" w:right="420"/>
        </w:sectPr>
      </w:pPr>
    </w:p>
    <w:p>
      <w:pPr>
        <w:pStyle w:val="BodyText"/>
        <w:spacing w:before="81"/>
        <w:ind w:left="679" w:right="721"/>
      </w:pPr>
      <w:r>
        <w:rPr/>
        <w:t>executive director representation at the Strategic Co-ordinating Group meetings and </w:t>
      </w:r>
      <w:r>
        <w:rPr>
          <w:spacing w:val="-4"/>
        </w:rPr>
        <w:t>senior </w:t>
      </w:r>
      <w:r>
        <w:rPr/>
        <w:t>officer representation at the Tactical Co-ordinating Group meetings led by the Local Resilience Forum. In addition, the </w:t>
      </w:r>
      <w:r>
        <w:rPr>
          <w:spacing w:val="-4"/>
        </w:rPr>
        <w:t>CCG </w:t>
      </w:r>
      <w:r>
        <w:rPr/>
        <w:t>enacted its internal major incident and business continuity arrangements,</w:t>
      </w:r>
      <w:r>
        <w:rPr>
          <w:spacing w:val="-10"/>
        </w:rPr>
        <w:t> </w:t>
      </w:r>
      <w:r>
        <w:rPr/>
        <w:t>with</w:t>
      </w:r>
      <w:r>
        <w:rPr>
          <w:spacing w:val="-13"/>
        </w:rPr>
        <w:t> </w:t>
      </w:r>
      <w:r>
        <w:rPr/>
        <w:t>the</w:t>
      </w:r>
      <w:r>
        <w:rPr>
          <w:spacing w:val="-13"/>
        </w:rPr>
        <w:t> </w:t>
      </w:r>
      <w:r>
        <w:rPr/>
        <w:t>CCG’s</w:t>
      </w:r>
      <w:r>
        <w:rPr>
          <w:spacing w:val="-11"/>
        </w:rPr>
        <w:t> </w:t>
      </w:r>
      <w:r>
        <w:rPr/>
        <w:t>Accountable</w:t>
      </w:r>
      <w:r>
        <w:rPr>
          <w:spacing w:val="-14"/>
        </w:rPr>
        <w:t> </w:t>
      </w:r>
      <w:r>
        <w:rPr/>
        <w:t>Officer</w:t>
      </w:r>
      <w:r>
        <w:rPr>
          <w:spacing w:val="-13"/>
        </w:rPr>
        <w:t> </w:t>
      </w:r>
      <w:r>
        <w:rPr/>
        <w:t>chairing</w:t>
      </w:r>
      <w:r>
        <w:rPr>
          <w:spacing w:val="-13"/>
        </w:rPr>
        <w:t> </w:t>
      </w:r>
      <w:r>
        <w:rPr/>
        <w:t>a</w:t>
      </w:r>
      <w:r>
        <w:rPr>
          <w:spacing w:val="-11"/>
        </w:rPr>
        <w:t> </w:t>
      </w:r>
      <w:r>
        <w:rPr/>
        <w:t>health</w:t>
      </w:r>
      <w:r>
        <w:rPr>
          <w:spacing w:val="-13"/>
        </w:rPr>
        <w:t> </w:t>
      </w:r>
      <w:r>
        <w:rPr/>
        <w:t>services</w:t>
      </w:r>
      <w:r>
        <w:rPr>
          <w:spacing w:val="-11"/>
        </w:rPr>
        <w:t> </w:t>
      </w:r>
      <w:r>
        <w:rPr/>
        <w:t>cell</w:t>
      </w:r>
      <w:r>
        <w:rPr>
          <w:spacing w:val="-14"/>
        </w:rPr>
        <w:t> </w:t>
      </w:r>
      <w:r>
        <w:rPr/>
        <w:t>for</w:t>
      </w:r>
      <w:r>
        <w:rPr>
          <w:spacing w:val="-15"/>
        </w:rPr>
        <w:t> </w:t>
      </w:r>
      <w:r>
        <w:rPr/>
        <w:t>the</w:t>
      </w:r>
      <w:r>
        <w:rPr>
          <w:spacing w:val="-11"/>
        </w:rPr>
        <w:t> </w:t>
      </w:r>
      <w:r>
        <w:rPr/>
        <w:t>Humber area, (Health Gold</w:t>
      </w:r>
      <w:r>
        <w:rPr>
          <w:spacing w:val="-15"/>
        </w:rPr>
        <w:t> </w:t>
      </w:r>
      <w:r>
        <w:rPr/>
        <w:t>Command).</w:t>
      </w:r>
    </w:p>
    <w:p>
      <w:pPr>
        <w:pStyle w:val="BodyText"/>
        <w:spacing w:before="7"/>
        <w:rPr>
          <w:sz w:val="21"/>
        </w:rPr>
      </w:pPr>
    </w:p>
    <w:p>
      <w:pPr>
        <w:pStyle w:val="BodyText"/>
        <w:spacing w:before="1"/>
        <w:ind w:left="672" w:right="870" w:firstLine="7"/>
      </w:pPr>
      <w:r>
        <w:rPr/>
        <w:t>The specific risks in relation to the impact of COVID-19 were subject to increased frequency of review in-year and reflected in the CCG’s Strategic and Corporate Risk Registers, as appropriate. Each ‘strategic’ risk is owned by a lead director and is reviewed and updated on a regular basis. The Integrated Audit &amp; Governance Committee reviews the Corporate Risk Register and Strategic Risk Register. The Corporate Risk Register identifies the highest rated and ‘Out of Appetite’ operational risks faced by the CCG. The Governing Body reviews the Strategic Risk Register twice yearly. The Quality, Performance &amp; Finance Committee reviews the Strategic Risk Register quarterly. The Executive Management Group reviews the Strategic Risk Register on a quarterly basis. This gives significant assurance that systems are in place and that there is a clear audit trail.</w:t>
      </w:r>
    </w:p>
    <w:p>
      <w:pPr>
        <w:pStyle w:val="BodyText"/>
      </w:pPr>
    </w:p>
    <w:p>
      <w:pPr>
        <w:pStyle w:val="BodyText"/>
        <w:ind w:left="673" w:right="766" w:firstLine="7"/>
      </w:pPr>
      <w:r>
        <w:rPr/>
        <w:t>A Heads of Service Meeting, with representatives from each directorate, reviews the CCG’s Directorate Risk Registers. This meeting determines where the risks are appropriately assigned and do not overlap, key risks are identified and escalated if appropriate in line with the CCG’s Risk Strategy. Individual Directorate Risk Registers are reviewed at directorate team meetings.</w:t>
      </w:r>
    </w:p>
    <w:p>
      <w:pPr>
        <w:pStyle w:val="BodyText"/>
        <w:spacing w:before="2"/>
      </w:pPr>
    </w:p>
    <w:p>
      <w:pPr>
        <w:pStyle w:val="BodyText"/>
        <w:spacing w:line="237" w:lineRule="auto"/>
        <w:ind w:left="670" w:right="1049" w:firstLine="2"/>
      </w:pPr>
      <w:r>
        <w:rPr/>
        <w:t>The CCG recognises that it remains on a journey of improvement and intends to review, improve and strengthen its approach with a range of improvements as it transforms into the North Lincolnshire Place element of the Humber and North Yorkshire Integrated Care Board. This work will include:</w:t>
      </w:r>
    </w:p>
    <w:p>
      <w:pPr>
        <w:pStyle w:val="BodyText"/>
        <w:rPr>
          <w:sz w:val="23"/>
        </w:rPr>
      </w:pPr>
    </w:p>
    <w:p>
      <w:pPr>
        <w:pStyle w:val="ListParagraph"/>
        <w:numPr>
          <w:ilvl w:val="0"/>
          <w:numId w:val="13"/>
        </w:numPr>
        <w:tabs>
          <w:tab w:pos="1388" w:val="left" w:leader="none"/>
          <w:tab w:pos="1389" w:val="left" w:leader="none"/>
        </w:tabs>
        <w:spacing w:line="235" w:lineRule="auto" w:before="0" w:after="0"/>
        <w:ind w:left="1388" w:right="1316" w:hanging="358"/>
        <w:jc w:val="left"/>
        <w:rPr>
          <w:sz w:val="22"/>
        </w:rPr>
      </w:pPr>
      <w:r>
        <w:rPr>
          <w:sz w:val="22"/>
        </w:rPr>
        <w:t>More emphasis on the effectiveness of risk mitigation plans both at a strategic and operational</w:t>
      </w:r>
      <w:r>
        <w:rPr>
          <w:spacing w:val="-5"/>
          <w:sz w:val="22"/>
        </w:rPr>
        <w:t> </w:t>
      </w:r>
      <w:r>
        <w:rPr>
          <w:sz w:val="22"/>
        </w:rPr>
        <w:t>level</w:t>
      </w:r>
    </w:p>
    <w:p>
      <w:pPr>
        <w:pStyle w:val="ListParagraph"/>
        <w:numPr>
          <w:ilvl w:val="0"/>
          <w:numId w:val="13"/>
        </w:numPr>
        <w:tabs>
          <w:tab w:pos="1388" w:val="left" w:leader="none"/>
          <w:tab w:pos="1389" w:val="left" w:leader="none"/>
        </w:tabs>
        <w:spacing w:line="235" w:lineRule="auto" w:before="2" w:after="0"/>
        <w:ind w:left="1388" w:right="1013" w:hanging="358"/>
        <w:jc w:val="left"/>
        <w:rPr>
          <w:sz w:val="22"/>
        </w:rPr>
      </w:pPr>
      <w:r>
        <w:rPr>
          <w:sz w:val="22"/>
        </w:rPr>
        <w:t>Continued work to further embed risk management in local activities and as a key tool in the strategic leadership of the North Lincolnshire</w:t>
      </w:r>
      <w:r>
        <w:rPr>
          <w:spacing w:val="-7"/>
          <w:sz w:val="22"/>
        </w:rPr>
        <w:t> </w:t>
      </w:r>
      <w:r>
        <w:rPr>
          <w:sz w:val="22"/>
        </w:rPr>
        <w:t>Place.</w:t>
      </w:r>
    </w:p>
    <w:p>
      <w:pPr>
        <w:pStyle w:val="ListParagraph"/>
        <w:numPr>
          <w:ilvl w:val="0"/>
          <w:numId w:val="13"/>
        </w:numPr>
        <w:tabs>
          <w:tab w:pos="1397" w:val="left" w:leader="none"/>
          <w:tab w:pos="1398" w:val="left" w:leader="none"/>
        </w:tabs>
        <w:spacing w:line="235" w:lineRule="auto" w:before="6" w:after="0"/>
        <w:ind w:left="1398" w:right="1371" w:hanging="358"/>
        <w:jc w:val="left"/>
        <w:rPr>
          <w:sz w:val="22"/>
        </w:rPr>
      </w:pPr>
      <w:r>
        <w:rPr>
          <w:sz w:val="22"/>
        </w:rPr>
        <w:t>Provision</w:t>
      </w:r>
      <w:r>
        <w:rPr>
          <w:spacing w:val="-6"/>
          <w:sz w:val="22"/>
        </w:rPr>
        <w:t> </w:t>
      </w:r>
      <w:r>
        <w:rPr>
          <w:sz w:val="22"/>
        </w:rPr>
        <w:t>of</w:t>
      </w:r>
      <w:r>
        <w:rPr>
          <w:spacing w:val="-5"/>
          <w:sz w:val="22"/>
        </w:rPr>
        <w:t> </w:t>
      </w:r>
      <w:r>
        <w:rPr>
          <w:sz w:val="22"/>
        </w:rPr>
        <w:t>more</w:t>
      </w:r>
      <w:r>
        <w:rPr>
          <w:spacing w:val="-9"/>
          <w:sz w:val="22"/>
        </w:rPr>
        <w:t> </w:t>
      </w:r>
      <w:r>
        <w:rPr>
          <w:sz w:val="22"/>
        </w:rPr>
        <w:t>links</w:t>
      </w:r>
      <w:r>
        <w:rPr>
          <w:spacing w:val="-8"/>
          <w:sz w:val="22"/>
        </w:rPr>
        <w:t> </w:t>
      </w:r>
      <w:r>
        <w:rPr>
          <w:sz w:val="22"/>
        </w:rPr>
        <w:t>to</w:t>
      </w:r>
      <w:r>
        <w:rPr>
          <w:spacing w:val="-9"/>
          <w:sz w:val="22"/>
        </w:rPr>
        <w:t> </w:t>
      </w:r>
      <w:r>
        <w:rPr>
          <w:sz w:val="22"/>
        </w:rPr>
        <w:t>strategic</w:t>
      </w:r>
      <w:r>
        <w:rPr>
          <w:spacing w:val="-8"/>
          <w:sz w:val="22"/>
        </w:rPr>
        <w:t> </w:t>
      </w:r>
      <w:r>
        <w:rPr>
          <w:sz w:val="22"/>
        </w:rPr>
        <w:t>risks</w:t>
      </w:r>
      <w:r>
        <w:rPr>
          <w:spacing w:val="-11"/>
          <w:sz w:val="22"/>
        </w:rPr>
        <w:t> </w:t>
      </w:r>
      <w:r>
        <w:rPr>
          <w:sz w:val="22"/>
        </w:rPr>
        <w:t>that</w:t>
      </w:r>
      <w:r>
        <w:rPr>
          <w:spacing w:val="-2"/>
          <w:sz w:val="22"/>
        </w:rPr>
        <w:t> </w:t>
      </w:r>
      <w:r>
        <w:rPr>
          <w:sz w:val="22"/>
        </w:rPr>
        <w:t>identify</w:t>
      </w:r>
      <w:r>
        <w:rPr>
          <w:spacing w:val="-8"/>
          <w:sz w:val="22"/>
        </w:rPr>
        <w:t> </w:t>
      </w:r>
      <w:r>
        <w:rPr>
          <w:sz w:val="22"/>
        </w:rPr>
        <w:t>full</w:t>
      </w:r>
      <w:r>
        <w:rPr>
          <w:spacing w:val="-7"/>
          <w:sz w:val="22"/>
        </w:rPr>
        <w:t> </w:t>
      </w:r>
      <w:r>
        <w:rPr>
          <w:sz w:val="22"/>
        </w:rPr>
        <w:t>range</w:t>
      </w:r>
      <w:r>
        <w:rPr>
          <w:spacing w:val="-9"/>
          <w:sz w:val="22"/>
        </w:rPr>
        <w:t> </w:t>
      </w:r>
      <w:r>
        <w:rPr>
          <w:spacing w:val="-3"/>
          <w:sz w:val="22"/>
        </w:rPr>
        <w:t>of</w:t>
      </w:r>
      <w:r>
        <w:rPr>
          <w:spacing w:val="-6"/>
          <w:sz w:val="22"/>
        </w:rPr>
        <w:t> </w:t>
      </w:r>
      <w:r>
        <w:rPr>
          <w:sz w:val="22"/>
        </w:rPr>
        <w:t>mitigating</w:t>
      </w:r>
      <w:r>
        <w:rPr>
          <w:spacing w:val="-8"/>
          <w:sz w:val="22"/>
        </w:rPr>
        <w:t> </w:t>
      </w:r>
      <w:r>
        <w:rPr>
          <w:sz w:val="22"/>
        </w:rPr>
        <w:t>actions at place in transitioning to the</w:t>
      </w:r>
      <w:r>
        <w:rPr>
          <w:spacing w:val="-17"/>
          <w:sz w:val="22"/>
        </w:rPr>
        <w:t> </w:t>
      </w:r>
      <w:r>
        <w:rPr>
          <w:sz w:val="22"/>
        </w:rPr>
        <w:t>ICB.</w:t>
      </w:r>
    </w:p>
    <w:p>
      <w:pPr>
        <w:pStyle w:val="ListParagraph"/>
        <w:numPr>
          <w:ilvl w:val="0"/>
          <w:numId w:val="13"/>
        </w:numPr>
        <w:tabs>
          <w:tab w:pos="1397" w:val="left" w:leader="none"/>
          <w:tab w:pos="1399" w:val="left" w:leader="none"/>
        </w:tabs>
        <w:spacing w:line="237" w:lineRule="auto" w:before="4" w:after="0"/>
        <w:ind w:left="1398" w:right="1469" w:hanging="361"/>
        <w:jc w:val="left"/>
        <w:rPr>
          <w:sz w:val="22"/>
        </w:rPr>
      </w:pPr>
      <w:r>
        <w:rPr>
          <w:sz w:val="22"/>
        </w:rPr>
        <w:t>A continued focus on partnership risks and in relation to procurement and project initiatives.</w:t>
      </w:r>
    </w:p>
    <w:p>
      <w:pPr>
        <w:pStyle w:val="Heading4"/>
        <w:spacing w:line="600" w:lineRule="auto" w:before="203"/>
        <w:ind w:right="6865"/>
      </w:pPr>
      <w:bookmarkStart w:name="Other sources of assurance Internal Cont" w:id="136"/>
      <w:bookmarkEnd w:id="136"/>
      <w:r>
        <w:rPr>
          <w:b w:val="0"/>
        </w:rPr>
      </w:r>
      <w:r>
        <w:rPr>
          <w:color w:val="365F91"/>
        </w:rPr>
        <w:t>Other sources of assurance Internal Control Framework</w:t>
      </w:r>
    </w:p>
    <w:p>
      <w:pPr>
        <w:pStyle w:val="BodyText"/>
        <w:spacing w:line="197" w:lineRule="exact"/>
        <w:ind w:left="680"/>
      </w:pPr>
      <w:r>
        <w:rPr/>
        <w:t>A system of internal control consists of a set of processes and procedures in the CCG to</w:t>
      </w:r>
    </w:p>
    <w:p>
      <w:pPr>
        <w:pStyle w:val="BodyText"/>
        <w:ind w:left="675" w:right="1140" w:firstLine="2"/>
      </w:pPr>
      <w:r>
        <w:rPr/>
        <w:t>ensure it delivers its policies, aims and objectives. It is designed to identify and prioritise the risks, to evaluate the likelihood of those risks being realised and the impact should they be realised, and to manage them efficiently, effectively and economically.</w:t>
      </w:r>
    </w:p>
    <w:p>
      <w:pPr>
        <w:pStyle w:val="BodyText"/>
        <w:spacing w:before="7"/>
        <w:rPr>
          <w:sz w:val="21"/>
        </w:rPr>
      </w:pPr>
    </w:p>
    <w:p>
      <w:pPr>
        <w:pStyle w:val="BodyText"/>
        <w:ind w:left="677" w:right="1319" w:firstLine="2"/>
        <w:jc w:val="both"/>
      </w:pPr>
      <w:r>
        <w:rPr/>
        <w:t>The system of internal control allows risk to be managed to a reasonable level rather than eliminating all risk; it can therefore only provide reasonable and not absolute assurance of effectiveness.</w:t>
      </w:r>
    </w:p>
    <w:p>
      <w:pPr>
        <w:pStyle w:val="BodyText"/>
      </w:pPr>
    </w:p>
    <w:p>
      <w:pPr>
        <w:pStyle w:val="BodyText"/>
        <w:spacing w:line="250" w:lineRule="exact"/>
        <w:ind w:left="677"/>
      </w:pPr>
      <w:r>
        <w:rPr/>
        <w:t>The system of internal control was based on a process to:</w:t>
      </w:r>
    </w:p>
    <w:p>
      <w:pPr>
        <w:pStyle w:val="ListParagraph"/>
        <w:numPr>
          <w:ilvl w:val="0"/>
          <w:numId w:val="13"/>
        </w:numPr>
        <w:tabs>
          <w:tab w:pos="1397" w:val="left" w:leader="none"/>
          <w:tab w:pos="1398" w:val="left" w:leader="none"/>
        </w:tabs>
        <w:spacing w:line="266" w:lineRule="exact" w:before="0" w:after="0"/>
        <w:ind w:left="1397" w:right="0" w:hanging="363"/>
        <w:jc w:val="left"/>
        <w:rPr>
          <w:sz w:val="22"/>
        </w:rPr>
      </w:pPr>
      <w:r>
        <w:rPr>
          <w:sz w:val="22"/>
        </w:rPr>
        <w:t>Identify and prioritise risks to the achievement </w:t>
      </w:r>
      <w:r>
        <w:rPr>
          <w:spacing w:val="-3"/>
          <w:sz w:val="22"/>
        </w:rPr>
        <w:t>of </w:t>
      </w:r>
      <w:r>
        <w:rPr>
          <w:sz w:val="22"/>
        </w:rPr>
        <w:t>the CCG’s</w:t>
      </w:r>
      <w:r>
        <w:rPr>
          <w:spacing w:val="-30"/>
          <w:sz w:val="22"/>
        </w:rPr>
        <w:t> </w:t>
      </w:r>
      <w:r>
        <w:rPr>
          <w:sz w:val="22"/>
        </w:rPr>
        <w:t>objectives</w:t>
      </w:r>
    </w:p>
    <w:p>
      <w:pPr>
        <w:pStyle w:val="ListParagraph"/>
        <w:numPr>
          <w:ilvl w:val="0"/>
          <w:numId w:val="13"/>
        </w:numPr>
        <w:tabs>
          <w:tab w:pos="1395" w:val="left" w:leader="none"/>
          <w:tab w:pos="1396" w:val="left" w:leader="none"/>
        </w:tabs>
        <w:spacing w:line="269" w:lineRule="exact" w:before="0" w:after="0"/>
        <w:ind w:left="1395" w:right="0" w:hanging="361"/>
        <w:jc w:val="left"/>
        <w:rPr>
          <w:sz w:val="22"/>
        </w:rPr>
      </w:pPr>
      <w:r>
        <w:rPr>
          <w:sz w:val="22"/>
        </w:rPr>
        <w:t>Consider the likelihood of those risks being</w:t>
      </w:r>
      <w:r>
        <w:rPr>
          <w:spacing w:val="-21"/>
          <w:sz w:val="22"/>
        </w:rPr>
        <w:t> </w:t>
      </w:r>
      <w:r>
        <w:rPr>
          <w:sz w:val="22"/>
        </w:rPr>
        <w:t>realised</w:t>
      </w:r>
    </w:p>
    <w:p>
      <w:pPr>
        <w:pStyle w:val="ListParagraph"/>
        <w:numPr>
          <w:ilvl w:val="0"/>
          <w:numId w:val="13"/>
        </w:numPr>
        <w:tabs>
          <w:tab w:pos="1395" w:val="left" w:leader="none"/>
          <w:tab w:pos="1396" w:val="left" w:leader="none"/>
        </w:tabs>
        <w:spacing w:line="269" w:lineRule="exact" w:before="0" w:after="0"/>
        <w:ind w:left="1395" w:right="0" w:hanging="361"/>
        <w:jc w:val="left"/>
        <w:rPr>
          <w:sz w:val="22"/>
        </w:rPr>
      </w:pPr>
      <w:r>
        <w:rPr>
          <w:sz w:val="22"/>
        </w:rPr>
        <w:t>Measure the impact should they be</w:t>
      </w:r>
      <w:r>
        <w:rPr>
          <w:spacing w:val="-13"/>
          <w:sz w:val="22"/>
        </w:rPr>
        <w:t> </w:t>
      </w:r>
      <w:r>
        <w:rPr>
          <w:sz w:val="22"/>
        </w:rPr>
        <w:t>realised</w:t>
      </w:r>
    </w:p>
    <w:p>
      <w:pPr>
        <w:pStyle w:val="ListParagraph"/>
        <w:numPr>
          <w:ilvl w:val="0"/>
          <w:numId w:val="13"/>
        </w:numPr>
        <w:tabs>
          <w:tab w:pos="1395" w:val="left" w:leader="none"/>
          <w:tab w:pos="1396" w:val="left" w:leader="none"/>
        </w:tabs>
        <w:spacing w:line="269" w:lineRule="exact" w:before="0" w:after="0"/>
        <w:ind w:left="1395" w:right="0" w:hanging="363"/>
        <w:jc w:val="left"/>
        <w:rPr>
          <w:sz w:val="22"/>
        </w:rPr>
      </w:pPr>
      <w:r>
        <w:rPr>
          <w:sz w:val="22"/>
        </w:rPr>
        <w:t>Manage them</w:t>
      </w:r>
      <w:r>
        <w:rPr>
          <w:spacing w:val="-3"/>
          <w:sz w:val="22"/>
        </w:rPr>
        <w:t> </w:t>
      </w:r>
      <w:r>
        <w:rPr>
          <w:sz w:val="22"/>
        </w:rPr>
        <w:t>effectively</w:t>
      </w:r>
    </w:p>
    <w:p>
      <w:pPr>
        <w:spacing w:after="0" w:line="269" w:lineRule="exact"/>
        <w:jc w:val="left"/>
        <w:rPr>
          <w:sz w:val="22"/>
        </w:rPr>
        <w:sectPr>
          <w:pgSz w:w="11920" w:h="16850"/>
          <w:pgMar w:header="0" w:footer="363" w:top="1320" w:bottom="640" w:left="760" w:right="420"/>
        </w:sectPr>
      </w:pPr>
    </w:p>
    <w:p>
      <w:pPr>
        <w:pStyle w:val="BodyText"/>
        <w:spacing w:before="81"/>
        <w:ind w:left="680" w:right="1835" w:hanging="1"/>
      </w:pPr>
      <w:r>
        <w:rPr/>
        <w:t>The CCG’s system of internal control has been in place for the year up to 31 March 2022 and up to the date of the approval of the Annual Report and Accounts.</w:t>
      </w:r>
    </w:p>
    <w:p>
      <w:pPr>
        <w:pStyle w:val="BodyText"/>
        <w:spacing w:before="8"/>
        <w:rPr>
          <w:sz w:val="21"/>
        </w:rPr>
      </w:pPr>
    </w:p>
    <w:p>
      <w:pPr>
        <w:pStyle w:val="BodyText"/>
        <w:ind w:left="677" w:right="1592"/>
      </w:pPr>
      <w:r>
        <w:rPr/>
        <w:t>Underpinning the prime financial policies, the CCG has detailed financial policies and a supporting Scheme of Delegation.</w:t>
      </w:r>
    </w:p>
    <w:p>
      <w:pPr>
        <w:pStyle w:val="BodyText"/>
        <w:spacing w:before="7"/>
        <w:rPr>
          <w:sz w:val="27"/>
        </w:rPr>
      </w:pPr>
    </w:p>
    <w:p>
      <w:pPr>
        <w:pStyle w:val="Heading4"/>
      </w:pPr>
      <w:bookmarkStart w:name="Annual audit of conflicts of interest ma" w:id="137"/>
      <w:bookmarkEnd w:id="137"/>
      <w:r>
        <w:rPr>
          <w:b w:val="0"/>
        </w:rPr>
      </w:r>
      <w:r>
        <w:rPr>
          <w:color w:val="365F91"/>
        </w:rPr>
        <w:t>Annual audit of conflicts of interest management</w:t>
      </w:r>
    </w:p>
    <w:p>
      <w:pPr>
        <w:pStyle w:val="BodyText"/>
        <w:spacing w:before="3"/>
        <w:rPr>
          <w:b/>
          <w:sz w:val="31"/>
        </w:rPr>
      </w:pPr>
    </w:p>
    <w:p>
      <w:pPr>
        <w:pStyle w:val="BodyText"/>
        <w:ind w:left="675" w:right="799" w:firstLine="4"/>
      </w:pPr>
      <w:r>
        <w:rPr/>
        <w:t>The revised statutory guidance on managing conflicts of interest for CCGs (published in June 2017) requires CCGs to undertake an annual internal audit of conflicts of interest management. To support the CCGs undertaking this task, NHS England has published a template audit framework.</w:t>
      </w:r>
    </w:p>
    <w:p>
      <w:pPr>
        <w:pStyle w:val="BodyText"/>
      </w:pPr>
    </w:p>
    <w:p>
      <w:pPr>
        <w:pStyle w:val="BodyText"/>
        <w:ind w:left="677" w:right="1101" w:firstLine="2"/>
      </w:pPr>
      <w:r>
        <w:rPr/>
        <w:t>Audit Yorkshire carried out an annual audit of conflicts of interest and the CCG has received high assurance. The audit report made some minor recommendations around noting when conflicts are notified at meetings and how these are recorded in line with current NHSE guidelines. These points have been addressed.</w:t>
      </w:r>
    </w:p>
    <w:p>
      <w:pPr>
        <w:pStyle w:val="BodyText"/>
      </w:pPr>
    </w:p>
    <w:p>
      <w:pPr>
        <w:pStyle w:val="BodyText"/>
        <w:spacing w:line="276" w:lineRule="auto"/>
        <w:ind w:left="677" w:right="3190"/>
      </w:pPr>
      <w:r>
        <w:rPr/>
        <w:t>A link to the CCG’s register of interests for the reader is provided here: </w:t>
      </w:r>
      <w:hyperlink r:id="rId25">
        <w:r>
          <w:rPr>
            <w:color w:val="0000FF"/>
            <w:u w:val="single" w:color="0000FF"/>
          </w:rPr>
          <w:t>https://northlincolnshireccg.nhs.uk/publications/lists-and-</w:t>
        </w:r>
      </w:hyperlink>
      <w:hyperlink r:id="rId25">
        <w:r>
          <w:rPr>
            <w:color w:val="0000FF"/>
            <w:u w:val="single" w:color="0000FF"/>
          </w:rPr>
          <w:t>registers/</w:t>
        </w:r>
      </w:hyperlink>
    </w:p>
    <w:p>
      <w:pPr>
        <w:pStyle w:val="BodyText"/>
        <w:spacing w:before="3"/>
        <w:rPr>
          <w:sz w:val="17"/>
        </w:rPr>
      </w:pPr>
    </w:p>
    <w:p>
      <w:pPr>
        <w:pStyle w:val="BodyText"/>
        <w:spacing w:before="94"/>
        <w:ind w:left="680" w:right="941"/>
      </w:pPr>
      <w:r>
        <w:rPr/>
        <w:t>Although the NHS England quarterly data collection on conflicts of interest by was stopped in the light of Covid-19 pandemic the obligations, the requirement on CCGs to manage conflicts, including the training elements, remains in place.</w:t>
      </w:r>
    </w:p>
    <w:p>
      <w:pPr>
        <w:pStyle w:val="Heading4"/>
        <w:spacing w:before="199"/>
      </w:pPr>
      <w:bookmarkStart w:name="Data quality" w:id="138"/>
      <w:bookmarkEnd w:id="138"/>
      <w:r>
        <w:rPr>
          <w:b w:val="0"/>
        </w:rPr>
      </w:r>
      <w:r>
        <w:rPr>
          <w:color w:val="365F91"/>
        </w:rPr>
        <w:t>Data quality</w:t>
      </w:r>
    </w:p>
    <w:p>
      <w:pPr>
        <w:pStyle w:val="BodyText"/>
        <w:rPr>
          <w:b/>
          <w:sz w:val="31"/>
        </w:rPr>
      </w:pPr>
    </w:p>
    <w:p>
      <w:pPr>
        <w:pStyle w:val="BodyText"/>
        <w:ind w:left="670" w:right="866" w:firstLine="9"/>
      </w:pPr>
      <w:r>
        <w:rPr/>
        <w:t>Data was collated and managed by NHS East Riding of Yorkshire Clinical Commissioning Group on behalf of North Lincolnshire CCG. T h is is s o ur c ed from b ot h national and local sources and forms part of the material routinely considered at the Governing Body, its committees and the Council of Members. Where possible, the data are triangulated from national systems and alternative sources to ensure accuracy. NHS East Riding of Yorkshire Clinical Commissioning Group had in place internal procedures and controls in order to ensure data presented was of the best quality possible. Any data issues noted in source data is reviewed and identified with the source provider.</w:t>
      </w:r>
    </w:p>
    <w:p>
      <w:pPr>
        <w:pStyle w:val="BodyText"/>
      </w:pPr>
    </w:p>
    <w:p>
      <w:pPr>
        <w:pStyle w:val="BodyText"/>
        <w:spacing w:before="1"/>
        <w:ind w:left="668" w:right="1883"/>
      </w:pPr>
      <w:r>
        <w:rPr/>
        <w:t>Should data issues arise resulting from internal processes, a route cause analysis is undertaken, corrective actions put in place and ongoing learning identified.</w:t>
      </w:r>
    </w:p>
    <w:p>
      <w:pPr>
        <w:pStyle w:val="BodyText"/>
        <w:spacing w:before="11"/>
        <w:rPr>
          <w:sz w:val="21"/>
        </w:rPr>
      </w:pPr>
    </w:p>
    <w:p>
      <w:pPr>
        <w:pStyle w:val="BodyText"/>
        <w:ind w:left="675" w:right="885" w:firstLine="4"/>
      </w:pPr>
      <w:r>
        <w:rPr/>
        <w:t>The Primary Care Commissioning Committee also reviewed the range and quality of data regarding primary care and identified further improvements, and the CCG Governing Body received regular quality and corporate performance reports during the year which were refined following user feedback.</w:t>
      </w:r>
    </w:p>
    <w:p>
      <w:pPr>
        <w:pStyle w:val="BodyText"/>
        <w:rPr>
          <w:sz w:val="24"/>
        </w:rPr>
      </w:pPr>
    </w:p>
    <w:p>
      <w:pPr>
        <w:pStyle w:val="Heading4"/>
        <w:spacing w:before="203"/>
      </w:pPr>
      <w:bookmarkStart w:name="Information Governance" w:id="139"/>
      <w:bookmarkEnd w:id="139"/>
      <w:r>
        <w:rPr>
          <w:b w:val="0"/>
        </w:rPr>
      </w:r>
      <w:r>
        <w:rPr>
          <w:color w:val="365F91"/>
        </w:rPr>
        <w:t>Information Governance</w:t>
      </w:r>
    </w:p>
    <w:p>
      <w:pPr>
        <w:pStyle w:val="BodyText"/>
        <w:spacing w:before="1"/>
        <w:rPr>
          <w:b/>
          <w:sz w:val="31"/>
        </w:rPr>
      </w:pPr>
    </w:p>
    <w:p>
      <w:pPr>
        <w:pStyle w:val="BodyText"/>
        <w:ind w:left="672" w:right="784" w:firstLine="7"/>
      </w:pPr>
      <w:r>
        <w:rPr/>
        <w:t>The NHS Information Governance Framework sets the processes and procedures by which the NHS handles information about patients and employees, in particular personal identifiable information. The NHS Information Governance Framework is supported by an information governance toolkit and the annual submission process provides assurances to the CCG, other organisations and to individuals that personal information is dealt with legally, securely, efficiently and effectively.</w:t>
      </w:r>
    </w:p>
    <w:p>
      <w:pPr>
        <w:spacing w:after="0"/>
        <w:sectPr>
          <w:pgSz w:w="11920" w:h="16850"/>
          <w:pgMar w:header="0" w:footer="363" w:top="1320" w:bottom="640" w:left="760" w:right="420"/>
        </w:sectPr>
      </w:pPr>
    </w:p>
    <w:p>
      <w:pPr>
        <w:pStyle w:val="BodyText"/>
        <w:spacing w:before="81"/>
        <w:ind w:left="672" w:right="1022" w:firstLine="7"/>
      </w:pPr>
      <w:r>
        <w:rPr/>
        <w:t>Data security risks are addressed through mapping all information assets for the CCG, identifying data owners and risk assessing all data flows, in and out, including security during transfers and at rest. The Information Technology environment has also been risk assessed to ensure that adequate security for information on the networks is in place.</w:t>
      </w:r>
    </w:p>
    <w:p>
      <w:pPr>
        <w:pStyle w:val="BodyText"/>
        <w:spacing w:before="8"/>
        <w:rPr>
          <w:sz w:val="21"/>
        </w:rPr>
      </w:pPr>
    </w:p>
    <w:p>
      <w:pPr>
        <w:pStyle w:val="BodyText"/>
        <w:spacing w:before="1"/>
        <w:ind w:left="663" w:right="921" w:firstLine="9"/>
      </w:pPr>
      <w:r>
        <w:rPr/>
        <w:t>North Lincolnshire CCG places high importance on ensuring there are robust information governance systems and processes in place to help protect patient and corporate information. We have an information governance management framework that the CCG applies to the management of all information assets. The framework includes an Information Governance Subgroup which is a subgroup of the Integrated Audit &amp; Governance Committee (IA&amp;GC).</w:t>
      </w:r>
    </w:p>
    <w:p>
      <w:pPr>
        <w:pStyle w:val="BodyText"/>
        <w:spacing w:before="1"/>
      </w:pPr>
    </w:p>
    <w:p>
      <w:pPr>
        <w:pStyle w:val="BodyText"/>
        <w:ind w:left="677" w:right="917" w:firstLine="2"/>
      </w:pPr>
      <w:r>
        <w:rPr/>
        <w:t>The CCG continued to develop information governance processes and procedures in line with the Data Security and Protection Toolkit (DSPT) and Senior Information Risk Officer (SIRO) guidance and ensuring it is embedded amongst CCG staff. The CCG has an appointed Data Protection Officer and Caldicott Guardian.</w:t>
      </w:r>
    </w:p>
    <w:p>
      <w:pPr>
        <w:pStyle w:val="BodyText"/>
      </w:pPr>
    </w:p>
    <w:p>
      <w:pPr>
        <w:pStyle w:val="BodyText"/>
        <w:ind w:left="672" w:right="764" w:firstLine="2"/>
      </w:pPr>
      <w:r>
        <w:rPr/>
        <w:t>The CCG has ensured all qualifying staff members, including board members undertake annual information governance training (Data Security Awareness training Level 1) and have implemented a number of measures to ensure they are aware of their information governance roles and responsibilities.</w:t>
      </w:r>
    </w:p>
    <w:p>
      <w:pPr>
        <w:pStyle w:val="BodyText"/>
        <w:spacing w:before="9"/>
        <w:rPr>
          <w:sz w:val="21"/>
        </w:rPr>
      </w:pPr>
    </w:p>
    <w:p>
      <w:pPr>
        <w:pStyle w:val="BodyText"/>
        <w:ind w:left="667" w:right="817" w:firstLine="2"/>
      </w:pPr>
      <w:r>
        <w:rPr/>
        <w:t>There are policies and processes in place for information incident reporting and investigation of serious incidents.</w:t>
      </w:r>
    </w:p>
    <w:p>
      <w:pPr>
        <w:pStyle w:val="BodyText"/>
        <w:spacing w:before="1"/>
      </w:pPr>
    </w:p>
    <w:p>
      <w:pPr>
        <w:pStyle w:val="BodyText"/>
        <w:spacing w:before="1"/>
        <w:ind w:left="680"/>
      </w:pPr>
      <w:r>
        <w:rPr/>
        <w:t>The following information governance policies were reviewed and updated during 2021-22:</w:t>
      </w:r>
    </w:p>
    <w:p>
      <w:pPr>
        <w:pStyle w:val="BodyText"/>
        <w:spacing w:before="6"/>
        <w:rPr>
          <w:sz w:val="21"/>
        </w:rPr>
      </w:pPr>
    </w:p>
    <w:p>
      <w:pPr>
        <w:pStyle w:val="ListParagraph"/>
        <w:numPr>
          <w:ilvl w:val="0"/>
          <w:numId w:val="13"/>
        </w:numPr>
        <w:tabs>
          <w:tab w:pos="1467" w:val="left" w:leader="none"/>
          <w:tab w:pos="1468" w:val="left" w:leader="none"/>
        </w:tabs>
        <w:spacing w:line="269" w:lineRule="exact" w:before="0" w:after="0"/>
        <w:ind w:left="1467" w:right="0" w:hanging="361"/>
        <w:jc w:val="left"/>
        <w:rPr>
          <w:sz w:val="22"/>
        </w:rPr>
      </w:pPr>
      <w:r>
        <w:rPr>
          <w:sz w:val="22"/>
        </w:rPr>
        <w:t>Acceptable Computer Use</w:t>
      </w:r>
      <w:r>
        <w:rPr>
          <w:spacing w:val="-3"/>
          <w:sz w:val="22"/>
        </w:rPr>
        <w:t> </w:t>
      </w:r>
      <w:r>
        <w:rPr>
          <w:sz w:val="22"/>
        </w:rPr>
        <w:t>Policy</w:t>
      </w:r>
    </w:p>
    <w:p>
      <w:pPr>
        <w:pStyle w:val="ListParagraph"/>
        <w:numPr>
          <w:ilvl w:val="0"/>
          <w:numId w:val="13"/>
        </w:numPr>
        <w:tabs>
          <w:tab w:pos="1467" w:val="left" w:leader="none"/>
          <w:tab w:pos="1468" w:val="left" w:leader="none"/>
        </w:tabs>
        <w:spacing w:line="268" w:lineRule="exact" w:before="0" w:after="0"/>
        <w:ind w:left="1467" w:right="0" w:hanging="361"/>
        <w:jc w:val="left"/>
        <w:rPr>
          <w:sz w:val="22"/>
        </w:rPr>
      </w:pPr>
      <w:r>
        <w:rPr>
          <w:sz w:val="22"/>
        </w:rPr>
        <w:t>Confidentiality Audit</w:t>
      </w:r>
      <w:r>
        <w:rPr>
          <w:spacing w:val="5"/>
          <w:sz w:val="22"/>
        </w:rPr>
        <w:t> </w:t>
      </w:r>
      <w:r>
        <w:rPr>
          <w:sz w:val="22"/>
        </w:rPr>
        <w:t>Policy</w:t>
      </w:r>
    </w:p>
    <w:p>
      <w:pPr>
        <w:pStyle w:val="ListParagraph"/>
        <w:numPr>
          <w:ilvl w:val="0"/>
          <w:numId w:val="13"/>
        </w:numPr>
        <w:tabs>
          <w:tab w:pos="1467" w:val="left" w:leader="none"/>
          <w:tab w:pos="1468" w:val="left" w:leader="none"/>
        </w:tabs>
        <w:spacing w:line="268" w:lineRule="exact" w:before="0" w:after="0"/>
        <w:ind w:left="1467" w:right="0" w:hanging="361"/>
        <w:jc w:val="left"/>
        <w:rPr>
          <w:sz w:val="22"/>
        </w:rPr>
      </w:pPr>
      <w:r>
        <w:rPr>
          <w:sz w:val="22"/>
        </w:rPr>
        <w:t>Confidentiality: Code of Conduct</w:t>
      </w:r>
      <w:r>
        <w:rPr>
          <w:spacing w:val="-44"/>
          <w:sz w:val="22"/>
        </w:rPr>
        <w:t> </w:t>
      </w:r>
      <w:r>
        <w:rPr>
          <w:sz w:val="22"/>
        </w:rPr>
        <w:t>Policy</w:t>
      </w:r>
    </w:p>
    <w:p>
      <w:pPr>
        <w:pStyle w:val="ListParagraph"/>
        <w:numPr>
          <w:ilvl w:val="0"/>
          <w:numId w:val="13"/>
        </w:numPr>
        <w:tabs>
          <w:tab w:pos="1467" w:val="left" w:leader="none"/>
          <w:tab w:pos="1468" w:val="left" w:leader="none"/>
        </w:tabs>
        <w:spacing w:line="269" w:lineRule="exact" w:before="0" w:after="0"/>
        <w:ind w:left="1467" w:right="0" w:hanging="361"/>
        <w:jc w:val="left"/>
        <w:rPr>
          <w:sz w:val="22"/>
        </w:rPr>
      </w:pPr>
      <w:r>
        <w:rPr>
          <w:sz w:val="22"/>
        </w:rPr>
        <w:t>Data Protection &amp; Confidentiality</w:t>
      </w:r>
      <w:r>
        <w:rPr>
          <w:spacing w:val="-43"/>
          <w:sz w:val="22"/>
        </w:rPr>
        <w:t> </w:t>
      </w:r>
      <w:r>
        <w:rPr>
          <w:sz w:val="22"/>
        </w:rPr>
        <w:t>Policy</w:t>
      </w:r>
    </w:p>
    <w:p>
      <w:pPr>
        <w:pStyle w:val="ListParagraph"/>
        <w:numPr>
          <w:ilvl w:val="0"/>
          <w:numId w:val="13"/>
        </w:numPr>
        <w:tabs>
          <w:tab w:pos="1467" w:val="left" w:leader="none"/>
          <w:tab w:pos="1468" w:val="left" w:leader="none"/>
        </w:tabs>
        <w:spacing w:line="269" w:lineRule="exact" w:before="0" w:after="0"/>
        <w:ind w:left="1467" w:right="0" w:hanging="361"/>
        <w:jc w:val="left"/>
        <w:rPr>
          <w:sz w:val="22"/>
        </w:rPr>
      </w:pPr>
      <w:r>
        <w:rPr>
          <w:sz w:val="22"/>
        </w:rPr>
        <w:t>E-Mail Use</w:t>
      </w:r>
      <w:r>
        <w:rPr>
          <w:spacing w:val="-3"/>
          <w:sz w:val="22"/>
        </w:rPr>
        <w:t> </w:t>
      </w:r>
      <w:r>
        <w:rPr>
          <w:sz w:val="22"/>
        </w:rPr>
        <w:t>Policy</w:t>
      </w:r>
    </w:p>
    <w:p>
      <w:pPr>
        <w:pStyle w:val="ListParagraph"/>
        <w:numPr>
          <w:ilvl w:val="0"/>
          <w:numId w:val="13"/>
        </w:numPr>
        <w:tabs>
          <w:tab w:pos="1467" w:val="left" w:leader="none"/>
          <w:tab w:pos="1468" w:val="left" w:leader="none"/>
        </w:tabs>
        <w:spacing w:line="268" w:lineRule="exact" w:before="0" w:after="0"/>
        <w:ind w:left="1467" w:right="0" w:hanging="361"/>
        <w:jc w:val="left"/>
        <w:rPr>
          <w:sz w:val="22"/>
        </w:rPr>
      </w:pPr>
      <w:r>
        <w:rPr>
          <w:sz w:val="22"/>
        </w:rPr>
        <w:t>Information Security Policy</w:t>
      </w:r>
    </w:p>
    <w:p>
      <w:pPr>
        <w:pStyle w:val="ListParagraph"/>
        <w:numPr>
          <w:ilvl w:val="0"/>
          <w:numId w:val="13"/>
        </w:numPr>
        <w:tabs>
          <w:tab w:pos="1467" w:val="left" w:leader="none"/>
          <w:tab w:pos="1468" w:val="left" w:leader="none"/>
        </w:tabs>
        <w:spacing w:line="268" w:lineRule="exact" w:before="0" w:after="0"/>
        <w:ind w:left="1467" w:right="0" w:hanging="361"/>
        <w:jc w:val="left"/>
        <w:rPr>
          <w:sz w:val="22"/>
        </w:rPr>
      </w:pPr>
      <w:r>
        <w:rPr>
          <w:sz w:val="22"/>
        </w:rPr>
        <w:t>Mobile Working Policy</w:t>
      </w:r>
    </w:p>
    <w:p>
      <w:pPr>
        <w:pStyle w:val="ListParagraph"/>
        <w:numPr>
          <w:ilvl w:val="0"/>
          <w:numId w:val="13"/>
        </w:numPr>
        <w:tabs>
          <w:tab w:pos="1467" w:val="left" w:leader="none"/>
          <w:tab w:pos="1468" w:val="left" w:leader="none"/>
        </w:tabs>
        <w:spacing w:line="269" w:lineRule="exact" w:before="0" w:after="0"/>
        <w:ind w:left="1467" w:right="0" w:hanging="361"/>
        <w:jc w:val="left"/>
        <w:rPr>
          <w:sz w:val="22"/>
        </w:rPr>
      </w:pPr>
      <w:r>
        <w:rPr>
          <w:sz w:val="22"/>
        </w:rPr>
        <w:t>Records Management</w:t>
      </w:r>
      <w:r>
        <w:rPr>
          <w:spacing w:val="-5"/>
          <w:sz w:val="22"/>
        </w:rPr>
        <w:t> </w:t>
      </w:r>
      <w:r>
        <w:rPr>
          <w:sz w:val="22"/>
        </w:rPr>
        <w:t>Policy</w:t>
      </w:r>
    </w:p>
    <w:p>
      <w:pPr>
        <w:pStyle w:val="ListParagraph"/>
        <w:numPr>
          <w:ilvl w:val="0"/>
          <w:numId w:val="13"/>
        </w:numPr>
        <w:tabs>
          <w:tab w:pos="1467" w:val="left" w:leader="none"/>
          <w:tab w:pos="1468" w:val="left" w:leader="none"/>
        </w:tabs>
        <w:spacing w:line="269" w:lineRule="exact" w:before="0" w:after="0"/>
        <w:ind w:left="1467" w:right="0" w:hanging="361"/>
        <w:jc w:val="left"/>
        <w:rPr>
          <w:sz w:val="22"/>
        </w:rPr>
      </w:pPr>
      <w:r>
        <w:rPr>
          <w:sz w:val="22"/>
        </w:rPr>
        <w:t>Safe Haven</w:t>
      </w:r>
      <w:r>
        <w:rPr>
          <w:spacing w:val="-2"/>
          <w:sz w:val="22"/>
        </w:rPr>
        <w:t> </w:t>
      </w:r>
      <w:r>
        <w:rPr>
          <w:sz w:val="22"/>
        </w:rPr>
        <w:t>Policy</w:t>
      </w:r>
    </w:p>
    <w:p>
      <w:pPr>
        <w:pStyle w:val="BodyText"/>
        <w:spacing w:before="6"/>
        <w:rPr>
          <w:sz w:val="25"/>
        </w:rPr>
      </w:pPr>
    </w:p>
    <w:p>
      <w:pPr>
        <w:pStyle w:val="BodyText"/>
        <w:ind w:left="677" w:right="1482" w:firstLine="2"/>
      </w:pPr>
      <w:r>
        <w:rPr/>
        <w:t>Processes implemented allow the CCG to fulfil its requirements under the Freedom of Information Act and Data Protection Act relating to the protection, use and processing of Subject Access Requests.</w:t>
      </w:r>
    </w:p>
    <w:p>
      <w:pPr>
        <w:pStyle w:val="BodyText"/>
      </w:pPr>
    </w:p>
    <w:p>
      <w:pPr>
        <w:pStyle w:val="BodyText"/>
        <w:ind w:left="672" w:right="1475" w:firstLine="2"/>
      </w:pPr>
      <w:r>
        <w:rPr/>
        <w:t>The CCG has an incident reporting system for all staff and local general practices that encompasses information governance incidents allowing staff a single point of reporting.</w:t>
      </w:r>
    </w:p>
    <w:p>
      <w:pPr>
        <w:pStyle w:val="BodyText"/>
      </w:pPr>
    </w:p>
    <w:p>
      <w:pPr>
        <w:pStyle w:val="BodyText"/>
        <w:ind w:left="667" w:right="1321" w:firstLine="2"/>
      </w:pPr>
      <w:r>
        <w:rPr/>
        <w:t>The development of policies and the framework has allowed us to achieve a level two compliance with all the relevant information governance toolkit standards. The CCG has a trained Caldicott Guardian in place able to offer expert advice and support.</w:t>
      </w:r>
    </w:p>
    <w:p>
      <w:pPr>
        <w:pStyle w:val="BodyText"/>
        <w:spacing w:before="10"/>
        <w:rPr>
          <w:sz w:val="21"/>
        </w:rPr>
      </w:pPr>
    </w:p>
    <w:p>
      <w:pPr>
        <w:pStyle w:val="BodyText"/>
        <w:ind w:left="675" w:right="1020" w:firstLine="4"/>
      </w:pPr>
      <w:r>
        <w:rPr/>
        <w:t>The CCG has included information risk within the CCG’s Risk Management Policy and has processes in place to identify Information Asset Owners and Controllers. We have processes where the Information Asset Owners assess risks to assets in their areas and report to the SIRO annually.</w:t>
      </w:r>
    </w:p>
    <w:p>
      <w:pPr>
        <w:pStyle w:val="BodyText"/>
        <w:spacing w:before="11"/>
        <w:rPr>
          <w:sz w:val="21"/>
        </w:rPr>
      </w:pPr>
    </w:p>
    <w:p>
      <w:pPr>
        <w:pStyle w:val="BodyText"/>
        <w:ind w:left="670" w:right="1348" w:firstLine="2"/>
      </w:pPr>
      <w:r>
        <w:rPr/>
        <w:t>The  </w:t>
      </w:r>
      <w:r>
        <w:rPr>
          <w:spacing w:val="-3"/>
        </w:rPr>
        <w:t>CCG  </w:t>
      </w:r>
      <w:r>
        <w:rPr/>
        <w:t>uses  an  Integrated  Performance  dashboard  to  summarise  its performance against mandatory information governance requirements. It is reviewed on a regular basis by the </w:t>
      </w:r>
      <w:r>
        <w:rPr>
          <w:spacing w:val="-4"/>
        </w:rPr>
        <w:t>CCG </w:t>
      </w:r>
      <w:r>
        <w:rPr/>
        <w:t>Quality, Performance &amp; Finance</w:t>
      </w:r>
      <w:r>
        <w:rPr>
          <w:spacing w:val="-15"/>
        </w:rPr>
        <w:t> </w:t>
      </w:r>
      <w:r>
        <w:rPr/>
        <w:t>Committee.</w:t>
      </w:r>
    </w:p>
    <w:p>
      <w:pPr>
        <w:spacing w:after="0"/>
        <w:sectPr>
          <w:pgSz w:w="11920" w:h="16850"/>
          <w:pgMar w:header="0" w:footer="363" w:top="1320" w:bottom="640" w:left="760" w:right="420"/>
        </w:sectPr>
      </w:pPr>
    </w:p>
    <w:p>
      <w:pPr>
        <w:pStyle w:val="BodyText"/>
        <w:spacing w:before="81"/>
        <w:ind w:left="675" w:right="749" w:firstLine="4"/>
        <w:jc w:val="both"/>
      </w:pPr>
      <w:r>
        <w:rPr/>
        <w:t>The CCG continues to develop and enhance information risk assessment and management procedures as part of overall risk management and ongoing work is undertaken to fully embed an information risk culture throughout the organisation.</w:t>
      </w:r>
    </w:p>
    <w:p>
      <w:pPr>
        <w:pStyle w:val="BodyText"/>
        <w:spacing w:before="7"/>
        <w:rPr>
          <w:sz w:val="21"/>
        </w:rPr>
      </w:pPr>
    </w:p>
    <w:p>
      <w:pPr>
        <w:pStyle w:val="BodyText"/>
        <w:ind w:left="672" w:right="919"/>
      </w:pPr>
      <w:r>
        <w:rPr/>
        <w:t>NHS Digital have revised the Data Security and Protection Toolkit submission deadline for 2021-22 to June 2022 and the CCG reported substantial compliance against the requirements of the toolkit. The CCG has had no lapses of data security incidents during 2021-22.</w:t>
      </w:r>
    </w:p>
    <w:p>
      <w:pPr>
        <w:pStyle w:val="BodyText"/>
        <w:rPr>
          <w:sz w:val="24"/>
        </w:rPr>
      </w:pPr>
    </w:p>
    <w:p>
      <w:pPr>
        <w:pStyle w:val="Heading4"/>
        <w:spacing w:before="178"/>
      </w:pPr>
      <w:bookmarkStart w:name="Business Critical Models" w:id="140"/>
      <w:bookmarkEnd w:id="140"/>
      <w:r>
        <w:rPr>
          <w:b w:val="0"/>
        </w:rPr>
      </w:r>
      <w:r>
        <w:rPr>
          <w:color w:val="365F91"/>
        </w:rPr>
        <w:t>Business Critical Models</w:t>
      </w:r>
    </w:p>
    <w:p>
      <w:pPr>
        <w:pStyle w:val="BodyText"/>
        <w:spacing w:before="3"/>
        <w:rPr>
          <w:b/>
          <w:sz w:val="31"/>
        </w:rPr>
      </w:pPr>
    </w:p>
    <w:p>
      <w:pPr>
        <w:pStyle w:val="BodyText"/>
        <w:ind w:left="677" w:right="721" w:firstLine="2"/>
      </w:pPr>
      <w:r>
        <w:rPr/>
        <w:t>The</w:t>
      </w:r>
      <w:r>
        <w:rPr>
          <w:spacing w:val="-15"/>
        </w:rPr>
        <w:t> </w:t>
      </w:r>
      <w:r>
        <w:rPr/>
        <w:t>CCG</w:t>
      </w:r>
      <w:r>
        <w:rPr>
          <w:spacing w:val="-19"/>
        </w:rPr>
        <w:t> </w:t>
      </w:r>
      <w:r>
        <w:rPr/>
        <w:t>recognises</w:t>
      </w:r>
      <w:r>
        <w:rPr>
          <w:spacing w:val="-15"/>
        </w:rPr>
        <w:t> </w:t>
      </w:r>
      <w:r>
        <w:rPr/>
        <w:t>the</w:t>
      </w:r>
      <w:r>
        <w:rPr>
          <w:spacing w:val="-23"/>
        </w:rPr>
        <w:t> </w:t>
      </w:r>
      <w:r>
        <w:rPr/>
        <w:t>principles</w:t>
      </w:r>
      <w:r>
        <w:rPr>
          <w:spacing w:val="-13"/>
        </w:rPr>
        <w:t> </w:t>
      </w:r>
      <w:r>
        <w:rPr/>
        <w:t>as</w:t>
      </w:r>
      <w:r>
        <w:rPr>
          <w:spacing w:val="-18"/>
        </w:rPr>
        <w:t> </w:t>
      </w:r>
      <w:r>
        <w:rPr/>
        <w:t>reflected</w:t>
      </w:r>
      <w:r>
        <w:rPr>
          <w:spacing w:val="-16"/>
        </w:rPr>
        <w:t> </w:t>
      </w:r>
      <w:r>
        <w:rPr/>
        <w:t>in</w:t>
      </w:r>
      <w:r>
        <w:rPr>
          <w:spacing w:val="-18"/>
        </w:rPr>
        <w:t> </w:t>
      </w:r>
      <w:r>
        <w:rPr/>
        <w:t>the</w:t>
      </w:r>
      <w:r>
        <w:rPr>
          <w:spacing w:val="-15"/>
        </w:rPr>
        <w:t> </w:t>
      </w:r>
      <w:r>
        <w:rPr/>
        <w:t>Macpherson</w:t>
      </w:r>
      <w:r>
        <w:rPr>
          <w:spacing w:val="-16"/>
        </w:rPr>
        <w:t> </w:t>
      </w:r>
      <w:r>
        <w:rPr/>
        <w:t>Report</w:t>
      </w:r>
      <w:r>
        <w:rPr>
          <w:spacing w:val="-12"/>
        </w:rPr>
        <w:t> </w:t>
      </w:r>
      <w:r>
        <w:rPr/>
        <w:t>as</w:t>
      </w:r>
      <w:r>
        <w:rPr>
          <w:spacing w:val="-13"/>
        </w:rPr>
        <w:t> </w:t>
      </w:r>
      <w:r>
        <w:rPr/>
        <w:t>a</w:t>
      </w:r>
      <w:r>
        <w:rPr>
          <w:spacing w:val="-19"/>
        </w:rPr>
        <w:t> </w:t>
      </w:r>
      <w:r>
        <w:rPr/>
        <w:t>direction</w:t>
      </w:r>
      <w:r>
        <w:rPr>
          <w:spacing w:val="5"/>
        </w:rPr>
        <w:t> </w:t>
      </w:r>
      <w:r>
        <w:rPr>
          <w:spacing w:val="-3"/>
        </w:rPr>
        <w:t>of</w:t>
      </w:r>
      <w:r>
        <w:rPr>
          <w:spacing w:val="3"/>
        </w:rPr>
        <w:t> </w:t>
      </w:r>
      <w:r>
        <w:rPr/>
        <w:t>travel for business modelling in respect of service analysis, planning and</w:t>
      </w:r>
      <w:r>
        <w:rPr>
          <w:spacing w:val="41"/>
        </w:rPr>
        <w:t> </w:t>
      </w:r>
      <w:r>
        <w:rPr/>
        <w:t>delivery.</w:t>
      </w:r>
    </w:p>
    <w:p>
      <w:pPr>
        <w:pStyle w:val="BodyText"/>
        <w:spacing w:before="11"/>
        <w:rPr>
          <w:sz w:val="21"/>
        </w:rPr>
      </w:pPr>
    </w:p>
    <w:p>
      <w:pPr>
        <w:pStyle w:val="BodyText"/>
        <w:ind w:left="667" w:right="760" w:firstLine="7"/>
        <w:jc w:val="both"/>
      </w:pPr>
      <w:r>
        <w:rPr/>
        <w:t>Key business critical models have been identified. In line with the Macpherson report we recognise and have identified that policy simulation (its impact on people and finances), forecasting, financial evaluation, allocation, workforce, procurement and planning are key areas where we use models.</w:t>
      </w:r>
    </w:p>
    <w:p>
      <w:pPr>
        <w:pStyle w:val="BodyText"/>
        <w:spacing w:before="11"/>
        <w:rPr>
          <w:sz w:val="21"/>
        </w:rPr>
      </w:pPr>
    </w:p>
    <w:p>
      <w:pPr>
        <w:pStyle w:val="BodyText"/>
        <w:spacing w:line="251" w:lineRule="exact"/>
        <w:ind w:left="679"/>
      </w:pPr>
      <w:r>
        <w:rPr/>
        <w:t>Current quality assurance systems are in place to manage our business risks including:</w:t>
      </w:r>
    </w:p>
    <w:p>
      <w:pPr>
        <w:pStyle w:val="ListParagraph"/>
        <w:numPr>
          <w:ilvl w:val="0"/>
          <w:numId w:val="13"/>
        </w:numPr>
        <w:tabs>
          <w:tab w:pos="1397" w:val="left" w:leader="none"/>
          <w:tab w:pos="1398" w:val="left" w:leader="none"/>
        </w:tabs>
        <w:spacing w:line="267" w:lineRule="exact" w:before="0" w:after="0"/>
        <w:ind w:left="1397" w:right="0" w:hanging="363"/>
        <w:jc w:val="left"/>
        <w:rPr>
          <w:sz w:val="22"/>
        </w:rPr>
      </w:pPr>
      <w:r>
        <w:rPr>
          <w:sz w:val="22"/>
        </w:rPr>
        <w:t>Business Intelligence reporting/financial</w:t>
      </w:r>
      <w:r>
        <w:rPr>
          <w:spacing w:val="-7"/>
          <w:sz w:val="22"/>
        </w:rPr>
        <w:t> </w:t>
      </w:r>
      <w:r>
        <w:rPr>
          <w:sz w:val="22"/>
        </w:rPr>
        <w:t>reporting</w:t>
      </w:r>
    </w:p>
    <w:p>
      <w:pPr>
        <w:pStyle w:val="ListParagraph"/>
        <w:numPr>
          <w:ilvl w:val="0"/>
          <w:numId w:val="13"/>
        </w:numPr>
        <w:tabs>
          <w:tab w:pos="1395" w:val="left" w:leader="none"/>
          <w:tab w:pos="1396" w:val="left" w:leader="none"/>
        </w:tabs>
        <w:spacing w:line="268" w:lineRule="exact" w:before="0" w:after="0"/>
        <w:ind w:left="1395" w:right="0" w:hanging="361"/>
        <w:jc w:val="left"/>
        <w:rPr>
          <w:sz w:val="22"/>
        </w:rPr>
      </w:pPr>
      <w:r>
        <w:rPr>
          <w:sz w:val="22"/>
        </w:rPr>
        <w:t>Customer feedback (e.g. patient</w:t>
      </w:r>
      <w:r>
        <w:rPr>
          <w:spacing w:val="-9"/>
          <w:sz w:val="22"/>
        </w:rPr>
        <w:t> </w:t>
      </w:r>
      <w:r>
        <w:rPr>
          <w:sz w:val="22"/>
        </w:rPr>
        <w:t>complaints)</w:t>
      </w:r>
    </w:p>
    <w:p>
      <w:pPr>
        <w:pStyle w:val="ListParagraph"/>
        <w:numPr>
          <w:ilvl w:val="0"/>
          <w:numId w:val="13"/>
        </w:numPr>
        <w:tabs>
          <w:tab w:pos="1395" w:val="left" w:leader="none"/>
          <w:tab w:pos="1396" w:val="left" w:leader="none"/>
        </w:tabs>
        <w:spacing w:line="268" w:lineRule="exact" w:before="0" w:after="0"/>
        <w:ind w:left="1395" w:right="0" w:hanging="363"/>
        <w:jc w:val="left"/>
        <w:rPr>
          <w:sz w:val="22"/>
        </w:rPr>
      </w:pPr>
      <w:r>
        <w:rPr>
          <w:sz w:val="22"/>
        </w:rPr>
        <w:t>Risk assessment (including risk registers and an assurance</w:t>
      </w:r>
      <w:r>
        <w:rPr>
          <w:spacing w:val="-30"/>
          <w:sz w:val="22"/>
        </w:rPr>
        <w:t> </w:t>
      </w:r>
      <w:r>
        <w:rPr>
          <w:sz w:val="22"/>
        </w:rPr>
        <w:t>framework)</w:t>
      </w:r>
    </w:p>
    <w:p>
      <w:pPr>
        <w:pStyle w:val="ListParagraph"/>
        <w:numPr>
          <w:ilvl w:val="0"/>
          <w:numId w:val="13"/>
        </w:numPr>
        <w:tabs>
          <w:tab w:pos="1393" w:val="left" w:leader="none"/>
          <w:tab w:pos="1394" w:val="left" w:leader="none"/>
        </w:tabs>
        <w:spacing w:line="269" w:lineRule="exact" w:before="0" w:after="0"/>
        <w:ind w:left="1393" w:right="0" w:hanging="361"/>
        <w:jc w:val="left"/>
        <w:rPr>
          <w:sz w:val="22"/>
        </w:rPr>
      </w:pPr>
      <w:r>
        <w:rPr>
          <w:sz w:val="22"/>
        </w:rPr>
        <w:t>Internal and external</w:t>
      </w:r>
      <w:r>
        <w:rPr>
          <w:spacing w:val="-8"/>
          <w:sz w:val="22"/>
        </w:rPr>
        <w:t> </w:t>
      </w:r>
      <w:r>
        <w:rPr>
          <w:sz w:val="22"/>
        </w:rPr>
        <w:t>Audit</w:t>
      </w:r>
    </w:p>
    <w:p>
      <w:pPr>
        <w:pStyle w:val="ListParagraph"/>
        <w:numPr>
          <w:ilvl w:val="0"/>
          <w:numId w:val="13"/>
        </w:numPr>
        <w:tabs>
          <w:tab w:pos="1393" w:val="left" w:leader="none"/>
          <w:tab w:pos="1394" w:val="left" w:leader="none"/>
        </w:tabs>
        <w:spacing w:line="269" w:lineRule="exact" w:before="0" w:after="0"/>
        <w:ind w:left="1393" w:right="0" w:hanging="361"/>
        <w:jc w:val="left"/>
        <w:rPr>
          <w:sz w:val="22"/>
        </w:rPr>
      </w:pPr>
      <w:r>
        <w:rPr>
          <w:sz w:val="22"/>
        </w:rPr>
        <w:t>Public and Patient Involvement and</w:t>
      </w:r>
      <w:r>
        <w:rPr>
          <w:spacing w:val="-6"/>
          <w:sz w:val="22"/>
        </w:rPr>
        <w:t> </w:t>
      </w:r>
      <w:r>
        <w:rPr>
          <w:sz w:val="22"/>
        </w:rPr>
        <w:t>Engagement</w:t>
      </w:r>
    </w:p>
    <w:p>
      <w:pPr>
        <w:pStyle w:val="ListParagraph"/>
        <w:numPr>
          <w:ilvl w:val="0"/>
          <w:numId w:val="13"/>
        </w:numPr>
        <w:tabs>
          <w:tab w:pos="1393" w:val="left" w:leader="none"/>
          <w:tab w:pos="1394" w:val="left" w:leader="none"/>
        </w:tabs>
        <w:spacing w:line="235" w:lineRule="auto" w:before="8" w:after="0"/>
        <w:ind w:left="1393" w:right="1114" w:hanging="361"/>
        <w:jc w:val="left"/>
        <w:rPr>
          <w:sz w:val="22"/>
        </w:rPr>
      </w:pPr>
      <w:r>
        <w:rPr>
          <w:sz w:val="22"/>
        </w:rPr>
        <w:t>Third Party Assurance mechanisms (Service Auditor reports / NHS England/ EPRR / Business Continuity</w:t>
      </w:r>
      <w:r>
        <w:rPr>
          <w:spacing w:val="-6"/>
          <w:sz w:val="22"/>
        </w:rPr>
        <w:t> </w:t>
      </w:r>
      <w:r>
        <w:rPr>
          <w:sz w:val="22"/>
        </w:rPr>
        <w:t>etc.)</w:t>
      </w:r>
    </w:p>
    <w:p>
      <w:pPr>
        <w:pStyle w:val="BodyText"/>
        <w:spacing w:before="10"/>
        <w:rPr>
          <w:sz w:val="21"/>
        </w:rPr>
      </w:pPr>
    </w:p>
    <w:p>
      <w:pPr>
        <w:pStyle w:val="BodyText"/>
        <w:spacing w:before="1"/>
        <w:ind w:left="671" w:right="1120" w:firstLine="2"/>
      </w:pPr>
      <w:r>
        <w:rPr/>
        <w:t>The CCG can confirm that these quality assurance processes are used across our business critical areas as appropriate.</w:t>
      </w:r>
    </w:p>
    <w:p>
      <w:pPr>
        <w:pStyle w:val="BodyText"/>
        <w:spacing w:before="1"/>
      </w:pPr>
    </w:p>
    <w:p>
      <w:pPr>
        <w:pStyle w:val="BodyText"/>
        <w:ind w:left="676" w:right="892" w:firstLine="4"/>
      </w:pPr>
      <w:r>
        <w:rPr/>
        <w:t>In accordance with Public Sector Internal Audit Standards, the Head of Internal Audit (HoIA) is required to provide an annual opinion, based upon and limited to the work performed on the overall adequacy and effectiveness of the organisation’s risk management, control and governance processes (i.e. the organisation’s system of internal control).</w:t>
      </w:r>
    </w:p>
    <w:p>
      <w:pPr>
        <w:pStyle w:val="BodyText"/>
      </w:pPr>
    </w:p>
    <w:p>
      <w:pPr>
        <w:pStyle w:val="BodyText"/>
        <w:ind w:left="669" w:right="850" w:firstLine="4"/>
      </w:pPr>
      <w:r>
        <w:rPr/>
        <w:t>This is achieved through a risk-based plan of work, agreed with management and approved by the Audit &amp; Integrated Governance Committee, which aims to provide a reasonable level of assurance subject to any inherent limitations.</w:t>
      </w:r>
    </w:p>
    <w:p>
      <w:pPr>
        <w:pStyle w:val="BodyText"/>
      </w:pPr>
    </w:p>
    <w:p>
      <w:pPr>
        <w:pStyle w:val="BodyText"/>
        <w:spacing w:before="1"/>
        <w:ind w:left="678" w:right="1397" w:firstLine="2"/>
      </w:pPr>
      <w:r>
        <w:rPr/>
        <w:t>The He a d of I nt er nal A udit Opinion p r ov i de d includes t hei r opinion on the Assurance Framework, and the risk based audit assignments across the critical business systems to inform the Annual Governance Statement.</w:t>
      </w:r>
    </w:p>
    <w:p>
      <w:pPr>
        <w:pStyle w:val="BodyText"/>
        <w:spacing w:before="11"/>
        <w:rPr>
          <w:sz w:val="21"/>
        </w:rPr>
      </w:pPr>
    </w:p>
    <w:p>
      <w:pPr>
        <w:pStyle w:val="BodyText"/>
        <w:ind w:left="675" w:right="1093" w:firstLine="2"/>
      </w:pPr>
      <w:r>
        <w:rPr/>
        <w:t>The CCG has also conducted an assurance mapping exercise to identify the CCG’s assurance landscape and this continues to be further developed as systems, processes and partner relationships continue to evolve and embed.</w:t>
      </w:r>
    </w:p>
    <w:p>
      <w:pPr>
        <w:pStyle w:val="BodyText"/>
        <w:spacing w:before="9"/>
        <w:rPr>
          <w:sz w:val="21"/>
        </w:rPr>
      </w:pPr>
    </w:p>
    <w:p>
      <w:pPr>
        <w:pStyle w:val="BodyText"/>
        <w:spacing w:before="1"/>
        <w:ind w:left="667" w:right="926" w:firstLine="4"/>
      </w:pPr>
      <w:r>
        <w:rPr/>
        <w:t>The Head of Internal Audit Opinion does not imply  that  Internal  Audit  have reviewed all risks and assurances relating to the organisation. The opinion is substantially derived from the conduct of risk-based plans generated from a robust and organisation-led Assurance Framework. As such, it is one component that the Governing Body takes into account in making its Annual Governance</w:t>
      </w:r>
      <w:r>
        <w:rPr>
          <w:spacing w:val="-12"/>
        </w:rPr>
        <w:t> </w:t>
      </w:r>
      <w:r>
        <w:rPr/>
        <w:t>Statement.</w:t>
      </w:r>
    </w:p>
    <w:p>
      <w:pPr>
        <w:spacing w:after="0"/>
        <w:sectPr>
          <w:pgSz w:w="11920" w:h="16850"/>
          <w:pgMar w:header="0" w:footer="363" w:top="1320" w:bottom="640" w:left="760" w:right="420"/>
        </w:sectPr>
      </w:pPr>
    </w:p>
    <w:p>
      <w:pPr>
        <w:pStyle w:val="Heading4"/>
        <w:spacing w:before="79"/>
      </w:pPr>
      <w:bookmarkStart w:name="Third party assurances" w:id="141"/>
      <w:bookmarkEnd w:id="141"/>
      <w:r>
        <w:rPr>
          <w:b w:val="0"/>
        </w:rPr>
      </w:r>
      <w:r>
        <w:rPr>
          <w:color w:val="365F91"/>
        </w:rPr>
        <w:t>Third party assurances</w:t>
      </w:r>
    </w:p>
    <w:p>
      <w:pPr>
        <w:pStyle w:val="BodyText"/>
        <w:rPr>
          <w:b/>
          <w:sz w:val="31"/>
        </w:rPr>
      </w:pPr>
    </w:p>
    <w:p>
      <w:pPr>
        <w:pStyle w:val="BodyText"/>
        <w:ind w:left="677" w:right="1260" w:firstLine="2"/>
      </w:pPr>
      <w:r>
        <w:rPr/>
        <w:t>In developing the </w:t>
      </w:r>
      <w:r>
        <w:rPr>
          <w:spacing w:val="-3"/>
        </w:rPr>
        <w:t>CCG </w:t>
      </w:r>
      <w:r>
        <w:rPr/>
        <w:t>Assurance Map and review of sources </w:t>
      </w:r>
      <w:r>
        <w:rPr>
          <w:spacing w:val="-3"/>
        </w:rPr>
        <w:t>of  </w:t>
      </w:r>
      <w:r>
        <w:rPr/>
        <w:t>assurance the </w:t>
      </w:r>
      <w:r>
        <w:rPr>
          <w:spacing w:val="-3"/>
        </w:rPr>
        <w:t>CCG </w:t>
      </w:r>
      <w:r>
        <w:rPr>
          <w:spacing w:val="20"/>
        </w:rPr>
        <w:t>has </w:t>
      </w:r>
      <w:r>
        <w:rPr/>
        <w:t>c </w:t>
      </w:r>
      <w:r>
        <w:rPr>
          <w:spacing w:val="20"/>
        </w:rPr>
        <w:t>ons </w:t>
      </w:r>
      <w:r>
        <w:rPr/>
        <w:t>i d </w:t>
      </w:r>
      <w:r>
        <w:rPr>
          <w:spacing w:val="14"/>
        </w:rPr>
        <w:t>er </w:t>
      </w:r>
      <w:r>
        <w:rPr>
          <w:spacing w:val="11"/>
        </w:rPr>
        <w:t>ed </w:t>
      </w:r>
      <w:r>
        <w:rPr/>
        <w:t>services </w:t>
      </w:r>
      <w:r>
        <w:rPr>
          <w:spacing w:val="10"/>
        </w:rPr>
        <w:t>pr ov </w:t>
      </w:r>
      <w:r>
        <w:rPr/>
        <w:t>i </w:t>
      </w:r>
      <w:r>
        <w:rPr>
          <w:spacing w:val="10"/>
        </w:rPr>
        <w:t>de </w:t>
      </w:r>
      <w:r>
        <w:rPr/>
        <w:t>d by service  organisations  and  the assurance required as received by or via service auditor</w:t>
      </w:r>
      <w:r>
        <w:rPr>
          <w:spacing w:val="-11"/>
        </w:rPr>
        <w:t> </w:t>
      </w:r>
      <w:r>
        <w:rPr/>
        <w:t>reports.</w:t>
      </w:r>
    </w:p>
    <w:p>
      <w:pPr>
        <w:pStyle w:val="BodyText"/>
        <w:spacing w:before="3"/>
      </w:pPr>
    </w:p>
    <w:p>
      <w:pPr>
        <w:pStyle w:val="BodyText"/>
        <w:spacing w:line="276" w:lineRule="auto"/>
        <w:ind w:left="678" w:right="822"/>
      </w:pPr>
      <w:r>
        <w:rPr/>
        <w:t>This specifically includes the NHS Business Services Authority, and Capita. Assurances on the effectiveness of the controls in place for these third parties are received in part from an annual Service Auditor Report from the relevant service. and I have been advised that such assurances have been provided for 2021 - 22.</w:t>
      </w:r>
    </w:p>
    <w:p>
      <w:pPr>
        <w:pStyle w:val="BodyText"/>
        <w:spacing w:line="278" w:lineRule="auto" w:before="197"/>
        <w:ind w:left="680" w:right="965"/>
      </w:pPr>
      <w:r>
        <w:rPr/>
        <w:t>Both the NHS Business Services Authority and Capita have received qualified opinions from their respective auditors on account of further assurance being required on the adequacy of a small number of controls.</w:t>
      </w:r>
    </w:p>
    <w:p>
      <w:pPr>
        <w:pStyle w:val="BodyText"/>
        <w:spacing w:line="276" w:lineRule="auto" w:before="193"/>
        <w:ind w:left="680" w:right="806"/>
      </w:pPr>
      <w:r>
        <w:rPr/>
        <w:t>In relation to NHS Business Services Authority, their service auditor reported that there were insufficient logical access controls in place to appropriately restrict access to the development and production area of the NHS hub for part of the reporting period and therefore controls were not suitably designed to achieve Control Objective 2 “Controls provide reasonable assurance that security configurations are created, implemented and maintained to prevent inappropriate access” during the period 1 April 2021 to 6 June 2021</w:t>
      </w:r>
    </w:p>
    <w:p>
      <w:pPr>
        <w:pStyle w:val="BodyText"/>
        <w:spacing w:line="276" w:lineRule="auto" w:before="200"/>
        <w:ind w:left="680" w:right="892"/>
      </w:pPr>
      <w:r>
        <w:rPr/>
        <w:t>In relation to Capita, their service auditor identified a qualification relating to four out of 17 control objectives for the period 2021 – 22. These matters were identified in a small number of the sample cases reviewed by the auditor and relate to:</w:t>
      </w:r>
    </w:p>
    <w:p>
      <w:pPr>
        <w:pStyle w:val="ListParagraph"/>
        <w:numPr>
          <w:ilvl w:val="0"/>
          <w:numId w:val="13"/>
        </w:numPr>
        <w:tabs>
          <w:tab w:pos="1400" w:val="left" w:leader="none"/>
          <w:tab w:pos="1401" w:val="left" w:leader="none"/>
        </w:tabs>
        <w:spacing w:line="266" w:lineRule="auto" w:before="200" w:after="0"/>
        <w:ind w:left="1400" w:right="1089" w:hanging="361"/>
        <w:jc w:val="left"/>
        <w:rPr>
          <w:sz w:val="22"/>
        </w:rPr>
      </w:pPr>
      <w:r>
        <w:rPr>
          <w:sz w:val="22"/>
        </w:rPr>
        <w:t>controls regarding pension record updates and errors arising from pension uploading processes.</w:t>
      </w:r>
    </w:p>
    <w:p>
      <w:pPr>
        <w:pStyle w:val="ListParagraph"/>
        <w:numPr>
          <w:ilvl w:val="0"/>
          <w:numId w:val="13"/>
        </w:numPr>
        <w:tabs>
          <w:tab w:pos="1400" w:val="left" w:leader="none"/>
          <w:tab w:pos="1401" w:val="left" w:leader="none"/>
        </w:tabs>
        <w:spacing w:line="268" w:lineRule="auto" w:before="12" w:after="0"/>
        <w:ind w:left="1400" w:right="792" w:hanging="361"/>
        <w:jc w:val="left"/>
        <w:rPr>
          <w:sz w:val="22"/>
        </w:rPr>
      </w:pPr>
      <w:r>
        <w:rPr>
          <w:sz w:val="22"/>
        </w:rPr>
        <w:t>controls in place to investigate and resolve errors arising from the ISFE GP payment file upload process.</w:t>
      </w:r>
    </w:p>
    <w:p>
      <w:pPr>
        <w:pStyle w:val="ListParagraph"/>
        <w:numPr>
          <w:ilvl w:val="0"/>
          <w:numId w:val="13"/>
        </w:numPr>
        <w:tabs>
          <w:tab w:pos="1402" w:val="left" w:leader="none"/>
        </w:tabs>
        <w:spacing w:line="271" w:lineRule="auto" w:before="8" w:after="0"/>
        <w:ind w:left="1401" w:right="754" w:hanging="361"/>
        <w:jc w:val="both"/>
        <w:rPr>
          <w:sz w:val="22"/>
        </w:rPr>
      </w:pPr>
      <w:r>
        <w:rPr>
          <w:sz w:val="22"/>
        </w:rPr>
        <w:t>controls in place to ensure the timely revoking of accounts, as appropriate, on the Active Directory (AD), PCSE Online, UNIX, NHAIS or Ophthalmic Payments systems and user access reviews,</w:t>
      </w:r>
      <w:r>
        <w:rPr>
          <w:spacing w:val="-6"/>
          <w:sz w:val="22"/>
        </w:rPr>
        <w:t> </w:t>
      </w:r>
      <w:r>
        <w:rPr>
          <w:sz w:val="22"/>
        </w:rPr>
        <w:t>and</w:t>
      </w:r>
    </w:p>
    <w:p>
      <w:pPr>
        <w:pStyle w:val="ListParagraph"/>
        <w:numPr>
          <w:ilvl w:val="0"/>
          <w:numId w:val="13"/>
        </w:numPr>
        <w:tabs>
          <w:tab w:pos="1402" w:val="left" w:leader="none"/>
        </w:tabs>
        <w:spacing w:line="266" w:lineRule="auto" w:before="2" w:after="0"/>
        <w:ind w:left="1401" w:right="803" w:hanging="361"/>
        <w:jc w:val="both"/>
        <w:rPr>
          <w:sz w:val="22"/>
        </w:rPr>
      </w:pPr>
      <w:r>
        <w:rPr>
          <w:sz w:val="22"/>
        </w:rPr>
        <w:t>controls in place to ensure the timely revoking of accounts, as appropriate, on the ISFE, LPA, PCSE Online, POL and Active Directory (AD) systems and user access</w:t>
      </w:r>
      <w:r>
        <w:rPr>
          <w:spacing w:val="-51"/>
          <w:sz w:val="22"/>
        </w:rPr>
        <w:t> </w:t>
      </w:r>
      <w:r>
        <w:rPr>
          <w:sz w:val="22"/>
        </w:rPr>
        <w:t>reviews</w:t>
      </w:r>
    </w:p>
    <w:p>
      <w:pPr>
        <w:pStyle w:val="BodyText"/>
        <w:rPr>
          <w:sz w:val="24"/>
        </w:rPr>
      </w:pPr>
    </w:p>
    <w:p>
      <w:pPr>
        <w:pStyle w:val="BodyText"/>
        <w:rPr>
          <w:sz w:val="20"/>
        </w:rPr>
      </w:pPr>
    </w:p>
    <w:p>
      <w:pPr>
        <w:pStyle w:val="BodyText"/>
        <w:spacing w:line="278" w:lineRule="auto"/>
        <w:ind w:left="680" w:right="794"/>
      </w:pPr>
      <w:r>
        <w:rPr/>
        <w:t>As Accountable Officer I am advised that appropriate plans have been developed to strengthen the relevant controls during the forthcoming year by both organisations.</w:t>
      </w:r>
    </w:p>
    <w:p>
      <w:pPr>
        <w:pStyle w:val="BodyText"/>
        <w:spacing w:before="194"/>
        <w:ind w:left="677" w:right="758" w:firstLine="2"/>
        <w:jc w:val="both"/>
      </w:pPr>
      <w:r>
        <w:rPr/>
        <w:t>Additionally the CCG has an assurance map which is monitored by the Integrated Audit &amp; Governance Committee. The assurance map includes the identification of issues or concerns</w:t>
      </w:r>
      <w:bookmarkStart w:name="Control Issues Introduction" w:id="142"/>
      <w:bookmarkEnd w:id="142"/>
      <w:r>
        <w:rPr/>
      </w:r>
      <w:r>
        <w:rPr/>
        <w:t> relating to third party service providers enabling the CCG to take actions as appropriate.</w:t>
      </w:r>
    </w:p>
    <w:p>
      <w:pPr>
        <w:pStyle w:val="Heading4"/>
        <w:spacing w:line="636" w:lineRule="exact" w:before="6"/>
        <w:ind w:right="8373"/>
      </w:pPr>
      <w:r>
        <w:rPr>
          <w:color w:val="365F91"/>
        </w:rPr>
        <w:t>Control Issues Introduction</w:t>
      </w:r>
    </w:p>
    <w:p>
      <w:pPr>
        <w:pStyle w:val="BodyText"/>
        <w:spacing w:line="278" w:lineRule="auto" w:before="204"/>
        <w:ind w:left="677" w:right="1517" w:firstLine="2"/>
      </w:pPr>
      <w:r>
        <w:rPr/>
        <w:t>Identification and mitigation/management of control issues is a key feature of sound risk management systems.</w:t>
      </w:r>
    </w:p>
    <w:p>
      <w:pPr>
        <w:spacing w:after="0" w:line="278" w:lineRule="auto"/>
        <w:sectPr>
          <w:pgSz w:w="11920" w:h="16850"/>
          <w:pgMar w:header="0" w:footer="363" w:top="1320" w:bottom="640" w:left="760" w:right="420"/>
        </w:sectPr>
      </w:pPr>
    </w:p>
    <w:p>
      <w:pPr>
        <w:pStyle w:val="BodyText"/>
        <w:spacing w:line="276" w:lineRule="auto" w:before="81"/>
        <w:ind w:left="679" w:right="915"/>
        <w:jc w:val="both"/>
      </w:pPr>
      <w:r>
        <w:rPr/>
        <w:t>As of March 2022 (based on the most recently available information), the CCG was meeting 7 out of 29 of its constitutional and operational targets. In particular, performance was below the required target in the following areas:</w:t>
      </w:r>
    </w:p>
    <w:p>
      <w:pPr>
        <w:pStyle w:val="BodyText"/>
        <w:spacing w:before="1" w:after="1"/>
        <w:rPr>
          <w:sz w:val="17"/>
        </w:rPr>
      </w:pPr>
    </w:p>
    <w:tbl>
      <w:tblPr>
        <w:tblW w:w="0" w:type="auto"/>
        <w:jc w:val="left"/>
        <w:tblInd w:w="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7"/>
        <w:gridCol w:w="144"/>
        <w:gridCol w:w="1274"/>
        <w:gridCol w:w="1560"/>
        <w:gridCol w:w="1702"/>
      </w:tblGrid>
      <w:tr>
        <w:trPr>
          <w:trHeight w:val="1326" w:hRule="atLeast"/>
        </w:trPr>
        <w:tc>
          <w:tcPr>
            <w:tcW w:w="5261" w:type="dxa"/>
            <w:gridSpan w:val="2"/>
            <w:shd w:val="clear" w:color="auto" w:fill="8EAADB"/>
          </w:tcPr>
          <w:p>
            <w:pPr>
              <w:pStyle w:val="TableParagraph"/>
              <w:rPr>
                <w:sz w:val="22"/>
              </w:rPr>
            </w:pPr>
          </w:p>
          <w:p>
            <w:pPr>
              <w:pStyle w:val="TableParagraph"/>
              <w:spacing w:before="156"/>
              <w:ind w:left="114"/>
              <w:rPr>
                <w:rFonts w:ascii="Calibri"/>
                <w:b/>
                <w:sz w:val="22"/>
              </w:rPr>
            </w:pPr>
            <w:r>
              <w:rPr>
                <w:rFonts w:ascii="Calibri"/>
                <w:b/>
                <w:sz w:val="22"/>
              </w:rPr>
              <w:t>NHS NORTH LINCOLNSHIRE CCG PERFORMANCE</w:t>
            </w:r>
          </w:p>
        </w:tc>
        <w:tc>
          <w:tcPr>
            <w:tcW w:w="1274" w:type="dxa"/>
            <w:shd w:val="clear" w:color="auto" w:fill="8EAADB"/>
          </w:tcPr>
          <w:p>
            <w:pPr>
              <w:pStyle w:val="TableParagraph"/>
              <w:rPr>
                <w:rFonts w:ascii="Times New Roman"/>
                <w:sz w:val="20"/>
              </w:rPr>
            </w:pPr>
          </w:p>
        </w:tc>
        <w:tc>
          <w:tcPr>
            <w:tcW w:w="1560" w:type="dxa"/>
            <w:shd w:val="clear" w:color="auto" w:fill="8EAADB"/>
          </w:tcPr>
          <w:p>
            <w:pPr>
              <w:pStyle w:val="TableParagraph"/>
              <w:spacing w:before="3"/>
              <w:ind w:left="115"/>
              <w:rPr>
                <w:rFonts w:ascii="Calibri"/>
                <w:b/>
                <w:sz w:val="22"/>
              </w:rPr>
            </w:pPr>
            <w:r>
              <w:rPr>
                <w:rFonts w:ascii="Calibri"/>
                <w:b/>
                <w:sz w:val="22"/>
              </w:rPr>
              <w:t>Actual</w:t>
            </w:r>
          </w:p>
          <w:p>
            <w:pPr>
              <w:pStyle w:val="TableParagraph"/>
              <w:spacing w:before="6"/>
              <w:rPr>
                <w:sz w:val="20"/>
              </w:rPr>
            </w:pPr>
          </w:p>
          <w:p>
            <w:pPr>
              <w:pStyle w:val="TableParagraph"/>
              <w:spacing w:line="273" w:lineRule="auto"/>
              <w:ind w:left="115" w:right="287"/>
              <w:rPr>
                <w:rFonts w:ascii="Calibri" w:hAnsi="Calibri"/>
                <w:b/>
                <w:sz w:val="22"/>
              </w:rPr>
            </w:pPr>
            <w:r>
              <w:rPr>
                <w:rFonts w:ascii="Calibri" w:hAnsi="Calibri"/>
                <w:b/>
                <w:sz w:val="22"/>
              </w:rPr>
              <w:t>(YTD – Mar 2022) 63.3%</w:t>
            </w:r>
          </w:p>
        </w:tc>
        <w:tc>
          <w:tcPr>
            <w:tcW w:w="1702" w:type="dxa"/>
            <w:shd w:val="clear" w:color="auto" w:fill="8EAADB"/>
          </w:tcPr>
          <w:p>
            <w:pPr>
              <w:pStyle w:val="TableParagraph"/>
              <w:rPr>
                <w:sz w:val="22"/>
              </w:rPr>
            </w:pPr>
          </w:p>
          <w:p>
            <w:pPr>
              <w:pStyle w:val="TableParagraph"/>
              <w:spacing w:before="156"/>
              <w:ind w:left="115"/>
              <w:rPr>
                <w:rFonts w:ascii="Calibri"/>
                <w:b/>
                <w:sz w:val="22"/>
              </w:rPr>
            </w:pPr>
            <w:r>
              <w:rPr>
                <w:rFonts w:ascii="Calibri"/>
                <w:b/>
                <w:sz w:val="22"/>
              </w:rPr>
              <w:t>Target</w:t>
            </w:r>
          </w:p>
        </w:tc>
      </w:tr>
      <w:tr>
        <w:trPr>
          <w:trHeight w:val="510" w:hRule="atLeast"/>
        </w:trPr>
        <w:tc>
          <w:tcPr>
            <w:tcW w:w="5261" w:type="dxa"/>
            <w:gridSpan w:val="2"/>
            <w:shd w:val="clear" w:color="auto" w:fill="8EAADB"/>
          </w:tcPr>
          <w:p>
            <w:pPr>
              <w:pStyle w:val="TableParagraph"/>
              <w:spacing w:before="3"/>
              <w:ind w:left="114"/>
              <w:rPr>
                <w:rFonts w:ascii="Calibri"/>
                <w:b/>
                <w:sz w:val="22"/>
              </w:rPr>
            </w:pPr>
            <w:r>
              <w:rPr>
                <w:rFonts w:ascii="Calibri"/>
                <w:b/>
                <w:sz w:val="22"/>
              </w:rPr>
              <w:t>NHS NATIONAL REQUIREMENTS</w:t>
            </w:r>
          </w:p>
        </w:tc>
        <w:tc>
          <w:tcPr>
            <w:tcW w:w="1274" w:type="dxa"/>
            <w:shd w:val="clear" w:color="auto" w:fill="8EAADB"/>
          </w:tcPr>
          <w:p>
            <w:pPr>
              <w:pStyle w:val="TableParagraph"/>
              <w:rPr>
                <w:rFonts w:ascii="Times New Roman"/>
                <w:sz w:val="20"/>
              </w:rPr>
            </w:pPr>
          </w:p>
        </w:tc>
        <w:tc>
          <w:tcPr>
            <w:tcW w:w="1560" w:type="dxa"/>
            <w:shd w:val="clear" w:color="auto" w:fill="8EAADB"/>
          </w:tcPr>
          <w:p>
            <w:pPr>
              <w:pStyle w:val="TableParagraph"/>
              <w:rPr>
                <w:rFonts w:ascii="Times New Roman"/>
                <w:sz w:val="20"/>
              </w:rPr>
            </w:pPr>
          </w:p>
        </w:tc>
        <w:tc>
          <w:tcPr>
            <w:tcW w:w="1702" w:type="dxa"/>
            <w:shd w:val="clear" w:color="auto" w:fill="8EAADB"/>
          </w:tcPr>
          <w:p>
            <w:pPr>
              <w:pStyle w:val="TableParagraph"/>
              <w:rPr>
                <w:rFonts w:ascii="Times New Roman"/>
                <w:sz w:val="20"/>
              </w:rPr>
            </w:pPr>
          </w:p>
        </w:tc>
      </w:tr>
      <w:tr>
        <w:trPr>
          <w:trHeight w:val="817" w:hRule="atLeast"/>
        </w:trPr>
        <w:tc>
          <w:tcPr>
            <w:tcW w:w="5261" w:type="dxa"/>
            <w:gridSpan w:val="2"/>
          </w:tcPr>
          <w:p>
            <w:pPr>
              <w:pStyle w:val="TableParagraph"/>
              <w:spacing w:line="276" w:lineRule="auto"/>
              <w:ind w:left="114" w:right="337"/>
              <w:rPr>
                <w:rFonts w:ascii="Calibri"/>
                <w:sz w:val="22"/>
              </w:rPr>
            </w:pPr>
            <w:r>
              <w:rPr>
                <w:rFonts w:ascii="Calibri"/>
                <w:sz w:val="22"/>
              </w:rPr>
              <w:t>A&amp;E waiting time - total time in the A&amp;E department, SitRep data</w:t>
            </w:r>
          </w:p>
        </w:tc>
        <w:tc>
          <w:tcPr>
            <w:tcW w:w="1274" w:type="dxa"/>
          </w:tcPr>
          <w:p>
            <w:pPr>
              <w:pStyle w:val="TableParagraph"/>
              <w:spacing w:before="150"/>
              <w:ind w:left="114"/>
              <w:rPr>
                <w:rFonts w:ascii="Calibri"/>
                <w:sz w:val="22"/>
              </w:rPr>
            </w:pPr>
            <w:r>
              <w:rPr>
                <w:rFonts w:ascii="Calibri"/>
                <w:sz w:val="22"/>
              </w:rPr>
              <w:t>2021-22</w:t>
            </w:r>
          </w:p>
        </w:tc>
        <w:tc>
          <w:tcPr>
            <w:tcW w:w="1560" w:type="dxa"/>
            <w:shd w:val="clear" w:color="auto" w:fill="F7C8AC"/>
          </w:tcPr>
          <w:p>
            <w:pPr>
              <w:pStyle w:val="TableParagraph"/>
              <w:spacing w:before="150"/>
              <w:ind w:left="115" w:right="-15"/>
              <w:rPr>
                <w:rFonts w:ascii="Calibri"/>
                <w:sz w:val="22"/>
              </w:rPr>
            </w:pPr>
            <w:r>
              <w:rPr>
                <w:rFonts w:ascii="Calibri"/>
                <w:sz w:val="22"/>
              </w:rPr>
              <w:t>61.95%</w:t>
            </w:r>
            <w:r>
              <w:rPr>
                <w:rFonts w:ascii="Calibri"/>
                <w:spacing w:val="-3"/>
                <w:sz w:val="22"/>
              </w:rPr>
              <w:t> </w:t>
            </w:r>
            <w:r>
              <w:rPr>
                <w:rFonts w:ascii="Calibri"/>
                <w:sz w:val="22"/>
              </w:rPr>
              <w:t>MONTH</w:t>
            </w:r>
          </w:p>
        </w:tc>
        <w:tc>
          <w:tcPr>
            <w:tcW w:w="1702" w:type="dxa"/>
          </w:tcPr>
          <w:p>
            <w:pPr>
              <w:pStyle w:val="TableParagraph"/>
              <w:spacing w:before="150"/>
              <w:ind w:left="115"/>
              <w:rPr>
                <w:rFonts w:ascii="Calibri"/>
                <w:sz w:val="22"/>
              </w:rPr>
            </w:pPr>
            <w:r>
              <w:rPr>
                <w:rFonts w:ascii="Calibri"/>
                <w:sz w:val="22"/>
              </w:rPr>
              <w:t>95%</w:t>
            </w:r>
          </w:p>
        </w:tc>
      </w:tr>
      <w:tr>
        <w:trPr>
          <w:trHeight w:val="7369" w:hRule="atLeast"/>
        </w:trPr>
        <w:tc>
          <w:tcPr>
            <w:tcW w:w="9797" w:type="dxa"/>
            <w:gridSpan w:val="5"/>
          </w:tcPr>
          <w:p>
            <w:pPr>
              <w:pStyle w:val="TableParagraph"/>
              <w:spacing w:before="3"/>
              <w:ind w:left="114"/>
              <w:rPr>
                <w:rFonts w:ascii="Calibri"/>
                <w:b/>
                <w:sz w:val="22"/>
              </w:rPr>
            </w:pPr>
            <w:r>
              <w:rPr>
                <w:rFonts w:ascii="Calibri"/>
                <w:b/>
                <w:sz w:val="22"/>
                <w:u w:val="single"/>
              </w:rPr>
              <w:t>Commentary</w:t>
            </w:r>
          </w:p>
          <w:p>
            <w:pPr>
              <w:pStyle w:val="TableParagraph"/>
              <w:spacing w:before="4"/>
              <w:rPr>
                <w:sz w:val="20"/>
              </w:rPr>
            </w:pPr>
          </w:p>
          <w:p>
            <w:pPr>
              <w:pStyle w:val="TableParagraph"/>
              <w:spacing w:line="360" w:lineRule="auto"/>
              <w:ind w:left="114" w:right="182"/>
              <w:rPr>
                <w:sz w:val="20"/>
              </w:rPr>
            </w:pPr>
            <w:r>
              <w:rPr>
                <w:sz w:val="20"/>
              </w:rPr>
              <w:t>CCG performance against the A&amp;E 4 hour waiting time standard failed to achieve the national standard during 21/22, the significant and sustained pressures in bed occupancy, patient demand and acuity have seen daily challenges within the department impacting performance.</w:t>
            </w:r>
          </w:p>
          <w:p>
            <w:pPr>
              <w:pStyle w:val="TableParagraph"/>
              <w:spacing w:before="5"/>
              <w:rPr>
                <w:sz w:val="17"/>
              </w:rPr>
            </w:pPr>
          </w:p>
          <w:p>
            <w:pPr>
              <w:pStyle w:val="TableParagraph"/>
              <w:spacing w:line="360" w:lineRule="auto"/>
              <w:ind w:left="114" w:right="182"/>
              <w:rPr>
                <w:sz w:val="20"/>
              </w:rPr>
            </w:pPr>
            <w:r>
              <w:rPr>
                <w:sz w:val="20"/>
              </w:rPr>
              <w:t>Northern Lincolnshire and Goole NHS Foundation Trust have implemented a range of measures in relation to 12-hour trolley breaches, including daily operational meetings to review ward zoning and patient movements to enable bed availability as well as senior second reviews conducted by Medicine Divisional Clinical Directors and Divisional Heads of Nursing.</w:t>
            </w:r>
          </w:p>
          <w:p>
            <w:pPr>
              <w:pStyle w:val="TableParagraph"/>
              <w:spacing w:before="4"/>
              <w:rPr>
                <w:sz w:val="17"/>
              </w:rPr>
            </w:pPr>
          </w:p>
          <w:p>
            <w:pPr>
              <w:pStyle w:val="TableParagraph"/>
              <w:spacing w:line="360" w:lineRule="auto"/>
              <w:ind w:left="114" w:right="182"/>
              <w:rPr>
                <w:sz w:val="20"/>
              </w:rPr>
            </w:pPr>
            <w:r>
              <w:rPr>
                <w:sz w:val="20"/>
              </w:rPr>
              <w:t>Covid-19 continues to impact due to workforce sickness, isolation and general staff wellbeing, in addition to the impact of the physical capacity within the current A&amp;E department localities.</w:t>
            </w:r>
          </w:p>
          <w:p>
            <w:pPr>
              <w:pStyle w:val="TableParagraph"/>
              <w:spacing w:before="5"/>
              <w:rPr>
                <w:sz w:val="17"/>
              </w:rPr>
            </w:pPr>
          </w:p>
          <w:p>
            <w:pPr>
              <w:pStyle w:val="TableParagraph"/>
              <w:spacing w:line="360" w:lineRule="auto"/>
              <w:ind w:left="114" w:right="291"/>
              <w:rPr>
                <w:sz w:val="20"/>
              </w:rPr>
            </w:pPr>
            <w:r>
              <w:rPr>
                <w:sz w:val="20"/>
              </w:rPr>
              <w:t>The benefits of the Urgent Care Service (UCS) are starting to be realised through the improvements in the 4-hour waiting time standard. The UCS at Scunthorpe General Hospital is providing improved patient experience and 99% performance against the 4-hour standard. The UCS at Diana, Princess of Wales Hospital Grimsby is also now operational and benefiting from the same positive performance.</w:t>
            </w:r>
          </w:p>
          <w:p>
            <w:pPr>
              <w:pStyle w:val="TableParagraph"/>
              <w:spacing w:before="4"/>
              <w:rPr>
                <w:sz w:val="17"/>
              </w:rPr>
            </w:pPr>
          </w:p>
          <w:p>
            <w:pPr>
              <w:pStyle w:val="TableParagraph"/>
              <w:spacing w:line="360" w:lineRule="auto"/>
              <w:ind w:left="114" w:right="43"/>
              <w:rPr>
                <w:sz w:val="20"/>
              </w:rPr>
            </w:pPr>
            <w:r>
              <w:rPr>
                <w:sz w:val="20"/>
              </w:rPr>
              <w:t>System partners are working collaboratively to support the daily challenges being experienced in relation to patient flow and the subsequent impact on A&amp;E departments and other providers. Access pathways are being streamlined and the discharge to assess initiative is being supported by daily operational calls to reduce specific challenges or barriers being experienced.</w:t>
            </w:r>
          </w:p>
        </w:tc>
      </w:tr>
      <w:tr>
        <w:trPr>
          <w:trHeight w:val="1326" w:hRule="atLeast"/>
        </w:trPr>
        <w:tc>
          <w:tcPr>
            <w:tcW w:w="5117" w:type="dxa"/>
            <w:shd w:val="clear" w:color="auto" w:fill="8EAADB"/>
          </w:tcPr>
          <w:p>
            <w:pPr>
              <w:pStyle w:val="TableParagraph"/>
              <w:rPr>
                <w:rFonts w:ascii="Times New Roman"/>
                <w:sz w:val="20"/>
              </w:rPr>
            </w:pPr>
          </w:p>
        </w:tc>
        <w:tc>
          <w:tcPr>
            <w:tcW w:w="1418" w:type="dxa"/>
            <w:gridSpan w:val="2"/>
            <w:shd w:val="clear" w:color="auto" w:fill="8EAADB"/>
          </w:tcPr>
          <w:p>
            <w:pPr>
              <w:pStyle w:val="TableParagraph"/>
              <w:rPr>
                <w:rFonts w:ascii="Times New Roman"/>
                <w:sz w:val="20"/>
              </w:rPr>
            </w:pPr>
          </w:p>
        </w:tc>
        <w:tc>
          <w:tcPr>
            <w:tcW w:w="1560" w:type="dxa"/>
            <w:shd w:val="clear" w:color="auto" w:fill="8EAADB"/>
          </w:tcPr>
          <w:p>
            <w:pPr>
              <w:pStyle w:val="TableParagraph"/>
              <w:spacing w:line="267" w:lineRule="exact"/>
              <w:ind w:left="115"/>
              <w:rPr>
                <w:rFonts w:ascii="Calibri"/>
                <w:b/>
                <w:sz w:val="22"/>
              </w:rPr>
            </w:pPr>
            <w:r>
              <w:rPr>
                <w:rFonts w:ascii="Calibri"/>
                <w:b/>
                <w:sz w:val="22"/>
              </w:rPr>
              <w:t>Actual</w:t>
            </w:r>
          </w:p>
          <w:p>
            <w:pPr>
              <w:pStyle w:val="TableParagraph"/>
              <w:spacing w:before="1"/>
              <w:rPr>
                <w:sz w:val="21"/>
              </w:rPr>
            </w:pPr>
          </w:p>
          <w:p>
            <w:pPr>
              <w:pStyle w:val="TableParagraph"/>
              <w:spacing w:line="271" w:lineRule="auto"/>
              <w:ind w:left="115" w:right="461"/>
              <w:rPr>
                <w:rFonts w:ascii="Calibri" w:hAnsi="Calibri"/>
                <w:b/>
                <w:sz w:val="22"/>
              </w:rPr>
            </w:pPr>
            <w:r>
              <w:rPr>
                <w:rFonts w:ascii="Calibri" w:hAnsi="Calibri"/>
                <w:b/>
                <w:sz w:val="22"/>
              </w:rPr>
              <w:t>(Month – Mar 2022)</w:t>
            </w:r>
          </w:p>
        </w:tc>
        <w:tc>
          <w:tcPr>
            <w:tcW w:w="1702" w:type="dxa"/>
            <w:shd w:val="clear" w:color="auto" w:fill="8EAADB"/>
          </w:tcPr>
          <w:p>
            <w:pPr>
              <w:pStyle w:val="TableParagraph"/>
              <w:rPr>
                <w:sz w:val="22"/>
              </w:rPr>
            </w:pPr>
          </w:p>
          <w:p>
            <w:pPr>
              <w:pStyle w:val="TableParagraph"/>
              <w:spacing w:before="156"/>
              <w:ind w:left="115"/>
              <w:rPr>
                <w:rFonts w:ascii="Calibri"/>
                <w:b/>
                <w:sz w:val="22"/>
              </w:rPr>
            </w:pPr>
            <w:r>
              <w:rPr>
                <w:rFonts w:ascii="Calibri"/>
                <w:b/>
                <w:sz w:val="22"/>
              </w:rPr>
              <w:t>Target</w:t>
            </w:r>
          </w:p>
        </w:tc>
      </w:tr>
      <w:tr>
        <w:trPr>
          <w:trHeight w:val="1127" w:hRule="atLeast"/>
        </w:trPr>
        <w:tc>
          <w:tcPr>
            <w:tcW w:w="5117" w:type="dxa"/>
          </w:tcPr>
          <w:p>
            <w:pPr>
              <w:pStyle w:val="TableParagraph"/>
              <w:spacing w:line="276" w:lineRule="auto"/>
              <w:ind w:left="114" w:right="223"/>
              <w:jc w:val="both"/>
              <w:rPr>
                <w:rFonts w:ascii="Calibri"/>
                <w:sz w:val="22"/>
              </w:rPr>
            </w:pPr>
            <w:r>
              <w:rPr>
                <w:rFonts w:ascii="Calibri"/>
                <w:sz w:val="22"/>
              </w:rPr>
              <w:t>RTT - The percentage of incomplete pathways within 52 weeks for patients on incomplete pathways at the end of the period.</w:t>
            </w:r>
          </w:p>
        </w:tc>
        <w:tc>
          <w:tcPr>
            <w:tcW w:w="1418" w:type="dxa"/>
            <w:gridSpan w:val="2"/>
          </w:tcPr>
          <w:p>
            <w:pPr>
              <w:pStyle w:val="TableParagraph"/>
              <w:spacing w:before="7"/>
              <w:rPr>
                <w:sz w:val="26"/>
              </w:rPr>
            </w:pPr>
          </w:p>
          <w:p>
            <w:pPr>
              <w:pStyle w:val="TableParagraph"/>
              <w:ind w:left="116"/>
              <w:rPr>
                <w:rFonts w:ascii="Calibri"/>
                <w:sz w:val="22"/>
              </w:rPr>
            </w:pPr>
            <w:r>
              <w:rPr>
                <w:rFonts w:ascii="Calibri"/>
                <w:sz w:val="22"/>
              </w:rPr>
              <w:t>2021-22</w:t>
            </w:r>
          </w:p>
        </w:tc>
        <w:tc>
          <w:tcPr>
            <w:tcW w:w="1560" w:type="dxa"/>
            <w:shd w:val="clear" w:color="auto" w:fill="F7C8AC"/>
          </w:tcPr>
          <w:p>
            <w:pPr>
              <w:pStyle w:val="TableParagraph"/>
              <w:spacing w:before="7"/>
              <w:rPr>
                <w:sz w:val="26"/>
              </w:rPr>
            </w:pPr>
          </w:p>
          <w:p>
            <w:pPr>
              <w:pStyle w:val="TableParagraph"/>
              <w:ind w:left="115"/>
              <w:rPr>
                <w:rFonts w:ascii="Calibri"/>
                <w:sz w:val="22"/>
              </w:rPr>
            </w:pPr>
            <w:r>
              <w:rPr>
                <w:rFonts w:ascii="Calibri"/>
                <w:sz w:val="22"/>
              </w:rPr>
              <w:t>70.03%</w:t>
            </w:r>
          </w:p>
        </w:tc>
        <w:tc>
          <w:tcPr>
            <w:tcW w:w="1702" w:type="dxa"/>
          </w:tcPr>
          <w:p>
            <w:pPr>
              <w:pStyle w:val="TableParagraph"/>
              <w:spacing w:before="7"/>
              <w:rPr>
                <w:sz w:val="26"/>
              </w:rPr>
            </w:pPr>
          </w:p>
          <w:p>
            <w:pPr>
              <w:pStyle w:val="TableParagraph"/>
              <w:ind w:left="115"/>
              <w:rPr>
                <w:rFonts w:ascii="Calibri"/>
                <w:sz w:val="22"/>
              </w:rPr>
            </w:pPr>
            <w:r>
              <w:rPr>
                <w:rFonts w:ascii="Calibri"/>
                <w:sz w:val="22"/>
              </w:rPr>
              <w:t>92%</w:t>
            </w:r>
          </w:p>
        </w:tc>
      </w:tr>
      <w:tr>
        <w:trPr>
          <w:trHeight w:val="510" w:hRule="atLeast"/>
        </w:trPr>
        <w:tc>
          <w:tcPr>
            <w:tcW w:w="9797" w:type="dxa"/>
            <w:gridSpan w:val="5"/>
          </w:tcPr>
          <w:p>
            <w:pPr>
              <w:pStyle w:val="TableParagraph"/>
              <w:spacing w:before="3"/>
              <w:ind w:left="114"/>
              <w:rPr>
                <w:rFonts w:ascii="Calibri"/>
                <w:b/>
                <w:sz w:val="22"/>
              </w:rPr>
            </w:pPr>
            <w:r>
              <w:rPr>
                <w:rFonts w:ascii="Calibri"/>
                <w:b/>
                <w:sz w:val="22"/>
                <w:u w:val="single"/>
              </w:rPr>
              <w:t>Commentary</w:t>
            </w:r>
          </w:p>
        </w:tc>
      </w:tr>
    </w:tbl>
    <w:p>
      <w:pPr>
        <w:spacing w:after="0"/>
        <w:rPr>
          <w:rFonts w:ascii="Calibri"/>
          <w:sz w:val="22"/>
        </w:rPr>
        <w:sectPr>
          <w:pgSz w:w="11920" w:h="16850"/>
          <w:pgMar w:header="0" w:footer="363" w:top="1320" w:bottom="640" w:left="760" w:right="420"/>
        </w:sectPr>
      </w:pPr>
    </w:p>
    <w:tbl>
      <w:tblPr>
        <w:tblW w:w="0" w:type="auto"/>
        <w:jc w:val="left"/>
        <w:tblInd w:w="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7"/>
        <w:gridCol w:w="1419"/>
        <w:gridCol w:w="1561"/>
        <w:gridCol w:w="1705"/>
      </w:tblGrid>
      <w:tr>
        <w:trPr>
          <w:trHeight w:val="5807" w:hRule="atLeast"/>
        </w:trPr>
        <w:tc>
          <w:tcPr>
            <w:tcW w:w="9802" w:type="dxa"/>
            <w:gridSpan w:val="4"/>
            <w:tcBorders>
              <w:top w:val="nil"/>
            </w:tcBorders>
          </w:tcPr>
          <w:p>
            <w:pPr>
              <w:pStyle w:val="TableParagraph"/>
              <w:spacing w:line="360" w:lineRule="auto"/>
              <w:ind w:left="114" w:right="137"/>
              <w:rPr>
                <w:sz w:val="20"/>
              </w:rPr>
            </w:pPr>
            <w:r>
              <w:rPr>
                <w:sz w:val="20"/>
              </w:rPr>
              <w:t>Referral to Treatment (RTT) times continue to fall below required standards, specifically at our two main local acute providers Northern Lincolnshire &amp; Goole NHS Foundation Trust (NLaG) and Hull University Teaching Hospitals NHS Trust (HUTH). However, the CCG position in relation to incomplete RTT performance is above both the England and the Humber and North Yorkshire ICS average.</w:t>
            </w:r>
          </w:p>
          <w:p>
            <w:pPr>
              <w:pStyle w:val="TableParagraph"/>
              <w:spacing w:before="3"/>
              <w:rPr>
                <w:sz w:val="17"/>
              </w:rPr>
            </w:pPr>
          </w:p>
          <w:p>
            <w:pPr>
              <w:pStyle w:val="TableParagraph"/>
              <w:spacing w:line="360" w:lineRule="auto"/>
              <w:ind w:left="114" w:right="483"/>
              <w:rPr>
                <w:sz w:val="20"/>
              </w:rPr>
            </w:pPr>
            <w:r>
              <w:rPr>
                <w:sz w:val="20"/>
              </w:rPr>
              <w:t>The Trust’s active recovery plans focus on the longest waiters and cancer patients. Additional capacity in Goole District Hospital and the independent sector, continues to be utilised. Clinic capacity has been increased</w:t>
            </w:r>
            <w:r>
              <w:rPr>
                <w:spacing w:val="-7"/>
                <w:sz w:val="20"/>
              </w:rPr>
              <w:t> </w:t>
            </w:r>
            <w:r>
              <w:rPr>
                <w:sz w:val="20"/>
              </w:rPr>
              <w:t>through</w:t>
            </w:r>
            <w:r>
              <w:rPr>
                <w:spacing w:val="-4"/>
                <w:sz w:val="20"/>
              </w:rPr>
              <w:t> </w:t>
            </w:r>
            <w:r>
              <w:rPr>
                <w:sz w:val="20"/>
              </w:rPr>
              <w:t>additional</w:t>
            </w:r>
            <w:r>
              <w:rPr>
                <w:spacing w:val="-11"/>
                <w:sz w:val="20"/>
              </w:rPr>
              <w:t> </w:t>
            </w:r>
            <w:r>
              <w:rPr>
                <w:sz w:val="20"/>
              </w:rPr>
              <w:t>sessions</w:t>
            </w:r>
            <w:r>
              <w:rPr>
                <w:spacing w:val="-5"/>
                <w:sz w:val="20"/>
              </w:rPr>
              <w:t> </w:t>
            </w:r>
            <w:r>
              <w:rPr>
                <w:sz w:val="20"/>
              </w:rPr>
              <w:t>and</w:t>
            </w:r>
            <w:r>
              <w:rPr>
                <w:spacing w:val="-5"/>
                <w:sz w:val="20"/>
              </w:rPr>
              <w:t> </w:t>
            </w:r>
            <w:r>
              <w:rPr>
                <w:sz w:val="20"/>
              </w:rPr>
              <w:t>in-sourcing</w:t>
            </w:r>
            <w:r>
              <w:rPr>
                <w:spacing w:val="-4"/>
                <w:sz w:val="20"/>
              </w:rPr>
              <w:t> </w:t>
            </w:r>
            <w:r>
              <w:rPr>
                <w:sz w:val="20"/>
              </w:rPr>
              <w:t>of</w:t>
            </w:r>
            <w:r>
              <w:rPr>
                <w:spacing w:val="-9"/>
                <w:sz w:val="20"/>
              </w:rPr>
              <w:t> </w:t>
            </w:r>
            <w:r>
              <w:rPr>
                <w:sz w:val="20"/>
              </w:rPr>
              <w:t>capacity.</w:t>
            </w:r>
            <w:r>
              <w:rPr>
                <w:spacing w:val="-7"/>
                <w:sz w:val="20"/>
              </w:rPr>
              <w:t> </w:t>
            </w:r>
            <w:r>
              <w:rPr>
                <w:sz w:val="20"/>
              </w:rPr>
              <w:t>NLAG</w:t>
            </w:r>
            <w:r>
              <w:rPr>
                <w:spacing w:val="-5"/>
                <w:sz w:val="20"/>
              </w:rPr>
              <w:t> </w:t>
            </w:r>
            <w:r>
              <w:rPr>
                <w:sz w:val="20"/>
              </w:rPr>
              <w:t>is</w:t>
            </w:r>
            <w:r>
              <w:rPr>
                <w:spacing w:val="-4"/>
                <w:sz w:val="20"/>
              </w:rPr>
              <w:t> </w:t>
            </w:r>
            <w:r>
              <w:rPr>
                <w:sz w:val="20"/>
              </w:rPr>
              <w:t>providing</w:t>
            </w:r>
            <w:r>
              <w:rPr>
                <w:spacing w:val="-7"/>
                <w:sz w:val="20"/>
              </w:rPr>
              <w:t> </w:t>
            </w:r>
            <w:r>
              <w:rPr>
                <w:sz w:val="20"/>
              </w:rPr>
              <w:t>mutual</w:t>
            </w:r>
            <w:r>
              <w:rPr>
                <w:spacing w:val="-10"/>
                <w:sz w:val="20"/>
              </w:rPr>
              <w:t> </w:t>
            </w:r>
            <w:r>
              <w:rPr>
                <w:sz w:val="20"/>
              </w:rPr>
              <w:t>aid</w:t>
            </w:r>
            <w:r>
              <w:rPr>
                <w:spacing w:val="-5"/>
                <w:sz w:val="20"/>
              </w:rPr>
              <w:t> </w:t>
            </w:r>
            <w:r>
              <w:rPr>
                <w:sz w:val="20"/>
              </w:rPr>
              <w:t>to</w:t>
            </w:r>
            <w:r>
              <w:rPr>
                <w:spacing w:val="-7"/>
                <w:sz w:val="20"/>
              </w:rPr>
              <w:t> </w:t>
            </w:r>
            <w:r>
              <w:rPr>
                <w:sz w:val="20"/>
              </w:rPr>
              <w:t>other trusts</w:t>
            </w:r>
            <w:r>
              <w:rPr>
                <w:spacing w:val="-8"/>
                <w:sz w:val="20"/>
              </w:rPr>
              <w:t> </w:t>
            </w:r>
            <w:r>
              <w:rPr>
                <w:sz w:val="20"/>
              </w:rPr>
              <w:t>owing</w:t>
            </w:r>
            <w:r>
              <w:rPr>
                <w:spacing w:val="-6"/>
                <w:sz w:val="20"/>
              </w:rPr>
              <w:t> </w:t>
            </w:r>
            <w:r>
              <w:rPr>
                <w:sz w:val="20"/>
              </w:rPr>
              <w:t>to</w:t>
            </w:r>
            <w:r>
              <w:rPr>
                <w:spacing w:val="-5"/>
                <w:sz w:val="20"/>
              </w:rPr>
              <w:t> </w:t>
            </w:r>
            <w:r>
              <w:rPr>
                <w:sz w:val="20"/>
              </w:rPr>
              <w:t>its</w:t>
            </w:r>
            <w:r>
              <w:rPr>
                <w:spacing w:val="-7"/>
                <w:sz w:val="20"/>
              </w:rPr>
              <w:t> </w:t>
            </w:r>
            <w:r>
              <w:rPr>
                <w:sz w:val="20"/>
              </w:rPr>
              <w:t>underlying</w:t>
            </w:r>
            <w:r>
              <w:rPr>
                <w:spacing w:val="-10"/>
                <w:sz w:val="20"/>
              </w:rPr>
              <w:t> </w:t>
            </w:r>
            <w:r>
              <w:rPr>
                <w:sz w:val="20"/>
              </w:rPr>
              <w:t>relatively</w:t>
            </w:r>
            <w:r>
              <w:rPr>
                <w:spacing w:val="-5"/>
                <w:sz w:val="20"/>
              </w:rPr>
              <w:t> </w:t>
            </w:r>
            <w:r>
              <w:rPr>
                <w:sz w:val="20"/>
              </w:rPr>
              <w:t>stronger</w:t>
            </w:r>
            <w:r>
              <w:rPr>
                <w:spacing w:val="-6"/>
                <w:sz w:val="20"/>
              </w:rPr>
              <w:t> </w:t>
            </w:r>
            <w:r>
              <w:rPr>
                <w:sz w:val="20"/>
              </w:rPr>
              <w:t>performance.</w:t>
            </w:r>
            <w:r>
              <w:rPr>
                <w:spacing w:val="-4"/>
                <w:sz w:val="20"/>
              </w:rPr>
              <w:t> </w:t>
            </w:r>
            <w:r>
              <w:rPr>
                <w:sz w:val="20"/>
              </w:rPr>
              <w:t>While</w:t>
            </w:r>
            <w:r>
              <w:rPr>
                <w:spacing w:val="-5"/>
                <w:sz w:val="20"/>
              </w:rPr>
              <w:t> </w:t>
            </w:r>
            <w:r>
              <w:rPr>
                <w:sz w:val="20"/>
              </w:rPr>
              <w:t>it</w:t>
            </w:r>
            <w:r>
              <w:rPr>
                <w:spacing w:val="-7"/>
                <w:sz w:val="20"/>
              </w:rPr>
              <w:t> </w:t>
            </w:r>
            <w:r>
              <w:rPr>
                <w:sz w:val="20"/>
              </w:rPr>
              <w:t>is</w:t>
            </w:r>
            <w:r>
              <w:rPr>
                <w:spacing w:val="-5"/>
                <w:sz w:val="20"/>
              </w:rPr>
              <w:t> </w:t>
            </w:r>
            <w:r>
              <w:rPr>
                <w:sz w:val="20"/>
              </w:rPr>
              <w:t>recognised</w:t>
            </w:r>
            <w:r>
              <w:rPr>
                <w:spacing w:val="-9"/>
                <w:sz w:val="20"/>
              </w:rPr>
              <w:t> </w:t>
            </w:r>
            <w:r>
              <w:rPr>
                <w:sz w:val="20"/>
              </w:rPr>
              <w:t>that</w:t>
            </w:r>
            <w:r>
              <w:rPr>
                <w:spacing w:val="-7"/>
                <w:sz w:val="20"/>
              </w:rPr>
              <w:t> </w:t>
            </w:r>
            <w:r>
              <w:rPr>
                <w:sz w:val="20"/>
              </w:rPr>
              <w:t>this</w:t>
            </w:r>
            <w:r>
              <w:rPr>
                <w:spacing w:val="-8"/>
                <w:sz w:val="20"/>
              </w:rPr>
              <w:t> </w:t>
            </w:r>
            <w:r>
              <w:rPr>
                <w:sz w:val="20"/>
              </w:rPr>
              <w:t>may</w:t>
            </w:r>
            <w:r>
              <w:rPr>
                <w:spacing w:val="-6"/>
                <w:sz w:val="20"/>
              </w:rPr>
              <w:t> </w:t>
            </w:r>
            <w:r>
              <w:rPr>
                <w:sz w:val="20"/>
              </w:rPr>
              <w:t>impact</w:t>
            </w:r>
          </w:p>
          <w:p>
            <w:pPr>
              <w:pStyle w:val="TableParagraph"/>
              <w:spacing w:line="360" w:lineRule="auto"/>
              <w:ind w:left="114" w:right="137"/>
              <w:rPr>
                <w:sz w:val="20"/>
              </w:rPr>
            </w:pPr>
            <w:r>
              <w:rPr>
                <w:sz w:val="20"/>
              </w:rPr>
              <w:t>negatively on NLaG’s performance, this approach is consistent with the collaborative principles of ensuring an equitable service across the Integrated Care System.</w:t>
            </w:r>
          </w:p>
          <w:p>
            <w:pPr>
              <w:pStyle w:val="TableParagraph"/>
              <w:spacing w:before="5"/>
              <w:rPr>
                <w:sz w:val="17"/>
              </w:rPr>
            </w:pPr>
          </w:p>
          <w:p>
            <w:pPr>
              <w:pStyle w:val="TableParagraph"/>
              <w:spacing w:line="360" w:lineRule="auto"/>
              <w:ind w:left="114" w:right="137"/>
              <w:rPr>
                <w:sz w:val="22"/>
              </w:rPr>
            </w:pPr>
            <w:r>
              <w:rPr>
                <w:sz w:val="20"/>
              </w:rPr>
              <w:t>The Trust continues with their robust risk stratification process, across all specialties, to monitor the risks and</w:t>
            </w:r>
            <w:r>
              <w:rPr>
                <w:spacing w:val="-6"/>
                <w:sz w:val="20"/>
              </w:rPr>
              <w:t> </w:t>
            </w:r>
            <w:r>
              <w:rPr>
                <w:sz w:val="20"/>
              </w:rPr>
              <w:t>potential</w:t>
            </w:r>
            <w:r>
              <w:rPr>
                <w:spacing w:val="-5"/>
                <w:sz w:val="20"/>
              </w:rPr>
              <w:t> </w:t>
            </w:r>
            <w:r>
              <w:rPr>
                <w:sz w:val="20"/>
              </w:rPr>
              <w:t>harm</w:t>
            </w:r>
            <w:r>
              <w:rPr>
                <w:spacing w:val="-4"/>
                <w:sz w:val="20"/>
              </w:rPr>
              <w:t> </w:t>
            </w:r>
            <w:r>
              <w:rPr>
                <w:sz w:val="20"/>
              </w:rPr>
              <w:t>to</w:t>
            </w:r>
            <w:r>
              <w:rPr>
                <w:spacing w:val="-7"/>
                <w:sz w:val="20"/>
              </w:rPr>
              <w:t> </w:t>
            </w:r>
            <w:r>
              <w:rPr>
                <w:sz w:val="20"/>
              </w:rPr>
              <w:t>patients</w:t>
            </w:r>
            <w:r>
              <w:rPr>
                <w:spacing w:val="-5"/>
                <w:sz w:val="20"/>
              </w:rPr>
              <w:t> </w:t>
            </w:r>
            <w:r>
              <w:rPr>
                <w:sz w:val="20"/>
              </w:rPr>
              <w:t>who</w:t>
            </w:r>
            <w:r>
              <w:rPr>
                <w:spacing w:val="-4"/>
                <w:sz w:val="20"/>
              </w:rPr>
              <w:t> </w:t>
            </w:r>
            <w:r>
              <w:rPr>
                <w:sz w:val="20"/>
              </w:rPr>
              <w:t>are</w:t>
            </w:r>
            <w:r>
              <w:rPr>
                <w:spacing w:val="-7"/>
                <w:sz w:val="20"/>
              </w:rPr>
              <w:t> </w:t>
            </w:r>
            <w:r>
              <w:rPr>
                <w:sz w:val="20"/>
              </w:rPr>
              <w:t>waiting</w:t>
            </w:r>
            <w:r>
              <w:rPr>
                <w:spacing w:val="-7"/>
                <w:sz w:val="20"/>
              </w:rPr>
              <w:t> </w:t>
            </w:r>
            <w:r>
              <w:rPr>
                <w:sz w:val="20"/>
              </w:rPr>
              <w:t>beyond</w:t>
            </w:r>
            <w:r>
              <w:rPr>
                <w:spacing w:val="-4"/>
                <w:sz w:val="20"/>
              </w:rPr>
              <w:t> </w:t>
            </w:r>
            <w:r>
              <w:rPr>
                <w:sz w:val="20"/>
              </w:rPr>
              <w:t>52</w:t>
            </w:r>
            <w:r>
              <w:rPr>
                <w:spacing w:val="-6"/>
                <w:sz w:val="20"/>
              </w:rPr>
              <w:t> </w:t>
            </w:r>
            <w:r>
              <w:rPr>
                <w:sz w:val="20"/>
              </w:rPr>
              <w:t>weeks</w:t>
            </w:r>
            <w:r>
              <w:rPr>
                <w:spacing w:val="-5"/>
                <w:sz w:val="20"/>
              </w:rPr>
              <w:t> </w:t>
            </w:r>
            <w:r>
              <w:rPr>
                <w:sz w:val="20"/>
              </w:rPr>
              <w:t>for</w:t>
            </w:r>
            <w:r>
              <w:rPr>
                <w:spacing w:val="-5"/>
                <w:sz w:val="20"/>
              </w:rPr>
              <w:t> </w:t>
            </w:r>
            <w:r>
              <w:rPr>
                <w:sz w:val="20"/>
              </w:rPr>
              <w:t>treatment</w:t>
            </w:r>
            <w:r>
              <w:rPr>
                <w:spacing w:val="-6"/>
                <w:sz w:val="20"/>
              </w:rPr>
              <w:t> </w:t>
            </w:r>
            <w:r>
              <w:rPr>
                <w:sz w:val="20"/>
              </w:rPr>
              <w:t>or</w:t>
            </w:r>
            <w:r>
              <w:rPr>
                <w:spacing w:val="-5"/>
                <w:sz w:val="20"/>
              </w:rPr>
              <w:t> </w:t>
            </w:r>
            <w:r>
              <w:rPr>
                <w:sz w:val="20"/>
              </w:rPr>
              <w:t>those</w:t>
            </w:r>
            <w:r>
              <w:rPr>
                <w:spacing w:val="-9"/>
                <w:sz w:val="20"/>
              </w:rPr>
              <w:t> </w:t>
            </w:r>
            <w:r>
              <w:rPr>
                <w:sz w:val="20"/>
              </w:rPr>
              <w:t>waiting</w:t>
            </w:r>
            <w:r>
              <w:rPr>
                <w:spacing w:val="-7"/>
                <w:sz w:val="20"/>
              </w:rPr>
              <w:t> </w:t>
            </w:r>
            <w:r>
              <w:rPr>
                <w:sz w:val="20"/>
              </w:rPr>
              <w:t>for</w:t>
            </w:r>
            <w:r>
              <w:rPr>
                <w:spacing w:val="-5"/>
                <w:sz w:val="20"/>
              </w:rPr>
              <w:t> </w:t>
            </w:r>
            <w:r>
              <w:rPr>
                <w:sz w:val="20"/>
              </w:rPr>
              <w:t>outpatient reviews. Processes are in place to record, track and monitor risk stratification for all patients, at all points in the</w:t>
            </w:r>
            <w:r>
              <w:rPr>
                <w:spacing w:val="-4"/>
                <w:sz w:val="20"/>
              </w:rPr>
              <w:t> </w:t>
            </w:r>
            <w:r>
              <w:rPr>
                <w:sz w:val="20"/>
              </w:rPr>
              <w:t>pathway.</w:t>
            </w:r>
            <w:r>
              <w:rPr>
                <w:spacing w:val="-4"/>
                <w:sz w:val="20"/>
              </w:rPr>
              <w:t> </w:t>
            </w:r>
            <w:r>
              <w:rPr>
                <w:sz w:val="20"/>
              </w:rPr>
              <w:t>Assurance</w:t>
            </w:r>
            <w:r>
              <w:rPr>
                <w:spacing w:val="-2"/>
                <w:sz w:val="20"/>
              </w:rPr>
              <w:t> </w:t>
            </w:r>
            <w:r>
              <w:rPr>
                <w:sz w:val="20"/>
              </w:rPr>
              <w:t>has</w:t>
            </w:r>
            <w:r>
              <w:rPr>
                <w:spacing w:val="-3"/>
                <w:sz w:val="20"/>
              </w:rPr>
              <w:t> </w:t>
            </w:r>
            <w:r>
              <w:rPr>
                <w:sz w:val="20"/>
              </w:rPr>
              <w:t>been</w:t>
            </w:r>
            <w:r>
              <w:rPr>
                <w:spacing w:val="-3"/>
                <w:sz w:val="20"/>
              </w:rPr>
              <w:t> </w:t>
            </w:r>
            <w:r>
              <w:rPr>
                <w:sz w:val="20"/>
              </w:rPr>
              <w:t>provided</w:t>
            </w:r>
            <w:r>
              <w:rPr>
                <w:spacing w:val="-3"/>
                <w:sz w:val="20"/>
              </w:rPr>
              <w:t> </w:t>
            </w:r>
            <w:r>
              <w:rPr>
                <w:sz w:val="20"/>
              </w:rPr>
              <w:t>that</w:t>
            </w:r>
            <w:r>
              <w:rPr>
                <w:spacing w:val="-3"/>
                <w:sz w:val="20"/>
              </w:rPr>
              <w:t> </w:t>
            </w:r>
            <w:r>
              <w:rPr>
                <w:sz w:val="20"/>
              </w:rPr>
              <w:t>where</w:t>
            </w:r>
            <w:r>
              <w:rPr>
                <w:spacing w:val="-2"/>
                <w:sz w:val="20"/>
              </w:rPr>
              <w:t> </w:t>
            </w:r>
            <w:r>
              <w:rPr>
                <w:sz w:val="20"/>
              </w:rPr>
              <w:t>any</w:t>
            </w:r>
            <w:r>
              <w:rPr>
                <w:spacing w:val="-3"/>
                <w:sz w:val="20"/>
              </w:rPr>
              <w:t> </w:t>
            </w:r>
            <w:r>
              <w:rPr>
                <w:sz w:val="20"/>
              </w:rPr>
              <w:t>harm</w:t>
            </w:r>
            <w:r>
              <w:rPr>
                <w:spacing w:val="-4"/>
                <w:sz w:val="20"/>
              </w:rPr>
              <w:t> </w:t>
            </w:r>
            <w:r>
              <w:rPr>
                <w:sz w:val="20"/>
              </w:rPr>
              <w:t>is identified</w:t>
            </w:r>
            <w:r>
              <w:rPr>
                <w:spacing w:val="-4"/>
                <w:sz w:val="20"/>
              </w:rPr>
              <w:t> </w:t>
            </w:r>
            <w:r>
              <w:rPr>
                <w:sz w:val="20"/>
              </w:rPr>
              <w:t>this</w:t>
            </w:r>
            <w:r>
              <w:rPr>
                <w:spacing w:val="-3"/>
                <w:sz w:val="20"/>
              </w:rPr>
              <w:t> </w:t>
            </w:r>
            <w:r>
              <w:rPr>
                <w:sz w:val="20"/>
              </w:rPr>
              <w:t>is</w:t>
            </w:r>
            <w:r>
              <w:rPr>
                <w:spacing w:val="-3"/>
                <w:sz w:val="20"/>
              </w:rPr>
              <w:t> </w:t>
            </w:r>
            <w:r>
              <w:rPr>
                <w:sz w:val="20"/>
              </w:rPr>
              <w:t>escalated</w:t>
            </w:r>
            <w:r>
              <w:rPr>
                <w:spacing w:val="-4"/>
                <w:sz w:val="20"/>
              </w:rPr>
              <w:t> </w:t>
            </w:r>
            <w:r>
              <w:rPr>
                <w:sz w:val="20"/>
              </w:rPr>
              <w:t>and</w:t>
            </w:r>
            <w:r>
              <w:rPr>
                <w:spacing w:val="-4"/>
                <w:sz w:val="20"/>
              </w:rPr>
              <w:t> </w:t>
            </w:r>
            <w:r>
              <w:rPr>
                <w:sz w:val="20"/>
              </w:rPr>
              <w:t>managed via the Serious Incident management</w:t>
            </w:r>
            <w:r>
              <w:rPr>
                <w:spacing w:val="-5"/>
                <w:sz w:val="20"/>
              </w:rPr>
              <w:t> </w:t>
            </w:r>
            <w:r>
              <w:rPr>
                <w:sz w:val="20"/>
              </w:rPr>
              <w:t>process</w:t>
            </w:r>
            <w:r>
              <w:rPr>
                <w:sz w:val="22"/>
              </w:rPr>
              <w:t>.</w:t>
            </w:r>
          </w:p>
        </w:tc>
      </w:tr>
      <w:tr>
        <w:trPr>
          <w:trHeight w:val="1326" w:hRule="atLeast"/>
        </w:trPr>
        <w:tc>
          <w:tcPr>
            <w:tcW w:w="5117" w:type="dxa"/>
            <w:shd w:val="clear" w:color="auto" w:fill="8EAADB"/>
          </w:tcPr>
          <w:p>
            <w:pPr>
              <w:pStyle w:val="TableParagraph"/>
              <w:rPr>
                <w:rFonts w:ascii="Times New Roman"/>
                <w:sz w:val="20"/>
              </w:rPr>
            </w:pPr>
          </w:p>
        </w:tc>
        <w:tc>
          <w:tcPr>
            <w:tcW w:w="1419" w:type="dxa"/>
            <w:shd w:val="clear" w:color="auto" w:fill="8EAADB"/>
          </w:tcPr>
          <w:p>
            <w:pPr>
              <w:pStyle w:val="TableParagraph"/>
              <w:rPr>
                <w:rFonts w:ascii="Times New Roman"/>
                <w:sz w:val="20"/>
              </w:rPr>
            </w:pPr>
          </w:p>
        </w:tc>
        <w:tc>
          <w:tcPr>
            <w:tcW w:w="1561" w:type="dxa"/>
            <w:shd w:val="clear" w:color="auto" w:fill="8EAADB"/>
          </w:tcPr>
          <w:p>
            <w:pPr>
              <w:pStyle w:val="TableParagraph"/>
              <w:spacing w:line="267" w:lineRule="exact"/>
              <w:ind w:left="113"/>
              <w:rPr>
                <w:rFonts w:ascii="Calibri"/>
                <w:b/>
                <w:sz w:val="22"/>
              </w:rPr>
            </w:pPr>
            <w:r>
              <w:rPr>
                <w:rFonts w:ascii="Calibri"/>
                <w:b/>
                <w:sz w:val="22"/>
              </w:rPr>
              <w:t>Actual</w:t>
            </w:r>
          </w:p>
          <w:p>
            <w:pPr>
              <w:pStyle w:val="TableParagraph"/>
              <w:spacing w:before="1"/>
              <w:rPr>
                <w:sz w:val="21"/>
              </w:rPr>
            </w:pPr>
          </w:p>
          <w:p>
            <w:pPr>
              <w:pStyle w:val="TableParagraph"/>
              <w:spacing w:line="271" w:lineRule="auto"/>
              <w:ind w:left="113" w:right="464"/>
              <w:rPr>
                <w:rFonts w:ascii="Calibri"/>
                <w:b/>
                <w:sz w:val="22"/>
              </w:rPr>
            </w:pPr>
            <w:r>
              <w:rPr>
                <w:rFonts w:ascii="Calibri"/>
                <w:b/>
                <w:sz w:val="22"/>
              </w:rPr>
              <w:t>(Month - Mar 2022)</w:t>
            </w:r>
          </w:p>
        </w:tc>
        <w:tc>
          <w:tcPr>
            <w:tcW w:w="1705" w:type="dxa"/>
            <w:shd w:val="clear" w:color="auto" w:fill="8EAADB"/>
          </w:tcPr>
          <w:p>
            <w:pPr>
              <w:pStyle w:val="TableParagraph"/>
              <w:rPr>
                <w:sz w:val="22"/>
              </w:rPr>
            </w:pPr>
          </w:p>
          <w:p>
            <w:pPr>
              <w:pStyle w:val="TableParagraph"/>
              <w:spacing w:before="156"/>
              <w:ind w:left="112"/>
              <w:rPr>
                <w:rFonts w:ascii="Calibri"/>
                <w:b/>
                <w:sz w:val="22"/>
              </w:rPr>
            </w:pPr>
            <w:r>
              <w:rPr>
                <w:rFonts w:ascii="Calibri"/>
                <w:b/>
                <w:sz w:val="22"/>
              </w:rPr>
              <w:t>Target</w:t>
            </w:r>
          </w:p>
        </w:tc>
      </w:tr>
      <w:tr>
        <w:trPr>
          <w:trHeight w:val="510" w:hRule="atLeast"/>
        </w:trPr>
        <w:tc>
          <w:tcPr>
            <w:tcW w:w="5117" w:type="dxa"/>
          </w:tcPr>
          <w:p>
            <w:pPr>
              <w:pStyle w:val="TableParagraph"/>
              <w:spacing w:line="267" w:lineRule="exact"/>
              <w:ind w:left="114"/>
              <w:rPr>
                <w:rFonts w:ascii="Calibri"/>
                <w:sz w:val="22"/>
              </w:rPr>
            </w:pPr>
            <w:r>
              <w:rPr>
                <w:rFonts w:ascii="Calibri"/>
                <w:sz w:val="22"/>
              </w:rPr>
              <w:t>Access to services: Diagnostics</w:t>
            </w:r>
          </w:p>
        </w:tc>
        <w:tc>
          <w:tcPr>
            <w:tcW w:w="1419" w:type="dxa"/>
          </w:tcPr>
          <w:p>
            <w:pPr>
              <w:pStyle w:val="TableParagraph"/>
              <w:spacing w:line="267" w:lineRule="exact"/>
              <w:ind w:left="116"/>
              <w:rPr>
                <w:rFonts w:ascii="Calibri"/>
                <w:sz w:val="22"/>
              </w:rPr>
            </w:pPr>
            <w:r>
              <w:rPr>
                <w:rFonts w:ascii="Calibri"/>
                <w:sz w:val="22"/>
              </w:rPr>
              <w:t>2021-22</w:t>
            </w:r>
          </w:p>
        </w:tc>
        <w:tc>
          <w:tcPr>
            <w:tcW w:w="1561" w:type="dxa"/>
          </w:tcPr>
          <w:p>
            <w:pPr>
              <w:pStyle w:val="TableParagraph"/>
              <w:spacing w:line="267" w:lineRule="exact"/>
              <w:ind w:left="113"/>
              <w:rPr>
                <w:rFonts w:ascii="Calibri"/>
                <w:sz w:val="22"/>
              </w:rPr>
            </w:pPr>
            <w:r>
              <w:rPr>
                <w:rFonts w:ascii="Calibri"/>
                <w:sz w:val="22"/>
              </w:rPr>
              <w:t>17.76%</w:t>
            </w:r>
          </w:p>
        </w:tc>
        <w:tc>
          <w:tcPr>
            <w:tcW w:w="1705" w:type="dxa"/>
          </w:tcPr>
          <w:p>
            <w:pPr>
              <w:pStyle w:val="TableParagraph"/>
              <w:spacing w:line="267" w:lineRule="exact"/>
              <w:ind w:left="112"/>
              <w:rPr>
                <w:rFonts w:ascii="Calibri"/>
                <w:sz w:val="22"/>
              </w:rPr>
            </w:pPr>
            <w:r>
              <w:rPr>
                <w:rFonts w:ascii="Calibri"/>
                <w:sz w:val="22"/>
              </w:rPr>
              <w:t>1%</w:t>
            </w:r>
          </w:p>
        </w:tc>
      </w:tr>
      <w:tr>
        <w:trPr>
          <w:trHeight w:val="3143" w:hRule="atLeast"/>
        </w:trPr>
        <w:tc>
          <w:tcPr>
            <w:tcW w:w="9802" w:type="dxa"/>
            <w:gridSpan w:val="4"/>
          </w:tcPr>
          <w:p>
            <w:pPr>
              <w:pStyle w:val="TableParagraph"/>
              <w:spacing w:before="3"/>
              <w:ind w:left="114"/>
              <w:rPr>
                <w:rFonts w:ascii="Calibri"/>
                <w:b/>
                <w:sz w:val="22"/>
              </w:rPr>
            </w:pPr>
            <w:r>
              <w:rPr>
                <w:rFonts w:ascii="Calibri"/>
                <w:b/>
                <w:sz w:val="22"/>
                <w:u w:val="single"/>
              </w:rPr>
              <w:t>Commentary</w:t>
            </w:r>
          </w:p>
          <w:p>
            <w:pPr>
              <w:pStyle w:val="TableParagraph"/>
              <w:spacing w:before="6"/>
              <w:rPr>
                <w:sz w:val="20"/>
              </w:rPr>
            </w:pPr>
          </w:p>
          <w:p>
            <w:pPr>
              <w:pStyle w:val="TableParagraph"/>
              <w:spacing w:line="357" w:lineRule="auto"/>
              <w:ind w:left="114" w:right="954"/>
              <w:rPr>
                <w:sz w:val="20"/>
              </w:rPr>
            </w:pPr>
            <w:r>
              <w:rPr>
                <w:sz w:val="20"/>
              </w:rPr>
              <w:t>Performance against the Diagnostic Waiting Time Standard has improved and is currently the best performance against this standard since February 2020.</w:t>
            </w:r>
          </w:p>
          <w:p>
            <w:pPr>
              <w:pStyle w:val="TableParagraph"/>
              <w:spacing w:before="7"/>
              <w:rPr>
                <w:sz w:val="17"/>
              </w:rPr>
            </w:pPr>
          </w:p>
          <w:p>
            <w:pPr>
              <w:pStyle w:val="TableParagraph"/>
              <w:spacing w:line="360" w:lineRule="auto"/>
              <w:ind w:left="114" w:right="137"/>
              <w:rPr>
                <w:sz w:val="20"/>
              </w:rPr>
            </w:pPr>
            <w:r>
              <w:rPr>
                <w:sz w:val="20"/>
              </w:rPr>
              <w:t>Non-Obstetric Ultrasound remains the primary concern however the extra capacity secured and delivered from the Ironstone Centre in Scunthorpe continues to be utilised and the benefits are expected to be realised further over the coming months.</w:t>
            </w:r>
          </w:p>
        </w:tc>
      </w:tr>
      <w:tr>
        <w:trPr>
          <w:trHeight w:val="1324" w:hRule="atLeast"/>
        </w:trPr>
        <w:tc>
          <w:tcPr>
            <w:tcW w:w="5117" w:type="dxa"/>
            <w:shd w:val="clear" w:color="auto" w:fill="8EAADB"/>
          </w:tcPr>
          <w:p>
            <w:pPr>
              <w:pStyle w:val="TableParagraph"/>
              <w:rPr>
                <w:rFonts w:ascii="Times New Roman"/>
                <w:sz w:val="20"/>
              </w:rPr>
            </w:pPr>
          </w:p>
        </w:tc>
        <w:tc>
          <w:tcPr>
            <w:tcW w:w="1419" w:type="dxa"/>
            <w:shd w:val="clear" w:color="auto" w:fill="8EAADB"/>
          </w:tcPr>
          <w:p>
            <w:pPr>
              <w:pStyle w:val="TableParagraph"/>
              <w:rPr>
                <w:rFonts w:ascii="Times New Roman"/>
                <w:sz w:val="20"/>
              </w:rPr>
            </w:pPr>
          </w:p>
        </w:tc>
        <w:tc>
          <w:tcPr>
            <w:tcW w:w="1561" w:type="dxa"/>
            <w:shd w:val="clear" w:color="auto" w:fill="8EAADB"/>
          </w:tcPr>
          <w:p>
            <w:pPr>
              <w:pStyle w:val="TableParagraph"/>
              <w:spacing w:before="3"/>
              <w:ind w:left="113"/>
              <w:rPr>
                <w:rFonts w:ascii="Calibri"/>
                <w:b/>
                <w:sz w:val="22"/>
              </w:rPr>
            </w:pPr>
            <w:r>
              <w:rPr>
                <w:rFonts w:ascii="Calibri"/>
                <w:b/>
                <w:sz w:val="22"/>
              </w:rPr>
              <w:t>Actual</w:t>
            </w:r>
          </w:p>
          <w:p>
            <w:pPr>
              <w:pStyle w:val="TableParagraph"/>
              <w:spacing w:before="3"/>
              <w:rPr>
                <w:sz w:val="20"/>
              </w:rPr>
            </w:pPr>
          </w:p>
          <w:p>
            <w:pPr>
              <w:pStyle w:val="TableParagraph"/>
              <w:spacing w:line="276" w:lineRule="auto"/>
              <w:ind w:left="113" w:right="446"/>
              <w:rPr>
                <w:rFonts w:ascii="Calibri" w:hAnsi="Calibri"/>
                <w:b/>
                <w:sz w:val="22"/>
              </w:rPr>
            </w:pPr>
            <w:r>
              <w:rPr>
                <w:rFonts w:ascii="Calibri" w:hAnsi="Calibri"/>
                <w:b/>
                <w:sz w:val="22"/>
              </w:rPr>
              <w:t>(MONTH – Mar 2022)</w:t>
            </w:r>
          </w:p>
        </w:tc>
        <w:tc>
          <w:tcPr>
            <w:tcW w:w="1705" w:type="dxa"/>
            <w:shd w:val="clear" w:color="auto" w:fill="8EAADB"/>
          </w:tcPr>
          <w:p>
            <w:pPr>
              <w:pStyle w:val="TableParagraph"/>
              <w:rPr>
                <w:sz w:val="22"/>
              </w:rPr>
            </w:pPr>
          </w:p>
          <w:p>
            <w:pPr>
              <w:pStyle w:val="TableParagraph"/>
              <w:spacing w:before="154"/>
              <w:ind w:left="112"/>
              <w:rPr>
                <w:rFonts w:ascii="Calibri"/>
                <w:b/>
                <w:sz w:val="22"/>
              </w:rPr>
            </w:pPr>
            <w:r>
              <w:rPr>
                <w:rFonts w:ascii="Calibri"/>
                <w:b/>
                <w:sz w:val="22"/>
              </w:rPr>
              <w:t>Target</w:t>
            </w:r>
          </w:p>
        </w:tc>
      </w:tr>
      <w:tr>
        <w:trPr>
          <w:trHeight w:val="570" w:hRule="atLeast"/>
        </w:trPr>
        <w:tc>
          <w:tcPr>
            <w:tcW w:w="5117" w:type="dxa"/>
          </w:tcPr>
          <w:p>
            <w:pPr>
              <w:pStyle w:val="TableParagraph"/>
              <w:spacing w:before="30"/>
              <w:ind w:left="114"/>
              <w:rPr>
                <w:rFonts w:ascii="Calibri"/>
                <w:sz w:val="22"/>
              </w:rPr>
            </w:pPr>
            <w:r>
              <w:rPr>
                <w:rFonts w:ascii="Calibri"/>
                <w:sz w:val="22"/>
              </w:rPr>
              <w:t>Access to services - Cancer</w:t>
            </w:r>
          </w:p>
        </w:tc>
        <w:tc>
          <w:tcPr>
            <w:tcW w:w="4685" w:type="dxa"/>
            <w:gridSpan w:val="3"/>
          </w:tcPr>
          <w:p>
            <w:pPr>
              <w:pStyle w:val="TableParagraph"/>
              <w:rPr>
                <w:rFonts w:ascii="Times New Roman"/>
                <w:sz w:val="20"/>
              </w:rPr>
            </w:pPr>
          </w:p>
        </w:tc>
      </w:tr>
      <w:tr>
        <w:trPr>
          <w:trHeight w:val="817" w:hRule="atLeast"/>
        </w:trPr>
        <w:tc>
          <w:tcPr>
            <w:tcW w:w="5117" w:type="dxa"/>
          </w:tcPr>
          <w:p>
            <w:pPr>
              <w:pStyle w:val="TableParagraph"/>
              <w:spacing w:line="273" w:lineRule="auto" w:before="1"/>
              <w:ind w:left="114" w:right="472"/>
              <w:rPr>
                <w:rFonts w:ascii="Calibri" w:hAnsi="Calibri"/>
                <w:sz w:val="22"/>
              </w:rPr>
            </w:pPr>
            <w:r>
              <w:rPr>
                <w:rFonts w:ascii="Calibri" w:hAnsi="Calibri"/>
                <w:sz w:val="22"/>
              </w:rPr>
              <w:t>Cancer – 2 week wait for suspected cancer (breast cancer) (%)</w:t>
            </w:r>
          </w:p>
        </w:tc>
        <w:tc>
          <w:tcPr>
            <w:tcW w:w="1419" w:type="dxa"/>
          </w:tcPr>
          <w:p>
            <w:pPr>
              <w:pStyle w:val="TableParagraph"/>
              <w:spacing w:before="152"/>
              <w:ind w:left="116"/>
              <w:rPr>
                <w:rFonts w:ascii="Calibri"/>
                <w:sz w:val="22"/>
              </w:rPr>
            </w:pPr>
            <w:r>
              <w:rPr>
                <w:rFonts w:ascii="Calibri"/>
                <w:sz w:val="22"/>
              </w:rPr>
              <w:t>2021-22</w:t>
            </w:r>
          </w:p>
        </w:tc>
        <w:tc>
          <w:tcPr>
            <w:tcW w:w="1561" w:type="dxa"/>
            <w:shd w:val="clear" w:color="auto" w:fill="F7C8AC"/>
          </w:tcPr>
          <w:p>
            <w:pPr>
              <w:pStyle w:val="TableParagraph"/>
              <w:spacing w:before="152"/>
              <w:ind w:left="113"/>
              <w:rPr>
                <w:rFonts w:ascii="Calibri"/>
                <w:sz w:val="22"/>
              </w:rPr>
            </w:pPr>
            <w:r>
              <w:rPr>
                <w:rFonts w:ascii="Calibri"/>
                <w:sz w:val="22"/>
              </w:rPr>
              <w:t>65.6%</w:t>
            </w:r>
          </w:p>
        </w:tc>
        <w:tc>
          <w:tcPr>
            <w:tcW w:w="1705" w:type="dxa"/>
          </w:tcPr>
          <w:p>
            <w:pPr>
              <w:pStyle w:val="TableParagraph"/>
              <w:spacing w:before="152"/>
              <w:ind w:left="112"/>
              <w:rPr>
                <w:rFonts w:ascii="Calibri"/>
                <w:sz w:val="22"/>
              </w:rPr>
            </w:pPr>
            <w:r>
              <w:rPr>
                <w:rFonts w:ascii="Calibri"/>
                <w:sz w:val="22"/>
              </w:rPr>
              <w:t>93%</w:t>
            </w:r>
          </w:p>
        </w:tc>
      </w:tr>
    </w:tbl>
    <w:p>
      <w:pPr>
        <w:spacing w:after="0"/>
        <w:rPr>
          <w:rFonts w:ascii="Calibri"/>
          <w:sz w:val="22"/>
        </w:rPr>
        <w:sectPr>
          <w:pgSz w:w="11920" w:h="16850"/>
          <w:pgMar w:header="0" w:footer="363" w:top="1400" w:bottom="560" w:left="760" w:right="420"/>
        </w:sectPr>
      </w:pPr>
    </w:p>
    <w:tbl>
      <w:tblPr>
        <w:tblW w:w="0" w:type="auto"/>
        <w:jc w:val="left"/>
        <w:tblInd w:w="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7"/>
        <w:gridCol w:w="1419"/>
        <w:gridCol w:w="1561"/>
        <w:gridCol w:w="1705"/>
      </w:tblGrid>
      <w:tr>
        <w:trPr>
          <w:trHeight w:val="1125" w:hRule="atLeast"/>
        </w:trPr>
        <w:tc>
          <w:tcPr>
            <w:tcW w:w="5117" w:type="dxa"/>
            <w:tcBorders>
              <w:top w:val="nil"/>
            </w:tcBorders>
          </w:tcPr>
          <w:p>
            <w:pPr>
              <w:pStyle w:val="TableParagraph"/>
              <w:spacing w:line="276" w:lineRule="auto"/>
              <w:ind w:left="114" w:right="240"/>
              <w:rPr>
                <w:rFonts w:ascii="Calibri"/>
                <w:sz w:val="22"/>
              </w:rPr>
            </w:pPr>
            <w:r>
              <w:rPr>
                <w:rFonts w:ascii="Calibri"/>
                <w:sz w:val="22"/>
              </w:rPr>
              <w:t>Cancer - 31 Day standard for diagnosis to first definitive treatment within 31 days (all cancers) (%) - Meeting target.</w:t>
            </w:r>
          </w:p>
        </w:tc>
        <w:tc>
          <w:tcPr>
            <w:tcW w:w="1419" w:type="dxa"/>
            <w:tcBorders>
              <w:top w:val="nil"/>
            </w:tcBorders>
          </w:tcPr>
          <w:p>
            <w:pPr>
              <w:pStyle w:val="TableParagraph"/>
              <w:spacing w:before="9"/>
              <w:rPr>
                <w:sz w:val="26"/>
              </w:rPr>
            </w:pPr>
          </w:p>
          <w:p>
            <w:pPr>
              <w:pStyle w:val="TableParagraph"/>
              <w:spacing w:before="1"/>
              <w:ind w:left="116"/>
              <w:rPr>
                <w:rFonts w:ascii="Calibri"/>
                <w:sz w:val="22"/>
              </w:rPr>
            </w:pPr>
            <w:r>
              <w:rPr>
                <w:rFonts w:ascii="Calibri"/>
                <w:sz w:val="22"/>
              </w:rPr>
              <w:t>2021-22</w:t>
            </w:r>
          </w:p>
        </w:tc>
        <w:tc>
          <w:tcPr>
            <w:tcW w:w="1561" w:type="dxa"/>
            <w:tcBorders>
              <w:top w:val="nil"/>
            </w:tcBorders>
            <w:shd w:val="clear" w:color="auto" w:fill="F7C8AC"/>
          </w:tcPr>
          <w:p>
            <w:pPr>
              <w:pStyle w:val="TableParagraph"/>
              <w:spacing w:before="9"/>
              <w:rPr>
                <w:sz w:val="26"/>
              </w:rPr>
            </w:pPr>
          </w:p>
          <w:p>
            <w:pPr>
              <w:pStyle w:val="TableParagraph"/>
              <w:spacing w:before="1"/>
              <w:ind w:left="113"/>
              <w:rPr>
                <w:rFonts w:ascii="Calibri"/>
                <w:sz w:val="22"/>
              </w:rPr>
            </w:pPr>
            <w:r>
              <w:rPr>
                <w:rFonts w:ascii="Calibri"/>
                <w:sz w:val="22"/>
              </w:rPr>
              <w:t>98.5%</w:t>
            </w:r>
          </w:p>
        </w:tc>
        <w:tc>
          <w:tcPr>
            <w:tcW w:w="1705" w:type="dxa"/>
            <w:tcBorders>
              <w:top w:val="nil"/>
            </w:tcBorders>
          </w:tcPr>
          <w:p>
            <w:pPr>
              <w:pStyle w:val="TableParagraph"/>
              <w:spacing w:before="9"/>
              <w:rPr>
                <w:sz w:val="26"/>
              </w:rPr>
            </w:pPr>
          </w:p>
          <w:p>
            <w:pPr>
              <w:pStyle w:val="TableParagraph"/>
              <w:spacing w:before="1"/>
              <w:ind w:left="112"/>
              <w:rPr>
                <w:rFonts w:ascii="Calibri"/>
                <w:sz w:val="22"/>
              </w:rPr>
            </w:pPr>
            <w:r>
              <w:rPr>
                <w:rFonts w:ascii="Calibri"/>
                <w:sz w:val="22"/>
              </w:rPr>
              <w:t>96%</w:t>
            </w:r>
          </w:p>
        </w:tc>
      </w:tr>
      <w:tr>
        <w:trPr>
          <w:trHeight w:val="817" w:hRule="atLeast"/>
        </w:trPr>
        <w:tc>
          <w:tcPr>
            <w:tcW w:w="5117" w:type="dxa"/>
          </w:tcPr>
          <w:p>
            <w:pPr>
              <w:pStyle w:val="TableParagraph"/>
              <w:spacing w:line="271" w:lineRule="auto" w:before="1"/>
              <w:ind w:left="114" w:right="269"/>
              <w:rPr>
                <w:rFonts w:ascii="Calibri"/>
                <w:sz w:val="22"/>
              </w:rPr>
            </w:pPr>
            <w:r>
              <w:rPr>
                <w:rFonts w:ascii="Calibri"/>
                <w:sz w:val="22"/>
              </w:rPr>
              <w:t>Cancer 31 day waits: subsequent cancer treatments- surgery</w:t>
            </w:r>
          </w:p>
        </w:tc>
        <w:tc>
          <w:tcPr>
            <w:tcW w:w="1419" w:type="dxa"/>
          </w:tcPr>
          <w:p>
            <w:pPr>
              <w:pStyle w:val="TableParagraph"/>
              <w:spacing w:before="152"/>
              <w:ind w:left="116"/>
              <w:rPr>
                <w:rFonts w:ascii="Calibri"/>
                <w:sz w:val="22"/>
              </w:rPr>
            </w:pPr>
            <w:r>
              <w:rPr>
                <w:rFonts w:ascii="Calibri"/>
                <w:sz w:val="22"/>
              </w:rPr>
              <w:t>2021-22</w:t>
            </w:r>
          </w:p>
        </w:tc>
        <w:tc>
          <w:tcPr>
            <w:tcW w:w="1561" w:type="dxa"/>
            <w:shd w:val="clear" w:color="auto" w:fill="F7C8AC"/>
          </w:tcPr>
          <w:p>
            <w:pPr>
              <w:pStyle w:val="TableParagraph"/>
              <w:spacing w:before="152"/>
              <w:ind w:left="113"/>
              <w:rPr>
                <w:rFonts w:ascii="Calibri"/>
                <w:sz w:val="22"/>
              </w:rPr>
            </w:pPr>
            <w:r>
              <w:rPr>
                <w:rFonts w:ascii="Calibri"/>
                <w:sz w:val="22"/>
              </w:rPr>
              <w:t>82.6%</w:t>
            </w:r>
          </w:p>
        </w:tc>
        <w:tc>
          <w:tcPr>
            <w:tcW w:w="1705" w:type="dxa"/>
          </w:tcPr>
          <w:p>
            <w:pPr>
              <w:pStyle w:val="TableParagraph"/>
              <w:spacing w:before="152"/>
              <w:ind w:left="112"/>
              <w:rPr>
                <w:rFonts w:ascii="Calibri"/>
                <w:sz w:val="22"/>
              </w:rPr>
            </w:pPr>
            <w:r>
              <w:rPr>
                <w:rFonts w:ascii="Calibri"/>
                <w:sz w:val="22"/>
              </w:rPr>
              <w:t>94%</w:t>
            </w:r>
          </w:p>
        </w:tc>
      </w:tr>
      <w:tr>
        <w:trPr>
          <w:trHeight w:val="1127" w:hRule="atLeast"/>
        </w:trPr>
        <w:tc>
          <w:tcPr>
            <w:tcW w:w="5117" w:type="dxa"/>
          </w:tcPr>
          <w:p>
            <w:pPr>
              <w:pStyle w:val="TableParagraph"/>
              <w:spacing w:line="276" w:lineRule="auto"/>
              <w:ind w:left="114" w:right="560"/>
              <w:rPr>
                <w:rFonts w:ascii="Calibri"/>
                <w:sz w:val="22"/>
              </w:rPr>
            </w:pPr>
            <w:r>
              <w:rPr>
                <w:rFonts w:ascii="Calibri"/>
                <w:sz w:val="22"/>
              </w:rPr>
              <w:t>Cancer 62 day waits: first definitive treatments following urgent GP referral for suspected cancer including 31 day rare cancers (%)</w:t>
            </w:r>
          </w:p>
        </w:tc>
        <w:tc>
          <w:tcPr>
            <w:tcW w:w="1419" w:type="dxa"/>
          </w:tcPr>
          <w:p>
            <w:pPr>
              <w:pStyle w:val="TableParagraph"/>
              <w:spacing w:before="7"/>
              <w:rPr>
                <w:sz w:val="26"/>
              </w:rPr>
            </w:pPr>
          </w:p>
          <w:p>
            <w:pPr>
              <w:pStyle w:val="TableParagraph"/>
              <w:ind w:left="116"/>
              <w:rPr>
                <w:rFonts w:ascii="Calibri"/>
                <w:sz w:val="22"/>
              </w:rPr>
            </w:pPr>
            <w:r>
              <w:rPr>
                <w:rFonts w:ascii="Calibri"/>
                <w:sz w:val="22"/>
              </w:rPr>
              <w:t>2021-22</w:t>
            </w:r>
          </w:p>
        </w:tc>
        <w:tc>
          <w:tcPr>
            <w:tcW w:w="1561" w:type="dxa"/>
            <w:shd w:val="clear" w:color="auto" w:fill="F7C8AC"/>
          </w:tcPr>
          <w:p>
            <w:pPr>
              <w:pStyle w:val="TableParagraph"/>
              <w:spacing w:before="7"/>
              <w:rPr>
                <w:sz w:val="26"/>
              </w:rPr>
            </w:pPr>
          </w:p>
          <w:p>
            <w:pPr>
              <w:pStyle w:val="TableParagraph"/>
              <w:ind w:left="113"/>
              <w:rPr>
                <w:rFonts w:ascii="Calibri"/>
                <w:sz w:val="22"/>
              </w:rPr>
            </w:pPr>
            <w:r>
              <w:rPr>
                <w:rFonts w:ascii="Calibri"/>
                <w:sz w:val="22"/>
              </w:rPr>
              <w:t>62.5%</w:t>
            </w:r>
          </w:p>
        </w:tc>
        <w:tc>
          <w:tcPr>
            <w:tcW w:w="1705" w:type="dxa"/>
          </w:tcPr>
          <w:p>
            <w:pPr>
              <w:pStyle w:val="TableParagraph"/>
              <w:spacing w:before="7"/>
              <w:rPr>
                <w:sz w:val="26"/>
              </w:rPr>
            </w:pPr>
          </w:p>
          <w:p>
            <w:pPr>
              <w:pStyle w:val="TableParagraph"/>
              <w:ind w:left="112"/>
              <w:rPr>
                <w:rFonts w:ascii="Calibri"/>
                <w:sz w:val="22"/>
              </w:rPr>
            </w:pPr>
            <w:r>
              <w:rPr>
                <w:rFonts w:ascii="Calibri"/>
                <w:sz w:val="22"/>
              </w:rPr>
              <w:t>85%</w:t>
            </w:r>
          </w:p>
        </w:tc>
      </w:tr>
      <w:tr>
        <w:trPr>
          <w:trHeight w:val="1127" w:hRule="atLeast"/>
        </w:trPr>
        <w:tc>
          <w:tcPr>
            <w:tcW w:w="5117" w:type="dxa"/>
          </w:tcPr>
          <w:p>
            <w:pPr>
              <w:pStyle w:val="TableParagraph"/>
              <w:spacing w:line="276" w:lineRule="auto"/>
              <w:ind w:left="114" w:right="297"/>
              <w:rPr>
                <w:rFonts w:ascii="Calibri"/>
                <w:sz w:val="22"/>
              </w:rPr>
            </w:pPr>
            <w:r>
              <w:rPr>
                <w:rFonts w:ascii="Calibri"/>
                <w:sz w:val="22"/>
              </w:rPr>
              <w:t>Percentage of patients receiving first definitive treatment for cancer within 62-days of referral from an NHS Cancer Screening Service.</w:t>
            </w:r>
          </w:p>
        </w:tc>
        <w:tc>
          <w:tcPr>
            <w:tcW w:w="1419" w:type="dxa"/>
          </w:tcPr>
          <w:p>
            <w:pPr>
              <w:pStyle w:val="TableParagraph"/>
              <w:spacing w:before="7"/>
              <w:rPr>
                <w:sz w:val="26"/>
              </w:rPr>
            </w:pPr>
          </w:p>
          <w:p>
            <w:pPr>
              <w:pStyle w:val="TableParagraph"/>
              <w:ind w:left="116"/>
              <w:rPr>
                <w:rFonts w:ascii="Calibri"/>
                <w:sz w:val="22"/>
              </w:rPr>
            </w:pPr>
            <w:r>
              <w:rPr>
                <w:rFonts w:ascii="Calibri"/>
                <w:sz w:val="22"/>
              </w:rPr>
              <w:t>2021-22</w:t>
            </w:r>
          </w:p>
        </w:tc>
        <w:tc>
          <w:tcPr>
            <w:tcW w:w="1561" w:type="dxa"/>
            <w:shd w:val="clear" w:color="auto" w:fill="F7C8AC"/>
          </w:tcPr>
          <w:p>
            <w:pPr>
              <w:pStyle w:val="TableParagraph"/>
              <w:spacing w:before="7"/>
              <w:rPr>
                <w:sz w:val="26"/>
              </w:rPr>
            </w:pPr>
          </w:p>
          <w:p>
            <w:pPr>
              <w:pStyle w:val="TableParagraph"/>
              <w:ind w:left="113"/>
              <w:rPr>
                <w:rFonts w:ascii="Calibri"/>
                <w:sz w:val="22"/>
              </w:rPr>
            </w:pPr>
            <w:r>
              <w:rPr>
                <w:rFonts w:ascii="Calibri"/>
                <w:sz w:val="22"/>
              </w:rPr>
              <w:t>44.4%</w:t>
            </w:r>
          </w:p>
        </w:tc>
        <w:tc>
          <w:tcPr>
            <w:tcW w:w="1705" w:type="dxa"/>
          </w:tcPr>
          <w:p>
            <w:pPr>
              <w:pStyle w:val="TableParagraph"/>
              <w:spacing w:before="7"/>
              <w:rPr>
                <w:sz w:val="26"/>
              </w:rPr>
            </w:pPr>
          </w:p>
          <w:p>
            <w:pPr>
              <w:pStyle w:val="TableParagraph"/>
              <w:ind w:left="112"/>
              <w:rPr>
                <w:rFonts w:ascii="Calibri"/>
                <w:sz w:val="22"/>
              </w:rPr>
            </w:pPr>
            <w:r>
              <w:rPr>
                <w:rFonts w:ascii="Calibri"/>
                <w:sz w:val="22"/>
              </w:rPr>
              <w:t>90%</w:t>
            </w:r>
          </w:p>
        </w:tc>
      </w:tr>
      <w:tr>
        <w:trPr>
          <w:trHeight w:val="1122" w:hRule="atLeast"/>
        </w:trPr>
        <w:tc>
          <w:tcPr>
            <w:tcW w:w="5117" w:type="dxa"/>
          </w:tcPr>
          <w:p>
            <w:pPr>
              <w:pStyle w:val="TableParagraph"/>
              <w:spacing w:line="276" w:lineRule="auto"/>
              <w:ind w:left="114" w:right="354"/>
              <w:rPr>
                <w:rFonts w:ascii="Calibri"/>
                <w:sz w:val="22"/>
              </w:rPr>
            </w:pPr>
            <w:r>
              <w:rPr>
                <w:rFonts w:ascii="Calibri"/>
                <w:sz w:val="22"/>
              </w:rPr>
              <w:t>Percentage of patients receiving first definitive treatment for cancer within 62-days of a consultant decision to upgrade their priority status.</w:t>
            </w:r>
          </w:p>
        </w:tc>
        <w:tc>
          <w:tcPr>
            <w:tcW w:w="1419" w:type="dxa"/>
          </w:tcPr>
          <w:p>
            <w:pPr>
              <w:pStyle w:val="TableParagraph"/>
              <w:spacing w:before="7"/>
              <w:rPr>
                <w:sz w:val="26"/>
              </w:rPr>
            </w:pPr>
          </w:p>
          <w:p>
            <w:pPr>
              <w:pStyle w:val="TableParagraph"/>
              <w:ind w:left="116"/>
              <w:rPr>
                <w:rFonts w:ascii="Calibri"/>
                <w:sz w:val="22"/>
              </w:rPr>
            </w:pPr>
            <w:r>
              <w:rPr>
                <w:rFonts w:ascii="Calibri"/>
                <w:sz w:val="22"/>
              </w:rPr>
              <w:t>2021-22</w:t>
            </w:r>
          </w:p>
        </w:tc>
        <w:tc>
          <w:tcPr>
            <w:tcW w:w="1561" w:type="dxa"/>
            <w:shd w:val="clear" w:color="auto" w:fill="F7C8AC"/>
          </w:tcPr>
          <w:p>
            <w:pPr>
              <w:pStyle w:val="TableParagraph"/>
              <w:spacing w:before="7"/>
              <w:rPr>
                <w:sz w:val="26"/>
              </w:rPr>
            </w:pPr>
          </w:p>
          <w:p>
            <w:pPr>
              <w:pStyle w:val="TableParagraph"/>
              <w:ind w:left="113"/>
              <w:rPr>
                <w:rFonts w:ascii="Calibri"/>
                <w:sz w:val="22"/>
              </w:rPr>
            </w:pPr>
            <w:r>
              <w:rPr>
                <w:rFonts w:ascii="Calibri"/>
                <w:sz w:val="22"/>
              </w:rPr>
              <w:t>50%</w:t>
            </w:r>
          </w:p>
        </w:tc>
        <w:tc>
          <w:tcPr>
            <w:tcW w:w="1705" w:type="dxa"/>
          </w:tcPr>
          <w:p>
            <w:pPr>
              <w:pStyle w:val="TableParagraph"/>
              <w:spacing w:before="7"/>
              <w:rPr>
                <w:sz w:val="26"/>
              </w:rPr>
            </w:pPr>
          </w:p>
          <w:p>
            <w:pPr>
              <w:pStyle w:val="TableParagraph"/>
              <w:ind w:left="112"/>
              <w:rPr>
                <w:rFonts w:ascii="Calibri"/>
                <w:sz w:val="22"/>
              </w:rPr>
            </w:pPr>
            <w:r>
              <w:rPr>
                <w:rFonts w:ascii="Calibri"/>
                <w:sz w:val="22"/>
              </w:rPr>
              <w:t>90%</w:t>
            </w:r>
          </w:p>
        </w:tc>
      </w:tr>
      <w:tr>
        <w:trPr>
          <w:trHeight w:val="8497" w:hRule="atLeast"/>
        </w:trPr>
        <w:tc>
          <w:tcPr>
            <w:tcW w:w="9802" w:type="dxa"/>
            <w:gridSpan w:val="4"/>
          </w:tcPr>
          <w:p>
            <w:pPr>
              <w:pStyle w:val="TableParagraph"/>
              <w:spacing w:before="1"/>
              <w:ind w:left="114"/>
              <w:rPr>
                <w:rFonts w:ascii="Calibri"/>
                <w:b/>
                <w:sz w:val="22"/>
              </w:rPr>
            </w:pPr>
            <w:r>
              <w:rPr>
                <w:rFonts w:ascii="Calibri"/>
                <w:b/>
                <w:sz w:val="22"/>
                <w:u w:val="single"/>
              </w:rPr>
              <w:t>Commentary</w:t>
            </w:r>
          </w:p>
          <w:p>
            <w:pPr>
              <w:pStyle w:val="TableParagraph"/>
              <w:spacing w:before="10"/>
              <w:rPr>
                <w:sz w:val="20"/>
              </w:rPr>
            </w:pPr>
          </w:p>
          <w:p>
            <w:pPr>
              <w:pStyle w:val="TableParagraph"/>
              <w:spacing w:line="568" w:lineRule="auto" w:before="1"/>
              <w:ind w:left="114" w:right="1050"/>
              <w:rPr>
                <w:sz w:val="20"/>
              </w:rPr>
            </w:pPr>
            <w:r>
              <w:rPr>
                <w:sz w:val="20"/>
              </w:rPr>
              <w:t>The CCG has experienced difficulties with some of the pathways at different times during 2021/22.</w:t>
            </w:r>
          </w:p>
          <w:p>
            <w:pPr>
              <w:pStyle w:val="TableParagraph"/>
              <w:spacing w:line="360" w:lineRule="auto"/>
              <w:ind w:left="114" w:right="431"/>
              <w:rPr>
                <w:sz w:val="20"/>
              </w:rPr>
            </w:pPr>
            <w:r>
              <w:rPr>
                <w:sz w:val="20"/>
              </w:rPr>
              <w:t>All tumour sites are being affected by increasing waiting times due to high demand and the availability of oncologists. Northern Lincolnshire and Goole NHS Foundation Trust are also experiencing challenges related to visiting consultant services and tertiary based staging scans, which affect the ability to transfer patients for treatment.</w:t>
            </w:r>
          </w:p>
          <w:p>
            <w:pPr>
              <w:pStyle w:val="TableParagraph"/>
              <w:spacing w:before="3"/>
              <w:rPr>
                <w:sz w:val="17"/>
              </w:rPr>
            </w:pPr>
          </w:p>
          <w:p>
            <w:pPr>
              <w:pStyle w:val="TableParagraph"/>
              <w:spacing w:line="360" w:lineRule="auto"/>
              <w:ind w:left="114" w:right="137"/>
              <w:rPr>
                <w:sz w:val="20"/>
              </w:rPr>
            </w:pPr>
            <w:r>
              <w:rPr>
                <w:sz w:val="20"/>
              </w:rPr>
              <w:t>To mitigate some of the risks, 28- and 62-day performance is being reviewed and managed weekly and specific tumour site pathway reviews are being undertaken to identify any learning and opportunities for improvement. Within the Colorectal pathway, the Clinical Nurse Specialist (CNS) straight to test model commenced in January 2022, at both Scunthorpe and Grimsby, and is impacting positively on the 28-day faster diagnosis performance.</w:t>
            </w:r>
          </w:p>
          <w:p>
            <w:pPr>
              <w:pStyle w:val="TableParagraph"/>
              <w:spacing w:line="360" w:lineRule="auto" w:before="197"/>
              <w:ind w:left="114" w:right="409"/>
              <w:rPr>
                <w:sz w:val="20"/>
              </w:rPr>
            </w:pPr>
            <w:r>
              <w:rPr>
                <w:sz w:val="20"/>
              </w:rPr>
              <w:t>Divisional trajectories at tumour site level are also being mapped for 2022/23 to deliver a reduction in the backlog, increase faster diagnosis and improve performance against the 28 day and 62-day standards.</w:t>
            </w:r>
          </w:p>
          <w:p>
            <w:pPr>
              <w:pStyle w:val="TableParagraph"/>
              <w:spacing w:before="5"/>
              <w:rPr>
                <w:sz w:val="17"/>
              </w:rPr>
            </w:pPr>
          </w:p>
          <w:p>
            <w:pPr>
              <w:pStyle w:val="TableParagraph"/>
              <w:spacing w:line="360" w:lineRule="auto"/>
              <w:ind w:left="114" w:right="137"/>
              <w:rPr>
                <w:sz w:val="20"/>
              </w:rPr>
            </w:pPr>
            <w:r>
              <w:rPr>
                <w:sz w:val="20"/>
              </w:rPr>
              <w:t>The joint transformation pathway work continues between NLaG and HUTH with a key focus being the identification of areas where pathways can be accelerated and to help with the transfer of patients.</w:t>
            </w:r>
          </w:p>
          <w:p>
            <w:pPr>
              <w:pStyle w:val="TableParagraph"/>
              <w:spacing w:before="5"/>
              <w:rPr>
                <w:sz w:val="17"/>
              </w:rPr>
            </w:pPr>
          </w:p>
          <w:p>
            <w:pPr>
              <w:pStyle w:val="TableParagraph"/>
              <w:spacing w:line="360" w:lineRule="auto"/>
              <w:ind w:left="114" w:right="4"/>
              <w:rPr>
                <w:sz w:val="22"/>
              </w:rPr>
            </w:pPr>
            <w:r>
              <w:rPr>
                <w:sz w:val="20"/>
              </w:rPr>
              <w:t>Clinical harm reviews continue to be undertaken for all patients who wait more than 104 days and cancer surgery continues to be prioritised, in addition to the use of the Independent Sector to support timely access to surgery and diagnostics. Significant work continues with system partners to aid pathway improvements, and this will continue to be monitored by the Humber Cancer Board</w:t>
            </w:r>
            <w:r>
              <w:rPr>
                <w:sz w:val="22"/>
              </w:rPr>
              <w:t>.</w:t>
            </w:r>
          </w:p>
        </w:tc>
      </w:tr>
    </w:tbl>
    <w:p>
      <w:pPr>
        <w:spacing w:after="0" w:line="360" w:lineRule="auto"/>
        <w:rPr>
          <w:sz w:val="22"/>
        </w:rPr>
        <w:sectPr>
          <w:pgSz w:w="11920" w:h="16850"/>
          <w:pgMar w:header="0" w:footer="363" w:top="1400" w:bottom="560" w:left="760" w:right="420"/>
        </w:sectPr>
      </w:pPr>
    </w:p>
    <w:p>
      <w:pPr>
        <w:pStyle w:val="BodyText"/>
        <w:spacing w:before="81"/>
        <w:ind w:left="680" w:right="745"/>
      </w:pPr>
      <w:r>
        <w:rPr/>
        <w:t>Full information regarding performance against the CCG’s detailed targets and highlights of plans to support improved performance for the future are set out in the performance section of the CCG Annual Report. Following the pandemic being declared, the CCG has acknowledged it is not business as usual and new challenges and demands have presented, resulting in some changed practices. The CCG has demonstrated leadership through co-ordinating the local health economy response.</w:t>
      </w:r>
    </w:p>
    <w:p>
      <w:pPr>
        <w:pStyle w:val="Heading4"/>
        <w:spacing w:line="552" w:lineRule="auto" w:before="201"/>
        <w:ind w:right="1770"/>
      </w:pPr>
      <w:bookmarkStart w:name="Review of economy, efficiency and effect" w:id="143"/>
      <w:bookmarkEnd w:id="143"/>
      <w:r>
        <w:rPr>
          <w:b w:val="0"/>
        </w:rPr>
      </w:r>
      <w:r>
        <w:rPr>
          <w:color w:val="365F91"/>
        </w:rPr>
        <w:t>Review of economy, efficiency and effectiveness of the use of resources Introduction</w:t>
      </w:r>
    </w:p>
    <w:p>
      <w:pPr>
        <w:pStyle w:val="BodyText"/>
        <w:spacing w:line="242" w:lineRule="auto"/>
        <w:ind w:left="677" w:right="2654" w:firstLine="2"/>
      </w:pPr>
      <w:r>
        <w:rPr/>
        <w:t>Sound corporate governance has played a key role within the CCG’s overall pursuit of improved economy, efficiency and effectiveness.</w:t>
      </w:r>
    </w:p>
    <w:p>
      <w:pPr>
        <w:pStyle w:val="BodyText"/>
        <w:rPr>
          <w:sz w:val="24"/>
        </w:rPr>
      </w:pPr>
    </w:p>
    <w:p>
      <w:pPr>
        <w:pStyle w:val="BodyText"/>
        <w:spacing w:before="9"/>
        <w:rPr>
          <w:sz w:val="24"/>
        </w:rPr>
      </w:pPr>
    </w:p>
    <w:p>
      <w:pPr>
        <w:pStyle w:val="Heading4"/>
      </w:pPr>
      <w:bookmarkStart w:name="2021-22 Performance" w:id="144"/>
      <w:bookmarkEnd w:id="144"/>
      <w:r>
        <w:rPr>
          <w:b w:val="0"/>
        </w:rPr>
      </w:r>
      <w:r>
        <w:rPr>
          <w:color w:val="365F91"/>
        </w:rPr>
        <w:t>2021-22 Performance</w:t>
      </w:r>
    </w:p>
    <w:p>
      <w:pPr>
        <w:pStyle w:val="BodyText"/>
        <w:spacing w:before="9"/>
        <w:rPr>
          <w:b/>
          <w:sz w:val="28"/>
        </w:rPr>
      </w:pPr>
    </w:p>
    <w:p>
      <w:pPr>
        <w:pStyle w:val="BodyText"/>
        <w:ind w:left="680"/>
      </w:pPr>
      <w:r>
        <w:rPr/>
        <w:t>A summary of the CCG’s Financial Performance in 2021-22 can be seen below:</w:t>
      </w:r>
    </w:p>
    <w:p>
      <w:pPr>
        <w:pStyle w:val="BodyText"/>
      </w:pPr>
      <w:r>
        <w:rPr/>
        <w:drawing>
          <wp:anchor distT="0" distB="0" distL="0" distR="0" allowOverlap="1" layoutInCell="1" locked="0" behindDoc="0" simplePos="0" relativeHeight="6">
            <wp:simplePos x="0" y="0"/>
            <wp:positionH relativeFrom="page">
              <wp:posOffset>914400</wp:posOffset>
            </wp:positionH>
            <wp:positionV relativeFrom="paragraph">
              <wp:posOffset>185828</wp:posOffset>
            </wp:positionV>
            <wp:extent cx="5701874" cy="2636139"/>
            <wp:effectExtent l="0" t="0" r="0" b="0"/>
            <wp:wrapTopAndBottom/>
            <wp:docPr id="15" name="image7.png" descr="Table  Description automatically generated"/>
            <wp:cNvGraphicFramePr>
              <a:graphicFrameLocks noChangeAspect="1"/>
            </wp:cNvGraphicFramePr>
            <a:graphic>
              <a:graphicData uri="http://schemas.openxmlformats.org/drawingml/2006/picture">
                <pic:pic>
                  <pic:nvPicPr>
                    <pic:cNvPr id="16" name="image7.png"/>
                    <pic:cNvPicPr/>
                  </pic:nvPicPr>
                  <pic:blipFill>
                    <a:blip r:embed="rId29" cstate="print"/>
                    <a:stretch>
                      <a:fillRect/>
                    </a:stretch>
                  </pic:blipFill>
                  <pic:spPr>
                    <a:xfrm>
                      <a:off x="0" y="0"/>
                      <a:ext cx="5701874" cy="2636139"/>
                    </a:xfrm>
                    <a:prstGeom prst="rect">
                      <a:avLst/>
                    </a:prstGeom>
                  </pic:spPr>
                </pic:pic>
              </a:graphicData>
            </a:graphic>
          </wp:anchor>
        </w:drawing>
      </w:r>
    </w:p>
    <w:p>
      <w:pPr>
        <w:pStyle w:val="BodyText"/>
        <w:spacing w:before="10"/>
        <w:rPr>
          <w:sz w:val="25"/>
        </w:rPr>
      </w:pPr>
    </w:p>
    <w:p>
      <w:pPr>
        <w:pStyle w:val="Heading4"/>
      </w:pPr>
      <w:bookmarkStart w:name="Medium term financial strategy" w:id="145"/>
      <w:bookmarkEnd w:id="145"/>
      <w:r>
        <w:rPr>
          <w:b w:val="0"/>
        </w:rPr>
      </w:r>
      <w:r>
        <w:rPr>
          <w:color w:val="365F91"/>
        </w:rPr>
        <w:t>Medium term financial strategy</w:t>
      </w:r>
    </w:p>
    <w:p>
      <w:pPr>
        <w:pStyle w:val="BodyText"/>
        <w:spacing w:before="3"/>
        <w:rPr>
          <w:b/>
          <w:sz w:val="31"/>
        </w:rPr>
      </w:pPr>
    </w:p>
    <w:p>
      <w:pPr>
        <w:pStyle w:val="BodyText"/>
        <w:spacing w:before="1"/>
        <w:ind w:left="679" w:right="1206"/>
      </w:pPr>
      <w:r>
        <w:rPr/>
        <w:t>The NHS Long Term Plan requires an integrated approach to strategic and operational planning, where systems are expected to bring together member organisations to develop a common set of principles. To support submission of the Humber Coast and Vale Long Term Plan the CCG produced a five-year financial plan which set out how we will allocate resources to deliver the requirements of the Long-Term Plan including the commitment to increase investment in mental health, primary and community health services as a share of total NHS revenue spend across the five years from 2019-20 to 2023-24.</w:t>
      </w:r>
    </w:p>
    <w:p>
      <w:pPr>
        <w:pStyle w:val="BodyText"/>
        <w:spacing w:before="6"/>
        <w:rPr>
          <w:sz w:val="27"/>
        </w:rPr>
      </w:pPr>
    </w:p>
    <w:p>
      <w:pPr>
        <w:pStyle w:val="Heading4"/>
        <w:spacing w:line="276" w:lineRule="auto" w:before="1"/>
        <w:ind w:right="1330"/>
      </w:pPr>
      <w:bookmarkStart w:name="Governance arrangements to promote impro" w:id="146"/>
      <w:bookmarkEnd w:id="146"/>
      <w:r>
        <w:rPr>
          <w:b w:val="0"/>
        </w:rPr>
      </w:r>
      <w:r>
        <w:rPr>
          <w:color w:val="365F91"/>
        </w:rPr>
        <w:t>Governance arrangements to promote improvements in economy, efficiency and effectiveness</w:t>
      </w:r>
    </w:p>
    <w:p>
      <w:pPr>
        <w:pStyle w:val="BodyText"/>
        <w:spacing w:before="4"/>
        <w:rPr>
          <w:b/>
          <w:sz w:val="27"/>
        </w:rPr>
      </w:pPr>
    </w:p>
    <w:p>
      <w:pPr>
        <w:pStyle w:val="BodyText"/>
        <w:ind w:left="672" w:right="1304" w:firstLine="7"/>
      </w:pPr>
      <w:r>
        <w:rPr/>
        <w:t>The Governing Body has overarching responsibility for ensuring that North Lincolnshire CCG has appropriate arrangements in place to exercise its functions effectively, efficiently and economically and in accordance with the Group’s principles of good governance (its main function).</w:t>
      </w:r>
    </w:p>
    <w:p>
      <w:pPr>
        <w:spacing w:after="0"/>
        <w:sectPr>
          <w:pgSz w:w="11920" w:h="16850"/>
          <w:pgMar w:header="0" w:footer="363" w:top="1320" w:bottom="560" w:left="760" w:right="420"/>
        </w:sectPr>
      </w:pPr>
    </w:p>
    <w:p>
      <w:pPr>
        <w:pStyle w:val="BodyText"/>
        <w:spacing w:before="81"/>
        <w:ind w:left="675" w:right="1615" w:firstLine="4"/>
      </w:pPr>
      <w:r>
        <w:rPr/>
        <w:t>The CCG’s constitution allows for the delegation of responsibility to ensure appropriate arrangements are in place for the CCG to fulfil this duty to the Integrated Audit &amp; Governance Committee and requires that it undertakes functions as set out in its Terms of Reference as agreed by the Governing Body.</w:t>
      </w:r>
    </w:p>
    <w:p>
      <w:pPr>
        <w:pStyle w:val="BodyText"/>
        <w:spacing w:before="8"/>
        <w:rPr>
          <w:sz w:val="21"/>
        </w:rPr>
      </w:pPr>
    </w:p>
    <w:p>
      <w:pPr>
        <w:pStyle w:val="BodyText"/>
        <w:spacing w:before="1"/>
        <w:ind w:left="667" w:right="1443" w:firstLine="7"/>
      </w:pPr>
      <w:r>
        <w:rPr/>
        <w:t>The Integrated Audit &amp; Governance Committee receives regular reports on financial governance and reviews the Annual Accounts, Annual Governance Statement and Head of Internal Audit Opinion. The Governing Body receives a Finance Report from the Chief Finance Officer at every meeting, where open challenge takes place.</w:t>
      </w:r>
    </w:p>
    <w:p>
      <w:pPr>
        <w:pStyle w:val="BodyText"/>
        <w:spacing w:before="10"/>
        <w:rPr>
          <w:sz w:val="21"/>
        </w:rPr>
      </w:pPr>
    </w:p>
    <w:p>
      <w:pPr>
        <w:pStyle w:val="BodyText"/>
        <w:spacing w:before="1"/>
        <w:ind w:left="674" w:right="1558" w:firstLine="4"/>
      </w:pPr>
      <w:r>
        <w:rPr/>
        <w:t>The Chief Finance Officer is a member of the Governing Body and is responsible for providing financial advice to the group and for ensuring financial control and accounting systems are in place. The role of Chief Finance Officer includes:</w:t>
      </w:r>
    </w:p>
    <w:p>
      <w:pPr>
        <w:pStyle w:val="BodyText"/>
      </w:pPr>
    </w:p>
    <w:p>
      <w:pPr>
        <w:pStyle w:val="ListParagraph"/>
        <w:numPr>
          <w:ilvl w:val="0"/>
          <w:numId w:val="13"/>
        </w:numPr>
        <w:tabs>
          <w:tab w:pos="1393" w:val="left" w:leader="none"/>
        </w:tabs>
        <w:spacing w:line="240" w:lineRule="auto" w:before="0" w:after="0"/>
        <w:ind w:left="1393" w:right="1131" w:hanging="358"/>
        <w:jc w:val="both"/>
        <w:rPr>
          <w:sz w:val="22"/>
        </w:rPr>
      </w:pPr>
      <w:r>
        <w:rPr>
          <w:sz w:val="22"/>
        </w:rPr>
        <w:t>Acting</w:t>
      </w:r>
      <w:r>
        <w:rPr>
          <w:spacing w:val="-10"/>
          <w:sz w:val="22"/>
        </w:rPr>
        <w:t> </w:t>
      </w:r>
      <w:r>
        <w:rPr>
          <w:sz w:val="22"/>
        </w:rPr>
        <w:t>as</w:t>
      </w:r>
      <w:r>
        <w:rPr>
          <w:spacing w:val="-12"/>
          <w:sz w:val="22"/>
        </w:rPr>
        <w:t> </w:t>
      </w:r>
      <w:r>
        <w:rPr>
          <w:sz w:val="22"/>
        </w:rPr>
        <w:t>the</w:t>
      </w:r>
      <w:r>
        <w:rPr>
          <w:spacing w:val="-12"/>
          <w:sz w:val="22"/>
        </w:rPr>
        <w:t> </w:t>
      </w:r>
      <w:r>
        <w:rPr>
          <w:sz w:val="22"/>
        </w:rPr>
        <w:t>Governing</w:t>
      </w:r>
      <w:r>
        <w:rPr>
          <w:spacing w:val="-12"/>
          <w:sz w:val="22"/>
        </w:rPr>
        <w:t> </w:t>
      </w:r>
      <w:r>
        <w:rPr>
          <w:sz w:val="22"/>
        </w:rPr>
        <w:t>Body’s</w:t>
      </w:r>
      <w:r>
        <w:rPr>
          <w:spacing w:val="-7"/>
          <w:sz w:val="22"/>
        </w:rPr>
        <w:t> </w:t>
      </w:r>
      <w:r>
        <w:rPr>
          <w:sz w:val="22"/>
        </w:rPr>
        <w:t>professional</w:t>
      </w:r>
      <w:r>
        <w:rPr>
          <w:spacing w:val="-7"/>
          <w:sz w:val="22"/>
        </w:rPr>
        <w:t> </w:t>
      </w:r>
      <w:r>
        <w:rPr>
          <w:sz w:val="22"/>
        </w:rPr>
        <w:t>expert</w:t>
      </w:r>
      <w:r>
        <w:rPr>
          <w:spacing w:val="-7"/>
          <w:sz w:val="22"/>
        </w:rPr>
        <w:t> </w:t>
      </w:r>
      <w:r>
        <w:rPr>
          <w:sz w:val="22"/>
        </w:rPr>
        <w:t>on</w:t>
      </w:r>
      <w:r>
        <w:rPr>
          <w:spacing w:val="-11"/>
          <w:sz w:val="22"/>
        </w:rPr>
        <w:t> </w:t>
      </w:r>
      <w:r>
        <w:rPr>
          <w:sz w:val="22"/>
        </w:rPr>
        <w:t>finance</w:t>
      </w:r>
      <w:r>
        <w:rPr>
          <w:spacing w:val="-7"/>
          <w:sz w:val="22"/>
        </w:rPr>
        <w:t> </w:t>
      </w:r>
      <w:r>
        <w:rPr>
          <w:sz w:val="22"/>
        </w:rPr>
        <w:t>and</w:t>
      </w:r>
      <w:r>
        <w:rPr>
          <w:spacing w:val="-10"/>
          <w:sz w:val="22"/>
        </w:rPr>
        <w:t> </w:t>
      </w:r>
      <w:r>
        <w:rPr>
          <w:sz w:val="22"/>
        </w:rPr>
        <w:t>ensuring,</w:t>
      </w:r>
      <w:r>
        <w:rPr>
          <w:spacing w:val="-6"/>
          <w:sz w:val="22"/>
        </w:rPr>
        <w:t> </w:t>
      </w:r>
      <w:r>
        <w:rPr>
          <w:sz w:val="22"/>
        </w:rPr>
        <w:t>through robust systems and processes, the regularity and propriety </w:t>
      </w:r>
      <w:r>
        <w:rPr>
          <w:spacing w:val="-3"/>
          <w:sz w:val="22"/>
        </w:rPr>
        <w:t>of </w:t>
      </w:r>
      <w:r>
        <w:rPr>
          <w:sz w:val="22"/>
        </w:rPr>
        <w:t>expenditure is fully discharged</w:t>
      </w:r>
    </w:p>
    <w:p>
      <w:pPr>
        <w:pStyle w:val="ListParagraph"/>
        <w:numPr>
          <w:ilvl w:val="0"/>
          <w:numId w:val="13"/>
        </w:numPr>
        <w:tabs>
          <w:tab w:pos="1394" w:val="left" w:leader="none"/>
        </w:tabs>
        <w:spacing w:line="262" w:lineRule="exact" w:before="0" w:after="0"/>
        <w:ind w:left="1393" w:right="0" w:hanging="364"/>
        <w:jc w:val="both"/>
        <w:rPr>
          <w:sz w:val="22"/>
        </w:rPr>
      </w:pPr>
      <w:r>
        <w:rPr>
          <w:sz w:val="22"/>
        </w:rPr>
        <w:t>Making appropriate arrangements to support and monitor the CCG’s</w:t>
      </w:r>
      <w:r>
        <w:rPr>
          <w:spacing w:val="-34"/>
          <w:sz w:val="22"/>
        </w:rPr>
        <w:t> </w:t>
      </w:r>
      <w:r>
        <w:rPr>
          <w:sz w:val="22"/>
        </w:rPr>
        <w:t>finances</w:t>
      </w:r>
    </w:p>
    <w:p>
      <w:pPr>
        <w:pStyle w:val="ListParagraph"/>
        <w:numPr>
          <w:ilvl w:val="0"/>
          <w:numId w:val="13"/>
        </w:numPr>
        <w:tabs>
          <w:tab w:pos="1389" w:val="left" w:leader="none"/>
        </w:tabs>
        <w:spacing w:line="235" w:lineRule="auto" w:before="8" w:after="0"/>
        <w:ind w:left="1388" w:right="1137" w:hanging="360"/>
        <w:jc w:val="both"/>
        <w:rPr>
          <w:sz w:val="22"/>
        </w:rPr>
      </w:pPr>
      <w:r>
        <w:rPr>
          <w:sz w:val="22"/>
        </w:rPr>
        <w:t>Overseeing</w:t>
      </w:r>
      <w:r>
        <w:rPr>
          <w:spacing w:val="-14"/>
          <w:sz w:val="22"/>
        </w:rPr>
        <w:t> </w:t>
      </w:r>
      <w:r>
        <w:rPr>
          <w:sz w:val="22"/>
        </w:rPr>
        <w:t>robust</w:t>
      </w:r>
      <w:r>
        <w:rPr>
          <w:spacing w:val="-13"/>
          <w:sz w:val="22"/>
        </w:rPr>
        <w:t> </w:t>
      </w:r>
      <w:r>
        <w:rPr>
          <w:sz w:val="22"/>
        </w:rPr>
        <w:t>audit</w:t>
      </w:r>
      <w:r>
        <w:rPr>
          <w:spacing w:val="-17"/>
          <w:sz w:val="22"/>
        </w:rPr>
        <w:t> </w:t>
      </w:r>
      <w:r>
        <w:rPr>
          <w:sz w:val="22"/>
        </w:rPr>
        <w:t>and</w:t>
      </w:r>
      <w:r>
        <w:rPr>
          <w:spacing w:val="-17"/>
          <w:sz w:val="22"/>
        </w:rPr>
        <w:t> </w:t>
      </w:r>
      <w:r>
        <w:rPr>
          <w:sz w:val="22"/>
        </w:rPr>
        <w:t>governance</w:t>
      </w:r>
      <w:r>
        <w:rPr>
          <w:spacing w:val="-15"/>
          <w:sz w:val="22"/>
        </w:rPr>
        <w:t> </w:t>
      </w:r>
      <w:r>
        <w:rPr>
          <w:sz w:val="22"/>
        </w:rPr>
        <w:t>arrangements</w:t>
      </w:r>
      <w:r>
        <w:rPr>
          <w:spacing w:val="-19"/>
          <w:sz w:val="22"/>
        </w:rPr>
        <w:t> </w:t>
      </w:r>
      <w:r>
        <w:rPr>
          <w:sz w:val="22"/>
        </w:rPr>
        <w:t>leading</w:t>
      </w:r>
      <w:r>
        <w:rPr>
          <w:spacing w:val="-13"/>
          <w:sz w:val="22"/>
        </w:rPr>
        <w:t> </w:t>
      </w:r>
      <w:r>
        <w:rPr>
          <w:sz w:val="22"/>
        </w:rPr>
        <w:t>to</w:t>
      </w:r>
      <w:r>
        <w:rPr>
          <w:spacing w:val="-19"/>
          <w:sz w:val="22"/>
        </w:rPr>
        <w:t> </w:t>
      </w:r>
      <w:r>
        <w:rPr>
          <w:sz w:val="22"/>
        </w:rPr>
        <w:t>propriety</w:t>
      </w:r>
      <w:r>
        <w:rPr>
          <w:spacing w:val="-11"/>
          <w:sz w:val="22"/>
        </w:rPr>
        <w:t> </w:t>
      </w:r>
      <w:r>
        <w:rPr>
          <w:sz w:val="22"/>
        </w:rPr>
        <w:t>in</w:t>
      </w:r>
      <w:r>
        <w:rPr>
          <w:spacing w:val="-17"/>
          <w:sz w:val="22"/>
        </w:rPr>
        <w:t> </w:t>
      </w:r>
      <w:r>
        <w:rPr>
          <w:sz w:val="22"/>
        </w:rPr>
        <w:t>the</w:t>
      </w:r>
      <w:r>
        <w:rPr>
          <w:spacing w:val="-19"/>
          <w:sz w:val="22"/>
        </w:rPr>
        <w:t> </w:t>
      </w:r>
      <w:r>
        <w:rPr>
          <w:sz w:val="22"/>
        </w:rPr>
        <w:t>use of the CCG’s</w:t>
      </w:r>
      <w:r>
        <w:rPr>
          <w:spacing w:val="-5"/>
          <w:sz w:val="22"/>
        </w:rPr>
        <w:t> </w:t>
      </w:r>
      <w:r>
        <w:rPr>
          <w:sz w:val="22"/>
        </w:rPr>
        <w:t>resources</w:t>
      </w:r>
    </w:p>
    <w:p>
      <w:pPr>
        <w:pStyle w:val="ListParagraph"/>
        <w:numPr>
          <w:ilvl w:val="0"/>
          <w:numId w:val="13"/>
        </w:numPr>
        <w:tabs>
          <w:tab w:pos="1399" w:val="left" w:leader="none"/>
        </w:tabs>
        <w:spacing w:line="237" w:lineRule="auto" w:before="4" w:after="0"/>
        <w:ind w:left="1398" w:right="1125" w:hanging="358"/>
        <w:jc w:val="both"/>
        <w:rPr>
          <w:sz w:val="22"/>
        </w:rPr>
      </w:pPr>
      <w:r>
        <w:rPr>
          <w:sz w:val="22"/>
        </w:rPr>
        <w:t>Being</w:t>
      </w:r>
      <w:r>
        <w:rPr>
          <w:spacing w:val="-6"/>
          <w:sz w:val="22"/>
        </w:rPr>
        <w:t> </w:t>
      </w:r>
      <w:r>
        <w:rPr>
          <w:sz w:val="22"/>
        </w:rPr>
        <w:t>able</w:t>
      </w:r>
      <w:r>
        <w:rPr>
          <w:spacing w:val="-6"/>
          <w:sz w:val="22"/>
        </w:rPr>
        <w:t> </w:t>
      </w:r>
      <w:r>
        <w:rPr>
          <w:sz w:val="22"/>
        </w:rPr>
        <w:t>to</w:t>
      </w:r>
      <w:r>
        <w:rPr>
          <w:spacing w:val="-6"/>
          <w:sz w:val="22"/>
        </w:rPr>
        <w:t> </w:t>
      </w:r>
      <w:r>
        <w:rPr>
          <w:sz w:val="22"/>
        </w:rPr>
        <w:t>advise</w:t>
      </w:r>
      <w:r>
        <w:rPr>
          <w:spacing w:val="-9"/>
          <w:sz w:val="22"/>
        </w:rPr>
        <w:t> </w:t>
      </w:r>
      <w:r>
        <w:rPr>
          <w:sz w:val="22"/>
        </w:rPr>
        <w:t>the</w:t>
      </w:r>
      <w:r>
        <w:rPr>
          <w:spacing w:val="-9"/>
          <w:sz w:val="22"/>
        </w:rPr>
        <w:t> </w:t>
      </w:r>
      <w:r>
        <w:rPr>
          <w:sz w:val="22"/>
        </w:rPr>
        <w:t>Governing</w:t>
      </w:r>
      <w:r>
        <w:rPr>
          <w:spacing w:val="-8"/>
          <w:sz w:val="22"/>
        </w:rPr>
        <w:t> </w:t>
      </w:r>
      <w:r>
        <w:rPr>
          <w:sz w:val="22"/>
        </w:rPr>
        <w:t>Body</w:t>
      </w:r>
      <w:r>
        <w:rPr>
          <w:spacing w:val="-6"/>
          <w:sz w:val="22"/>
        </w:rPr>
        <w:t> </w:t>
      </w:r>
      <w:r>
        <w:rPr>
          <w:sz w:val="22"/>
        </w:rPr>
        <w:t>on</w:t>
      </w:r>
      <w:r>
        <w:rPr>
          <w:spacing w:val="-9"/>
          <w:sz w:val="22"/>
        </w:rPr>
        <w:t> </w:t>
      </w:r>
      <w:r>
        <w:rPr>
          <w:sz w:val="22"/>
        </w:rPr>
        <w:t>the</w:t>
      </w:r>
      <w:r>
        <w:rPr>
          <w:spacing w:val="-9"/>
          <w:sz w:val="22"/>
        </w:rPr>
        <w:t> </w:t>
      </w:r>
      <w:r>
        <w:rPr>
          <w:sz w:val="22"/>
        </w:rPr>
        <w:t>effective,</w:t>
      </w:r>
      <w:r>
        <w:rPr>
          <w:spacing w:val="-6"/>
          <w:sz w:val="22"/>
        </w:rPr>
        <w:t> </w:t>
      </w:r>
      <w:r>
        <w:rPr>
          <w:sz w:val="22"/>
        </w:rPr>
        <w:t>efficient</w:t>
      </w:r>
      <w:r>
        <w:rPr>
          <w:spacing w:val="-5"/>
          <w:sz w:val="22"/>
        </w:rPr>
        <w:t> </w:t>
      </w:r>
      <w:r>
        <w:rPr>
          <w:sz w:val="22"/>
        </w:rPr>
        <w:t>and</w:t>
      </w:r>
      <w:r>
        <w:rPr>
          <w:spacing w:val="-9"/>
          <w:sz w:val="22"/>
        </w:rPr>
        <w:t> </w:t>
      </w:r>
      <w:r>
        <w:rPr>
          <w:sz w:val="22"/>
        </w:rPr>
        <w:t>economic</w:t>
      </w:r>
      <w:r>
        <w:rPr>
          <w:spacing w:val="-6"/>
          <w:sz w:val="22"/>
        </w:rPr>
        <w:t> </w:t>
      </w:r>
      <w:r>
        <w:rPr>
          <w:sz w:val="22"/>
        </w:rPr>
        <w:t>use of the CCG’s allocation to remain within that allocation and deliver required financial targets and</w:t>
      </w:r>
      <w:r>
        <w:rPr>
          <w:spacing w:val="-4"/>
          <w:sz w:val="22"/>
        </w:rPr>
        <w:t> </w:t>
      </w:r>
      <w:r>
        <w:rPr>
          <w:sz w:val="22"/>
        </w:rPr>
        <w:t>duties</w:t>
      </w:r>
    </w:p>
    <w:p>
      <w:pPr>
        <w:pStyle w:val="ListParagraph"/>
        <w:numPr>
          <w:ilvl w:val="0"/>
          <w:numId w:val="13"/>
        </w:numPr>
        <w:tabs>
          <w:tab w:pos="1396" w:val="left" w:leader="none"/>
        </w:tabs>
        <w:spacing w:line="235" w:lineRule="auto" w:before="7" w:after="0"/>
        <w:ind w:left="1395" w:right="1130" w:hanging="358"/>
        <w:jc w:val="both"/>
        <w:rPr>
          <w:sz w:val="22"/>
        </w:rPr>
      </w:pPr>
      <w:r>
        <w:rPr>
          <w:sz w:val="22"/>
        </w:rPr>
        <w:t>Producing the financial statements for audit and publication in accordance with the statutory requirements to demonstrate effective stewardship </w:t>
      </w:r>
      <w:r>
        <w:rPr>
          <w:spacing w:val="-3"/>
          <w:sz w:val="22"/>
        </w:rPr>
        <w:t>of </w:t>
      </w:r>
      <w:r>
        <w:rPr>
          <w:sz w:val="22"/>
        </w:rPr>
        <w:t>public money and accountability to NHS</w:t>
      </w:r>
      <w:r>
        <w:rPr>
          <w:spacing w:val="-7"/>
          <w:sz w:val="22"/>
        </w:rPr>
        <w:t> </w:t>
      </w:r>
      <w:r>
        <w:rPr>
          <w:sz w:val="22"/>
        </w:rPr>
        <w:t>England</w:t>
      </w:r>
    </w:p>
    <w:p>
      <w:pPr>
        <w:pStyle w:val="ListParagraph"/>
        <w:numPr>
          <w:ilvl w:val="0"/>
          <w:numId w:val="13"/>
        </w:numPr>
        <w:tabs>
          <w:tab w:pos="1397" w:val="left" w:leader="none"/>
        </w:tabs>
        <w:spacing w:line="240" w:lineRule="auto" w:before="6" w:after="0"/>
        <w:ind w:left="1396" w:right="0" w:hanging="364"/>
        <w:jc w:val="both"/>
        <w:rPr>
          <w:sz w:val="22"/>
        </w:rPr>
      </w:pPr>
      <w:r>
        <w:rPr>
          <w:sz w:val="22"/>
        </w:rPr>
        <w:t>Acting as the Governing Body’s lead officer for Business</w:t>
      </w:r>
      <w:r>
        <w:rPr>
          <w:spacing w:val="-30"/>
          <w:sz w:val="22"/>
        </w:rPr>
        <w:t> </w:t>
      </w:r>
      <w:r>
        <w:rPr>
          <w:sz w:val="22"/>
        </w:rPr>
        <w:t>Intelligence</w:t>
      </w:r>
    </w:p>
    <w:p>
      <w:pPr>
        <w:pStyle w:val="BodyText"/>
        <w:spacing w:before="11"/>
        <w:rPr>
          <w:sz w:val="24"/>
        </w:rPr>
      </w:pPr>
    </w:p>
    <w:p>
      <w:pPr>
        <w:pStyle w:val="Heading4"/>
      </w:pPr>
      <w:bookmarkStart w:name="Delegation of functions" w:id="147"/>
      <w:bookmarkEnd w:id="147"/>
      <w:r>
        <w:rPr>
          <w:b w:val="0"/>
        </w:rPr>
      </w:r>
      <w:r>
        <w:rPr>
          <w:color w:val="365F91"/>
        </w:rPr>
        <w:t>Delegation of functions</w:t>
      </w:r>
    </w:p>
    <w:p>
      <w:pPr>
        <w:pStyle w:val="BodyText"/>
        <w:spacing w:before="3"/>
        <w:rPr>
          <w:b/>
          <w:sz w:val="31"/>
        </w:rPr>
      </w:pPr>
    </w:p>
    <w:p>
      <w:pPr>
        <w:pStyle w:val="BodyText"/>
        <w:ind w:left="672" w:right="1129" w:firstLine="7"/>
        <w:jc w:val="both"/>
      </w:pPr>
      <w:r>
        <w:rPr/>
        <w:t>The CCG’s Accountable Officer (AO) delegates responsibilities to support compliance with the standards set </w:t>
      </w:r>
      <w:r>
        <w:rPr>
          <w:spacing w:val="-3"/>
        </w:rPr>
        <w:t>out </w:t>
      </w:r>
      <w:r>
        <w:rPr/>
        <w:t>in annex 3.1 of ‘Managing Public Money’ (July 2013 annexes revised July 2015). The annex identifies feedback from delegation chains as a key input to the governance</w:t>
      </w:r>
      <w:r>
        <w:rPr>
          <w:spacing w:val="-11"/>
        </w:rPr>
        <w:t> </w:t>
      </w:r>
      <w:r>
        <w:rPr/>
        <w:t>statement.</w:t>
      </w:r>
      <w:r>
        <w:rPr>
          <w:spacing w:val="-7"/>
        </w:rPr>
        <w:t> </w:t>
      </w:r>
      <w:r>
        <w:rPr/>
        <w:t>The</w:t>
      </w:r>
      <w:r>
        <w:rPr>
          <w:spacing w:val="-8"/>
        </w:rPr>
        <w:t> </w:t>
      </w:r>
      <w:r>
        <w:rPr>
          <w:spacing w:val="-3"/>
        </w:rPr>
        <w:t>CCG</w:t>
      </w:r>
      <w:r>
        <w:rPr>
          <w:spacing w:val="-12"/>
        </w:rPr>
        <w:t> </w:t>
      </w:r>
      <w:r>
        <w:rPr/>
        <w:t>systems</w:t>
      </w:r>
      <w:r>
        <w:rPr>
          <w:spacing w:val="-10"/>
        </w:rPr>
        <w:t> </w:t>
      </w:r>
      <w:r>
        <w:rPr/>
        <w:t>enable</w:t>
      </w:r>
      <w:r>
        <w:rPr>
          <w:spacing w:val="-12"/>
        </w:rPr>
        <w:t> </w:t>
      </w:r>
      <w:r>
        <w:rPr/>
        <w:t>the</w:t>
      </w:r>
      <w:r>
        <w:rPr>
          <w:spacing w:val="-8"/>
        </w:rPr>
        <w:t> </w:t>
      </w:r>
      <w:r>
        <w:rPr/>
        <w:t>AO</w:t>
      </w:r>
      <w:r>
        <w:rPr>
          <w:spacing w:val="-7"/>
        </w:rPr>
        <w:t> </w:t>
      </w:r>
      <w:r>
        <w:rPr/>
        <w:t>to</w:t>
      </w:r>
      <w:r>
        <w:rPr>
          <w:spacing w:val="-8"/>
        </w:rPr>
        <w:t> </w:t>
      </w:r>
      <w:r>
        <w:rPr/>
        <w:t>work</w:t>
      </w:r>
      <w:r>
        <w:rPr>
          <w:spacing w:val="-5"/>
        </w:rPr>
        <w:t> </w:t>
      </w:r>
      <w:r>
        <w:rPr/>
        <w:t>with</w:t>
      </w:r>
      <w:r>
        <w:rPr>
          <w:spacing w:val="-11"/>
        </w:rPr>
        <w:t> </w:t>
      </w:r>
      <w:r>
        <w:rPr/>
        <w:t>staff</w:t>
      </w:r>
      <w:r>
        <w:rPr>
          <w:spacing w:val="-9"/>
        </w:rPr>
        <w:t> </w:t>
      </w:r>
      <w:r>
        <w:rPr/>
        <w:t>to</w:t>
      </w:r>
      <w:r>
        <w:rPr>
          <w:spacing w:val="-10"/>
        </w:rPr>
        <w:t> </w:t>
      </w:r>
      <w:r>
        <w:rPr/>
        <w:t>make</w:t>
      </w:r>
      <w:r>
        <w:rPr>
          <w:spacing w:val="-9"/>
        </w:rPr>
        <w:t> </w:t>
      </w:r>
      <w:r>
        <w:rPr/>
        <w:t>informed decisions about planned progress and take corrective action as appropriate. The </w:t>
      </w:r>
      <w:r>
        <w:rPr>
          <w:spacing w:val="-6"/>
        </w:rPr>
        <w:t>CCG </w:t>
      </w:r>
      <w:r>
        <w:rPr/>
        <w:t>reviews a wide range of feedback from delegated functions including assessing the use of resources, management of risks and budget</w:t>
      </w:r>
      <w:r>
        <w:rPr>
          <w:spacing w:val="-13"/>
        </w:rPr>
        <w:t> </w:t>
      </w:r>
      <w:r>
        <w:rPr/>
        <w:t>management.</w:t>
      </w:r>
    </w:p>
    <w:p>
      <w:pPr>
        <w:pStyle w:val="BodyText"/>
        <w:spacing w:before="11"/>
        <w:rPr>
          <w:sz w:val="21"/>
        </w:rPr>
      </w:pPr>
    </w:p>
    <w:p>
      <w:pPr>
        <w:pStyle w:val="BodyText"/>
        <w:ind w:left="670" w:right="1202" w:firstLine="9"/>
      </w:pPr>
      <w:r>
        <w:rPr/>
        <w:t>The </w:t>
      </w:r>
      <w:r>
        <w:rPr>
          <w:spacing w:val="-3"/>
        </w:rPr>
        <w:t>CCG </w:t>
      </w:r>
      <w:r>
        <w:rPr/>
        <w:t>for example holds regular contract meetings, led  by  the  CCG  </w:t>
      </w:r>
      <w:r>
        <w:rPr>
          <w:spacing w:val="-4"/>
        </w:rPr>
        <w:t>Chief </w:t>
      </w:r>
      <w:r>
        <w:rPr/>
        <w:t>Finance </w:t>
      </w:r>
      <w:r>
        <w:rPr>
          <w:spacing w:val="12"/>
        </w:rPr>
        <w:t>Off </w:t>
      </w:r>
      <w:r>
        <w:rPr/>
        <w:t>i c e r , with third party providers who support the commissioning functions of the CCG. These meetings are used to set and review performance indicators, assess information captured from internal audit or ongoing risk evaluation and identify any</w:t>
      </w:r>
      <w:r>
        <w:rPr>
          <w:spacing w:val="-22"/>
        </w:rPr>
        <w:t> </w:t>
      </w:r>
      <w:r>
        <w:rPr/>
        <w:t>issues/trends</w:t>
      </w:r>
    </w:p>
    <w:p>
      <w:pPr>
        <w:pStyle w:val="BodyText"/>
        <w:ind w:left="670" w:right="1001" w:hanging="1"/>
      </w:pPr>
      <w:r>
        <w:rPr/>
        <w:t>causing concern. An issue log identifies concerns and gives assurance that actions are being undertaken.</w:t>
      </w:r>
    </w:p>
    <w:p>
      <w:pPr>
        <w:pStyle w:val="BodyText"/>
        <w:spacing w:before="9"/>
        <w:rPr>
          <w:sz w:val="21"/>
        </w:rPr>
      </w:pPr>
    </w:p>
    <w:p>
      <w:pPr>
        <w:pStyle w:val="BodyText"/>
        <w:ind w:left="665" w:right="760" w:firstLine="5"/>
        <w:jc w:val="both"/>
      </w:pPr>
      <w:r>
        <w:rPr/>
        <w:t>Feedback from the ongoing assessment of delegated functions is acted upon as appropriate. The Annual Governance Statement draws to a close by summarising external viewpoints on the CCG’s governance arrangements, before ending with the Accountable Officer’s personal review of the CCG’s governance, risk management &amp; Internal control arrangements.</w:t>
      </w:r>
    </w:p>
    <w:p>
      <w:pPr>
        <w:pStyle w:val="BodyText"/>
        <w:spacing w:before="2"/>
        <w:rPr>
          <w:sz w:val="24"/>
        </w:rPr>
      </w:pPr>
    </w:p>
    <w:p>
      <w:pPr>
        <w:pStyle w:val="Heading4"/>
        <w:jc w:val="both"/>
      </w:pPr>
      <w:bookmarkStart w:name="Counter Fraud Arrangements" w:id="148"/>
      <w:bookmarkEnd w:id="148"/>
      <w:r>
        <w:rPr>
          <w:b w:val="0"/>
        </w:rPr>
      </w:r>
      <w:r>
        <w:rPr>
          <w:color w:val="365F91"/>
        </w:rPr>
        <w:t>Counter Fraud Arrangements</w:t>
      </w:r>
    </w:p>
    <w:p>
      <w:pPr>
        <w:pStyle w:val="BodyText"/>
        <w:spacing w:before="11"/>
        <w:rPr>
          <w:b/>
          <w:sz w:val="23"/>
        </w:rPr>
      </w:pPr>
    </w:p>
    <w:p>
      <w:pPr>
        <w:pStyle w:val="BodyText"/>
        <w:ind w:left="680" w:right="741"/>
      </w:pPr>
      <w:r>
        <w:rPr/>
        <w:t>The Integrated Audit and Governance Committee (IAGC) has assured itself that the organisation has adequate arrangements in place for countering fraud and regularly reviews the outcomes of counter fraud work. The CCG has an accredited Local Counter Fraud Specialist</w:t>
      </w:r>
    </w:p>
    <w:p>
      <w:pPr>
        <w:spacing w:after="0"/>
        <w:sectPr>
          <w:pgSz w:w="11920" w:h="16850"/>
          <w:pgMar w:header="0" w:footer="363" w:top="1320" w:bottom="640" w:left="760" w:right="420"/>
        </w:sectPr>
      </w:pPr>
    </w:p>
    <w:p>
      <w:pPr>
        <w:pStyle w:val="BodyText"/>
        <w:spacing w:before="81"/>
        <w:ind w:left="680" w:right="857"/>
      </w:pPr>
      <w:r>
        <w:rPr/>
        <w:t>(LCFS) in place to undertake work against the Counter Fraud Functional Standard; the LCFS resource is contracted in from Audit Yorkshire and is part of a wider Fraud Team resource with additional LCFS resource available as and when required. The Chief Finance Officer is accountable for fraud work undertaken and a Counter Fraud Annual Report (detailing counter fraud work undertaken against each requirement of the standard) is reported to the Integrated Audit and Governance Committee annually.</w:t>
      </w:r>
    </w:p>
    <w:p>
      <w:pPr>
        <w:pStyle w:val="BodyText"/>
        <w:spacing w:before="116"/>
        <w:ind w:left="1400" w:right="735"/>
      </w:pPr>
      <w:r>
        <w:rPr/>
        <w:t>There is an approved and proportionate risk-based counter-fraud work plan in place which is monitored at each Integrated Audit and Governance Committee meeting. In line with the requirements of the Counter Fraud Functional Standard, which first became effective 1st April 2021 and are reviewed annually, the CCG completed an online Counter Fraud Functional Standard Return (CFFSR) to assess the work completed around anti-fraud, bribery and corruption work and assessed itself as an ‘Green’ rating for 2021/22. This self-assessment (CFFSR) detailing our scoring was approved by the Chief Finance Officer and Audit Committee Chair prior to submission.</w:t>
      </w:r>
    </w:p>
    <w:p>
      <w:pPr>
        <w:pStyle w:val="BodyText"/>
        <w:spacing w:before="7"/>
        <w:rPr>
          <w:sz w:val="34"/>
        </w:rPr>
      </w:pPr>
    </w:p>
    <w:p>
      <w:pPr>
        <w:pStyle w:val="Heading4"/>
      </w:pPr>
      <w:bookmarkStart w:name="Head of Internal Audit Opinion" w:id="149"/>
      <w:bookmarkEnd w:id="149"/>
      <w:r>
        <w:rPr>
          <w:b w:val="0"/>
        </w:rPr>
      </w:r>
      <w:r>
        <w:rPr>
          <w:color w:val="4F81BB"/>
        </w:rPr>
        <w:t>Head of Internal Audit Opinion</w:t>
      </w:r>
    </w:p>
    <w:p>
      <w:pPr>
        <w:pStyle w:val="BodyText"/>
        <w:rPr>
          <w:b/>
          <w:sz w:val="24"/>
        </w:rPr>
      </w:pPr>
    </w:p>
    <w:p>
      <w:pPr>
        <w:pStyle w:val="BodyText"/>
        <w:ind w:left="672" w:right="948" w:firstLine="7"/>
      </w:pPr>
      <w:r>
        <w:rPr/>
        <w:t>Following completion of the planned audit work for the financial year for the clinical commissioning group, the Head of Internal Audit issued an independent and objective opinion on the adequacy and effectiveness of the clinical commissioning group’s system of risk management, governance and internal control.</w:t>
      </w:r>
    </w:p>
    <w:p>
      <w:pPr>
        <w:pStyle w:val="BodyText"/>
      </w:pPr>
    </w:p>
    <w:p>
      <w:pPr>
        <w:pStyle w:val="BodyText"/>
        <w:ind w:left="672"/>
      </w:pPr>
      <w:r>
        <w:rPr/>
        <w:t>The Head of Internal Audit concluded that:</w:t>
      </w:r>
    </w:p>
    <w:p>
      <w:pPr>
        <w:pStyle w:val="BodyText"/>
        <w:spacing w:before="10"/>
        <w:rPr>
          <w:sz w:val="15"/>
        </w:rPr>
      </w:pPr>
      <w:r>
        <w:rPr/>
        <w:pict>
          <v:group style="position:absolute;margin-left:72.199898pt;margin-top:11.360188pt;width:474.4pt;height:58.15pt;mso-position-horizontal-relative:page;mso-position-vertical-relative:paragraph;z-index:-251650048;mso-wrap-distance-left:0;mso-wrap-distance-right:0" coordorigin="1444,227" coordsize="9488,1163">
            <v:line style="position:absolute" from="1444,232" to="1454,232" stroked="true" strokeweight=".48pt" strokecolor="#000000">
              <v:stroke dashstyle="solid"/>
            </v:line>
            <v:line style="position:absolute" from="10912,232" to="10922,232" stroked="true" strokeweight=".48pt" strokecolor="#000000">
              <v:stroke dashstyle="solid"/>
            </v:line>
            <v:line style="position:absolute" from="1444,1385" to="1454,1385" stroked="true" strokeweight=".48pt" strokecolor="#000000">
              <v:stroke dashstyle="solid"/>
            </v:line>
            <v:shape style="position:absolute;left:1444;top:228;width:9468;height:1161" type="#_x0000_t75" stroked="false">
              <v:imagedata r:id="rId30" o:title=""/>
            </v:shape>
            <v:line style="position:absolute" from="10912,1385" to="10922,1385" stroked="true" strokeweight=".48pt" strokecolor="#000000">
              <v:stroke dashstyle="solid"/>
            </v:line>
            <v:line style="position:absolute" from="10927,227" to="10927,1390" stroked="true" strokeweight=".5pt" strokecolor="#000000">
              <v:stroke dashstyle="shortdot"/>
            </v:line>
            <v:shape style="position:absolute;left:1444;top:227;width:9488;height:1163" type="#_x0000_t202" filled="false" stroked="false">
              <v:textbox inset="0,0,0,0">
                <w:txbxContent>
                  <w:p>
                    <w:pPr>
                      <w:spacing w:line="242" w:lineRule="auto" w:before="151"/>
                      <w:ind w:left="127" w:right="159" w:firstLine="0"/>
                      <w:jc w:val="both"/>
                      <w:rPr>
                        <w:sz w:val="22"/>
                      </w:rPr>
                    </w:pPr>
                    <w:r>
                      <w:rPr>
                        <w:sz w:val="22"/>
                      </w:rPr>
                      <w:t>Significant</w:t>
                    </w:r>
                    <w:r>
                      <w:rPr>
                        <w:spacing w:val="-10"/>
                        <w:sz w:val="22"/>
                      </w:rPr>
                      <w:t> </w:t>
                    </w:r>
                    <w:r>
                      <w:rPr>
                        <w:sz w:val="22"/>
                      </w:rPr>
                      <w:t>assurance</w:t>
                    </w:r>
                    <w:r>
                      <w:rPr>
                        <w:spacing w:val="-16"/>
                        <w:sz w:val="22"/>
                      </w:rPr>
                      <w:t> </w:t>
                    </w:r>
                    <w:r>
                      <w:rPr>
                        <w:sz w:val="22"/>
                      </w:rPr>
                      <w:t>can</w:t>
                    </w:r>
                    <w:r>
                      <w:rPr>
                        <w:spacing w:val="-14"/>
                        <w:sz w:val="22"/>
                      </w:rPr>
                      <w:t> </w:t>
                    </w:r>
                    <w:r>
                      <w:rPr>
                        <w:sz w:val="22"/>
                      </w:rPr>
                      <w:t>be</w:t>
                    </w:r>
                    <w:r>
                      <w:rPr>
                        <w:spacing w:val="-17"/>
                        <w:sz w:val="22"/>
                      </w:rPr>
                      <w:t> </w:t>
                    </w:r>
                    <w:r>
                      <w:rPr>
                        <w:sz w:val="22"/>
                      </w:rPr>
                      <w:t>given</w:t>
                    </w:r>
                    <w:r>
                      <w:rPr>
                        <w:spacing w:val="-16"/>
                        <w:sz w:val="22"/>
                      </w:rPr>
                      <w:t> </w:t>
                    </w:r>
                    <w:r>
                      <w:rPr>
                        <w:sz w:val="22"/>
                      </w:rPr>
                      <w:t>that</w:t>
                    </w:r>
                    <w:r>
                      <w:rPr>
                        <w:spacing w:val="-17"/>
                        <w:sz w:val="22"/>
                      </w:rPr>
                      <w:t> </w:t>
                    </w:r>
                    <w:r>
                      <w:rPr>
                        <w:sz w:val="22"/>
                      </w:rPr>
                      <w:t>there</w:t>
                    </w:r>
                    <w:r>
                      <w:rPr>
                        <w:spacing w:val="-16"/>
                        <w:sz w:val="22"/>
                      </w:rPr>
                      <w:t> </w:t>
                    </w:r>
                    <w:r>
                      <w:rPr>
                        <w:sz w:val="22"/>
                      </w:rPr>
                      <w:t>is</w:t>
                    </w:r>
                    <w:r>
                      <w:rPr>
                        <w:spacing w:val="-16"/>
                        <w:sz w:val="22"/>
                      </w:rPr>
                      <w:t> </w:t>
                    </w:r>
                    <w:r>
                      <w:rPr>
                        <w:sz w:val="22"/>
                      </w:rPr>
                      <w:t>a</w:t>
                    </w:r>
                    <w:r>
                      <w:rPr>
                        <w:spacing w:val="-16"/>
                        <w:sz w:val="22"/>
                      </w:rPr>
                      <w:t> </w:t>
                    </w:r>
                    <w:r>
                      <w:rPr>
                        <w:sz w:val="22"/>
                      </w:rPr>
                      <w:t>good</w:t>
                    </w:r>
                    <w:r>
                      <w:rPr>
                        <w:spacing w:val="-14"/>
                        <w:sz w:val="22"/>
                      </w:rPr>
                      <w:t> </w:t>
                    </w:r>
                    <w:r>
                      <w:rPr>
                        <w:sz w:val="22"/>
                      </w:rPr>
                      <w:t>system</w:t>
                    </w:r>
                    <w:r>
                      <w:rPr>
                        <w:spacing w:val="-10"/>
                        <w:sz w:val="22"/>
                      </w:rPr>
                      <w:t> </w:t>
                    </w:r>
                    <w:r>
                      <w:rPr>
                        <w:sz w:val="22"/>
                      </w:rPr>
                      <w:t>of</w:t>
                    </w:r>
                    <w:r>
                      <w:rPr>
                        <w:spacing w:val="-12"/>
                        <w:sz w:val="22"/>
                      </w:rPr>
                      <w:t> </w:t>
                    </w:r>
                    <w:r>
                      <w:rPr>
                        <w:sz w:val="22"/>
                      </w:rPr>
                      <w:t>governance,</w:t>
                    </w:r>
                    <w:r>
                      <w:rPr>
                        <w:spacing w:val="-15"/>
                        <w:sz w:val="22"/>
                      </w:rPr>
                      <w:t> </w:t>
                    </w:r>
                    <w:r>
                      <w:rPr>
                        <w:sz w:val="22"/>
                      </w:rPr>
                      <w:t>risk</w:t>
                    </w:r>
                    <w:r>
                      <w:rPr>
                        <w:spacing w:val="-16"/>
                        <w:sz w:val="22"/>
                      </w:rPr>
                      <w:t> </w:t>
                    </w:r>
                    <w:r>
                      <w:rPr>
                        <w:sz w:val="22"/>
                      </w:rPr>
                      <w:t>management and internal control designed to meet the organisation’s objectives and that controls are generally being applied consistently.</w:t>
                    </w:r>
                  </w:p>
                </w:txbxContent>
              </v:textbox>
              <w10:wrap type="none"/>
            </v:shape>
            <w10:wrap type="topAndBottom"/>
          </v:group>
        </w:pict>
      </w:r>
    </w:p>
    <w:p>
      <w:pPr>
        <w:pStyle w:val="BodyText"/>
        <w:rPr>
          <w:sz w:val="24"/>
        </w:rPr>
      </w:pPr>
    </w:p>
    <w:p>
      <w:pPr>
        <w:pStyle w:val="BodyText"/>
        <w:spacing w:before="163"/>
        <w:ind w:left="672"/>
      </w:pPr>
      <w:r>
        <w:rPr/>
        <w:t>During the year, Internal Audit issued the following audit reports:</w:t>
      </w:r>
    </w:p>
    <w:p>
      <w:pPr>
        <w:pStyle w:val="BodyText"/>
        <w:spacing w:before="4"/>
        <w:rPr>
          <w:sz w:val="28"/>
        </w:rPr>
      </w:pPr>
    </w:p>
    <w:tbl>
      <w:tblPr>
        <w:tblW w:w="0" w:type="auto"/>
        <w:jc w:val="lef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3"/>
        <w:gridCol w:w="2702"/>
      </w:tblGrid>
      <w:tr>
        <w:trPr>
          <w:trHeight w:val="551" w:hRule="atLeast"/>
        </w:trPr>
        <w:tc>
          <w:tcPr>
            <w:tcW w:w="4243" w:type="dxa"/>
            <w:shd w:val="clear" w:color="auto" w:fill="4F81BA"/>
          </w:tcPr>
          <w:p>
            <w:pPr>
              <w:pStyle w:val="TableParagraph"/>
              <w:ind w:left="9"/>
              <w:rPr>
                <w:sz w:val="22"/>
              </w:rPr>
            </w:pPr>
            <w:r>
              <w:rPr>
                <w:color w:val="FFFFFF"/>
                <w:sz w:val="22"/>
              </w:rPr>
              <w:t>Audit Area</w:t>
            </w:r>
          </w:p>
        </w:tc>
        <w:tc>
          <w:tcPr>
            <w:tcW w:w="2702" w:type="dxa"/>
            <w:shd w:val="clear" w:color="auto" w:fill="4F81BA"/>
          </w:tcPr>
          <w:p>
            <w:pPr>
              <w:pStyle w:val="TableParagraph"/>
              <w:ind w:left="264" w:right="230"/>
              <w:jc w:val="center"/>
              <w:rPr>
                <w:sz w:val="22"/>
              </w:rPr>
            </w:pPr>
            <w:r>
              <w:rPr>
                <w:color w:val="FFFFFF"/>
                <w:sz w:val="22"/>
              </w:rPr>
              <w:t>Audit Rating</w:t>
            </w:r>
          </w:p>
        </w:tc>
      </w:tr>
      <w:tr>
        <w:trPr>
          <w:trHeight w:val="460" w:hRule="atLeast"/>
        </w:trPr>
        <w:tc>
          <w:tcPr>
            <w:tcW w:w="4243" w:type="dxa"/>
          </w:tcPr>
          <w:p>
            <w:pPr>
              <w:pStyle w:val="TableParagraph"/>
              <w:ind w:left="9"/>
              <w:rPr>
                <w:sz w:val="22"/>
              </w:rPr>
            </w:pPr>
            <w:r>
              <w:rPr>
                <w:sz w:val="22"/>
              </w:rPr>
              <w:t>Conflicts of Interest</w:t>
            </w:r>
          </w:p>
        </w:tc>
        <w:tc>
          <w:tcPr>
            <w:tcW w:w="2702" w:type="dxa"/>
          </w:tcPr>
          <w:p>
            <w:pPr>
              <w:pStyle w:val="TableParagraph"/>
              <w:ind w:left="259" w:right="230"/>
              <w:jc w:val="center"/>
              <w:rPr>
                <w:sz w:val="22"/>
              </w:rPr>
            </w:pPr>
            <w:r>
              <w:rPr>
                <w:sz w:val="22"/>
              </w:rPr>
              <w:t>High</w:t>
            </w:r>
          </w:p>
        </w:tc>
      </w:tr>
      <w:tr>
        <w:trPr>
          <w:trHeight w:val="683" w:hRule="atLeast"/>
        </w:trPr>
        <w:tc>
          <w:tcPr>
            <w:tcW w:w="4243" w:type="dxa"/>
          </w:tcPr>
          <w:p>
            <w:pPr>
              <w:pStyle w:val="TableParagraph"/>
              <w:tabs>
                <w:tab w:pos="1607" w:val="left" w:leader="none"/>
                <w:tab w:pos="2152" w:val="left" w:leader="none"/>
                <w:tab w:pos="2975" w:val="left" w:leader="none"/>
              </w:tabs>
              <w:ind w:left="9" w:right="-29"/>
              <w:rPr>
                <w:sz w:val="22"/>
              </w:rPr>
            </w:pPr>
            <w:r>
              <w:rPr>
                <w:sz w:val="22"/>
              </w:rPr>
              <w:t>Governance</w:t>
              <w:tab/>
              <w:t>&amp;</w:t>
              <w:tab/>
              <w:t>Risk</w:t>
              <w:tab/>
            </w:r>
            <w:r>
              <w:rPr>
                <w:spacing w:val="-1"/>
                <w:sz w:val="22"/>
              </w:rPr>
              <w:t>Management</w:t>
            </w:r>
          </w:p>
          <w:p>
            <w:pPr>
              <w:pStyle w:val="TableParagraph"/>
              <w:spacing w:before="126"/>
              <w:ind w:left="9"/>
              <w:rPr>
                <w:sz w:val="22"/>
              </w:rPr>
            </w:pPr>
            <w:r>
              <w:rPr>
                <w:sz w:val="22"/>
              </w:rPr>
              <w:t>Arrangements</w:t>
            </w:r>
          </w:p>
        </w:tc>
        <w:tc>
          <w:tcPr>
            <w:tcW w:w="2702" w:type="dxa"/>
          </w:tcPr>
          <w:p>
            <w:pPr>
              <w:pStyle w:val="TableParagraph"/>
              <w:ind w:left="259" w:right="230"/>
              <w:jc w:val="center"/>
              <w:rPr>
                <w:sz w:val="22"/>
              </w:rPr>
            </w:pPr>
            <w:r>
              <w:rPr>
                <w:sz w:val="22"/>
              </w:rPr>
              <w:t>High</w:t>
            </w:r>
          </w:p>
        </w:tc>
      </w:tr>
      <w:tr>
        <w:trPr>
          <w:trHeight w:val="460" w:hRule="atLeast"/>
        </w:trPr>
        <w:tc>
          <w:tcPr>
            <w:tcW w:w="4243" w:type="dxa"/>
          </w:tcPr>
          <w:p>
            <w:pPr>
              <w:pStyle w:val="TableParagraph"/>
              <w:spacing w:before="2"/>
              <w:ind w:left="9"/>
              <w:rPr>
                <w:sz w:val="22"/>
              </w:rPr>
            </w:pPr>
            <w:r>
              <w:rPr>
                <w:sz w:val="22"/>
              </w:rPr>
              <w:t>Business Continuity Planning</w:t>
            </w:r>
          </w:p>
        </w:tc>
        <w:tc>
          <w:tcPr>
            <w:tcW w:w="2702" w:type="dxa"/>
          </w:tcPr>
          <w:p>
            <w:pPr>
              <w:pStyle w:val="TableParagraph"/>
              <w:spacing w:before="2"/>
              <w:ind w:left="259" w:right="230"/>
              <w:jc w:val="center"/>
              <w:rPr>
                <w:sz w:val="22"/>
              </w:rPr>
            </w:pPr>
            <w:r>
              <w:rPr>
                <w:sz w:val="22"/>
              </w:rPr>
              <w:t>High</w:t>
            </w:r>
          </w:p>
        </w:tc>
      </w:tr>
      <w:tr>
        <w:trPr>
          <w:trHeight w:val="647" w:hRule="atLeast"/>
        </w:trPr>
        <w:tc>
          <w:tcPr>
            <w:tcW w:w="4243" w:type="dxa"/>
          </w:tcPr>
          <w:p>
            <w:pPr>
              <w:pStyle w:val="TableParagraph"/>
              <w:ind w:left="9"/>
              <w:rPr>
                <w:sz w:val="22"/>
              </w:rPr>
            </w:pPr>
            <w:r>
              <w:rPr>
                <w:sz w:val="22"/>
              </w:rPr>
              <w:t>Mental Capacity Act</w:t>
            </w:r>
          </w:p>
        </w:tc>
        <w:tc>
          <w:tcPr>
            <w:tcW w:w="2702" w:type="dxa"/>
          </w:tcPr>
          <w:p>
            <w:pPr>
              <w:pStyle w:val="TableParagraph"/>
              <w:ind w:left="268" w:right="230"/>
              <w:jc w:val="center"/>
              <w:rPr>
                <w:sz w:val="22"/>
              </w:rPr>
            </w:pPr>
            <w:r>
              <w:rPr>
                <w:sz w:val="22"/>
              </w:rPr>
              <w:t>No formal rating given</w:t>
            </w:r>
          </w:p>
          <w:p>
            <w:pPr>
              <w:pStyle w:val="TableParagraph"/>
              <w:spacing w:before="119"/>
              <w:ind w:left="267" w:right="230"/>
              <w:jc w:val="center"/>
              <w:rPr>
                <w:sz w:val="22"/>
              </w:rPr>
            </w:pPr>
            <w:r>
              <w:rPr>
                <w:sz w:val="22"/>
              </w:rPr>
              <w:t>(advisory audit)</w:t>
            </w:r>
          </w:p>
        </w:tc>
      </w:tr>
      <w:tr>
        <w:trPr>
          <w:trHeight w:val="647" w:hRule="atLeast"/>
        </w:trPr>
        <w:tc>
          <w:tcPr>
            <w:tcW w:w="4243" w:type="dxa"/>
          </w:tcPr>
          <w:p>
            <w:pPr>
              <w:pStyle w:val="TableParagraph"/>
              <w:ind w:left="9"/>
              <w:rPr>
                <w:sz w:val="22"/>
              </w:rPr>
            </w:pPr>
            <w:r>
              <w:rPr>
                <w:sz w:val="22"/>
              </w:rPr>
              <w:t>Broadcare Database</w:t>
            </w:r>
          </w:p>
        </w:tc>
        <w:tc>
          <w:tcPr>
            <w:tcW w:w="2702" w:type="dxa"/>
          </w:tcPr>
          <w:p>
            <w:pPr>
              <w:pStyle w:val="TableParagraph"/>
              <w:ind w:left="268" w:right="229"/>
              <w:jc w:val="center"/>
              <w:rPr>
                <w:sz w:val="22"/>
              </w:rPr>
            </w:pPr>
            <w:r>
              <w:rPr>
                <w:sz w:val="22"/>
              </w:rPr>
              <w:t>Limited</w:t>
            </w:r>
          </w:p>
        </w:tc>
      </w:tr>
      <w:tr>
        <w:trPr>
          <w:trHeight w:val="803" w:hRule="atLeast"/>
        </w:trPr>
        <w:tc>
          <w:tcPr>
            <w:tcW w:w="4243" w:type="dxa"/>
          </w:tcPr>
          <w:p>
            <w:pPr>
              <w:pStyle w:val="TableParagraph"/>
              <w:spacing w:line="360" w:lineRule="auto"/>
              <w:ind w:left="9" w:right="486"/>
              <w:rPr>
                <w:sz w:val="22"/>
              </w:rPr>
            </w:pPr>
            <w:r>
              <w:rPr>
                <w:sz w:val="22"/>
              </w:rPr>
              <w:t>Key Financial Systems and Budgetary Control</w:t>
            </w:r>
          </w:p>
        </w:tc>
        <w:tc>
          <w:tcPr>
            <w:tcW w:w="2702" w:type="dxa"/>
          </w:tcPr>
          <w:p>
            <w:pPr>
              <w:pStyle w:val="TableParagraph"/>
              <w:ind w:left="267" w:right="230"/>
              <w:jc w:val="center"/>
              <w:rPr>
                <w:sz w:val="22"/>
              </w:rPr>
            </w:pPr>
            <w:r>
              <w:rPr>
                <w:sz w:val="22"/>
              </w:rPr>
              <w:t>High (draft)</w:t>
            </w:r>
          </w:p>
        </w:tc>
      </w:tr>
    </w:tbl>
    <w:p>
      <w:pPr>
        <w:spacing w:after="0"/>
        <w:jc w:val="center"/>
        <w:rPr>
          <w:sz w:val="22"/>
        </w:rPr>
        <w:sectPr>
          <w:pgSz w:w="11920" w:h="16850"/>
          <w:pgMar w:header="0" w:footer="363" w:top="1320" w:bottom="640" w:left="760" w:right="420"/>
        </w:sectPr>
      </w:pPr>
    </w:p>
    <w:p>
      <w:pPr>
        <w:pStyle w:val="Heading4"/>
        <w:spacing w:before="79"/>
        <w:ind w:right="1137"/>
      </w:pPr>
      <w:bookmarkStart w:name="Review of the e f f ec t i ve n ess of G" w:id="150"/>
      <w:bookmarkEnd w:id="150"/>
      <w:r>
        <w:rPr>
          <w:b w:val="0"/>
        </w:rPr>
      </w:r>
      <w:r>
        <w:rPr>
          <w:color w:val="365F91"/>
        </w:rPr>
        <w:t>Review of the e f f ec t i ve n ess of G o ver n an ce , R is k M a na ge m e n t &amp; Internal Control</w:t>
      </w:r>
    </w:p>
    <w:p>
      <w:pPr>
        <w:pStyle w:val="BodyText"/>
        <w:spacing w:before="198"/>
        <w:ind w:left="672" w:right="1066" w:firstLine="7"/>
      </w:pPr>
      <w:r>
        <w:rPr/>
        <w:t>As  Accountable  Officer, I  have  specific  responsibility   for   reviewing   the effectiveness of the system of internal control. In addition, as Accountable Officer I am also responsible for achieving the organisational objectives in the context of sound and appropriate business processes and reporting risks to the Governing</w:t>
      </w:r>
      <w:r>
        <w:rPr>
          <w:spacing w:val="-33"/>
        </w:rPr>
        <w:t> </w:t>
      </w:r>
      <w:r>
        <w:rPr>
          <w:spacing w:val="-4"/>
        </w:rPr>
        <w:t>Body.</w:t>
      </w:r>
    </w:p>
    <w:p>
      <w:pPr>
        <w:pStyle w:val="BodyText"/>
        <w:spacing w:before="203"/>
        <w:ind w:left="670" w:right="1048" w:firstLine="2"/>
      </w:pPr>
      <w:r>
        <w:rPr/>
        <w:t>My review of the effectiveness of the system of internal control is informed by the work of the internal auditors and the executive managers and clinical leads within the CCG who have responsibility for the development and maintenance of the internal control framework.</w:t>
      </w:r>
    </w:p>
    <w:p>
      <w:pPr>
        <w:pStyle w:val="BodyText"/>
        <w:spacing w:before="198"/>
        <w:ind w:left="677" w:right="1114" w:firstLine="2"/>
      </w:pPr>
      <w:r>
        <w:rPr/>
        <w:t>I have drawn on the performance information available to me. My review is also informed by comments made by the external auditors in their management letter and other reports.</w:t>
      </w:r>
    </w:p>
    <w:p>
      <w:pPr>
        <w:pStyle w:val="BodyText"/>
        <w:spacing w:before="202"/>
        <w:ind w:left="677" w:right="1067"/>
      </w:pPr>
      <w:r>
        <w:rPr/>
        <w:t>The Strategic Risk Register provides me with evidence that the effectiveness of controls that manage risks to the CCG achieving its principal objectives have been reviewed.</w:t>
      </w:r>
    </w:p>
    <w:p>
      <w:pPr>
        <w:pStyle w:val="BodyText"/>
        <w:spacing w:before="197"/>
        <w:ind w:left="672" w:right="1137"/>
      </w:pPr>
      <w:r>
        <w:rPr/>
        <w:t>I have been advised on the implications of my review of the effectiveness of the system </w:t>
      </w:r>
      <w:r>
        <w:rPr>
          <w:spacing w:val="-3"/>
        </w:rPr>
        <w:t>of </w:t>
      </w:r>
      <w:r>
        <w:rPr/>
        <w:t>internal control by the Governing Body, the Integrated Audit &amp; Governance Committee and Quality, Performance &amp; Finance Committee, and where </w:t>
      </w:r>
      <w:r>
        <w:rPr>
          <w:spacing w:val="15"/>
        </w:rPr>
        <w:t>app </w:t>
      </w:r>
      <w:r>
        <w:rPr/>
        <w:t>r </w:t>
      </w:r>
      <w:r>
        <w:rPr>
          <w:spacing w:val="8"/>
        </w:rPr>
        <w:t>op </w:t>
      </w:r>
      <w:r>
        <w:rPr/>
        <w:t>r i </w:t>
      </w:r>
      <w:r>
        <w:rPr>
          <w:spacing w:val="8"/>
        </w:rPr>
        <w:t>at </w:t>
      </w:r>
      <w:r>
        <w:rPr/>
        <w:t>e a plan is in  place to address weaknesses and ensure continuous improvement of the</w:t>
      </w:r>
      <w:r>
        <w:rPr>
          <w:spacing w:val="2"/>
        </w:rPr>
        <w:t> </w:t>
      </w:r>
      <w:r>
        <w:rPr/>
        <w:t>system.</w:t>
      </w:r>
    </w:p>
    <w:p>
      <w:pPr>
        <w:pStyle w:val="BodyText"/>
        <w:spacing w:before="205"/>
        <w:ind w:left="680"/>
      </w:pPr>
      <w:r>
        <w:rPr/>
        <w:t>In particular, my review is also informed by:</w:t>
      </w:r>
    </w:p>
    <w:p>
      <w:pPr>
        <w:pStyle w:val="ListParagraph"/>
        <w:numPr>
          <w:ilvl w:val="0"/>
          <w:numId w:val="15"/>
        </w:numPr>
        <w:tabs>
          <w:tab w:pos="1397" w:val="left" w:leader="none"/>
          <w:tab w:pos="1399" w:val="left" w:leader="none"/>
          <w:tab w:pos="2420" w:val="left" w:leader="none"/>
        </w:tabs>
        <w:spacing w:line="235" w:lineRule="auto" w:before="200" w:after="0"/>
        <w:ind w:left="1398" w:right="1497" w:hanging="361"/>
        <w:jc w:val="left"/>
        <w:rPr>
          <w:sz w:val="22"/>
        </w:rPr>
      </w:pPr>
      <w:r>
        <w:rPr>
          <w:sz w:val="22"/>
        </w:rPr>
        <w:t>External</w:t>
        <w:tab/>
        <w:t>Audit providing progress reports to the Integrated Audit &amp; Governance Committee and the Annual Completion Report within the</w:t>
      </w:r>
      <w:r>
        <w:rPr>
          <w:spacing w:val="-20"/>
          <w:sz w:val="22"/>
        </w:rPr>
        <w:t> </w:t>
      </w:r>
      <w:r>
        <w:rPr>
          <w:spacing w:val="-3"/>
          <w:sz w:val="22"/>
        </w:rPr>
        <w:t>CCG</w:t>
      </w:r>
    </w:p>
    <w:p>
      <w:pPr>
        <w:pStyle w:val="ListParagraph"/>
        <w:numPr>
          <w:ilvl w:val="0"/>
          <w:numId w:val="15"/>
        </w:numPr>
        <w:tabs>
          <w:tab w:pos="1398" w:val="left" w:leader="none"/>
          <w:tab w:pos="1399" w:val="left" w:leader="none"/>
        </w:tabs>
        <w:spacing w:line="235" w:lineRule="auto" w:before="6" w:after="0"/>
        <w:ind w:left="1398" w:right="799" w:hanging="360"/>
        <w:jc w:val="left"/>
        <w:rPr>
          <w:sz w:val="22"/>
        </w:rPr>
      </w:pPr>
      <w:r>
        <w:rPr>
          <w:sz w:val="22"/>
        </w:rPr>
        <w:t>Internal</w:t>
      </w:r>
      <w:r>
        <w:rPr>
          <w:spacing w:val="-12"/>
          <w:sz w:val="22"/>
        </w:rPr>
        <w:t> </w:t>
      </w:r>
      <w:r>
        <w:rPr>
          <w:sz w:val="22"/>
        </w:rPr>
        <w:t>Audit</w:t>
      </w:r>
      <w:r>
        <w:rPr>
          <w:spacing w:val="-3"/>
          <w:sz w:val="22"/>
        </w:rPr>
        <w:t> </w:t>
      </w:r>
      <w:r>
        <w:rPr>
          <w:sz w:val="22"/>
        </w:rPr>
        <w:t>review</w:t>
      </w:r>
      <w:r>
        <w:rPr>
          <w:spacing w:val="-9"/>
          <w:sz w:val="22"/>
        </w:rPr>
        <w:t> </w:t>
      </w:r>
      <w:r>
        <w:rPr>
          <w:sz w:val="22"/>
        </w:rPr>
        <w:t>of</w:t>
      </w:r>
      <w:r>
        <w:rPr>
          <w:spacing w:val="-5"/>
          <w:sz w:val="22"/>
        </w:rPr>
        <w:t> </w:t>
      </w:r>
      <w:r>
        <w:rPr>
          <w:sz w:val="22"/>
        </w:rPr>
        <w:t>systems</w:t>
      </w:r>
      <w:r>
        <w:rPr>
          <w:spacing w:val="-4"/>
          <w:sz w:val="22"/>
        </w:rPr>
        <w:t> </w:t>
      </w:r>
      <w:r>
        <w:rPr>
          <w:spacing w:val="-3"/>
          <w:sz w:val="22"/>
        </w:rPr>
        <w:t>of</w:t>
      </w:r>
      <w:r>
        <w:rPr>
          <w:spacing w:val="-5"/>
          <w:sz w:val="22"/>
        </w:rPr>
        <w:t> </w:t>
      </w:r>
      <w:r>
        <w:rPr>
          <w:sz w:val="22"/>
        </w:rPr>
        <w:t>internal</w:t>
      </w:r>
      <w:r>
        <w:rPr>
          <w:spacing w:val="-9"/>
          <w:sz w:val="22"/>
        </w:rPr>
        <w:t> </w:t>
      </w:r>
      <w:r>
        <w:rPr>
          <w:sz w:val="22"/>
        </w:rPr>
        <w:t>control</w:t>
      </w:r>
      <w:r>
        <w:rPr>
          <w:spacing w:val="-12"/>
          <w:sz w:val="22"/>
        </w:rPr>
        <w:t> </w:t>
      </w:r>
      <w:r>
        <w:rPr>
          <w:sz w:val="22"/>
        </w:rPr>
        <w:t>and</w:t>
      </w:r>
      <w:r>
        <w:rPr>
          <w:spacing w:val="-9"/>
          <w:sz w:val="22"/>
        </w:rPr>
        <w:t> </w:t>
      </w:r>
      <w:r>
        <w:rPr>
          <w:sz w:val="22"/>
        </w:rPr>
        <w:t>progress</w:t>
      </w:r>
      <w:r>
        <w:rPr>
          <w:spacing w:val="-10"/>
          <w:sz w:val="22"/>
        </w:rPr>
        <w:t> </w:t>
      </w:r>
      <w:r>
        <w:rPr>
          <w:sz w:val="22"/>
        </w:rPr>
        <w:t>reports</w:t>
      </w:r>
      <w:r>
        <w:rPr>
          <w:spacing w:val="-13"/>
          <w:sz w:val="22"/>
        </w:rPr>
        <w:t> </w:t>
      </w:r>
      <w:r>
        <w:rPr>
          <w:sz w:val="22"/>
        </w:rPr>
        <w:t>to</w:t>
      </w:r>
      <w:r>
        <w:rPr>
          <w:spacing w:val="-11"/>
          <w:sz w:val="22"/>
        </w:rPr>
        <w:t> </w:t>
      </w:r>
      <w:r>
        <w:rPr>
          <w:sz w:val="22"/>
        </w:rPr>
        <w:t>the</w:t>
      </w:r>
      <w:r>
        <w:rPr>
          <w:spacing w:val="-7"/>
          <w:sz w:val="22"/>
        </w:rPr>
        <w:t> </w:t>
      </w:r>
      <w:r>
        <w:rPr>
          <w:sz w:val="22"/>
        </w:rPr>
        <w:t>Integrated Audit &amp; Governance Committee, especially the Head of Internal Audit</w:t>
      </w:r>
      <w:r>
        <w:rPr>
          <w:spacing w:val="-21"/>
          <w:sz w:val="22"/>
        </w:rPr>
        <w:t> </w:t>
      </w:r>
      <w:r>
        <w:rPr>
          <w:sz w:val="22"/>
        </w:rPr>
        <w:t>Opinion</w:t>
      </w:r>
    </w:p>
    <w:p>
      <w:pPr>
        <w:pStyle w:val="ListParagraph"/>
        <w:numPr>
          <w:ilvl w:val="0"/>
          <w:numId w:val="15"/>
        </w:numPr>
        <w:tabs>
          <w:tab w:pos="1395" w:val="left" w:leader="none"/>
          <w:tab w:pos="1396" w:val="left" w:leader="none"/>
        </w:tabs>
        <w:spacing w:line="235" w:lineRule="auto" w:before="6" w:after="0"/>
        <w:ind w:left="1395" w:right="1613" w:hanging="361"/>
        <w:jc w:val="left"/>
        <w:rPr>
          <w:sz w:val="22"/>
        </w:rPr>
      </w:pPr>
      <w:r>
        <w:rPr>
          <w:sz w:val="22"/>
        </w:rPr>
        <w:t>Assurance reports on risk and governance received from the Integrated Audit &amp; Governance</w:t>
      </w:r>
      <w:r>
        <w:rPr>
          <w:spacing w:val="-3"/>
          <w:sz w:val="22"/>
        </w:rPr>
        <w:t> </w:t>
      </w:r>
      <w:r>
        <w:rPr>
          <w:sz w:val="22"/>
        </w:rPr>
        <w:t>Committee</w:t>
      </w:r>
    </w:p>
    <w:p>
      <w:pPr>
        <w:pStyle w:val="ListParagraph"/>
        <w:numPr>
          <w:ilvl w:val="0"/>
          <w:numId w:val="15"/>
        </w:numPr>
        <w:tabs>
          <w:tab w:pos="1395" w:val="left" w:leader="none"/>
          <w:tab w:pos="1396" w:val="left" w:leader="none"/>
        </w:tabs>
        <w:spacing w:line="264" w:lineRule="exact" w:before="0" w:after="0"/>
        <w:ind w:left="1395" w:right="0" w:hanging="363"/>
        <w:jc w:val="left"/>
        <w:rPr>
          <w:sz w:val="22"/>
        </w:rPr>
      </w:pPr>
      <w:r>
        <w:rPr>
          <w:sz w:val="22"/>
        </w:rPr>
        <w:t>Performance management</w:t>
      </w:r>
      <w:r>
        <w:rPr>
          <w:spacing w:val="-3"/>
          <w:sz w:val="22"/>
        </w:rPr>
        <w:t> </w:t>
      </w:r>
      <w:r>
        <w:rPr>
          <w:sz w:val="22"/>
        </w:rPr>
        <w:t>systems</w:t>
      </w:r>
    </w:p>
    <w:p>
      <w:pPr>
        <w:pStyle w:val="ListParagraph"/>
        <w:numPr>
          <w:ilvl w:val="0"/>
          <w:numId w:val="15"/>
        </w:numPr>
        <w:tabs>
          <w:tab w:pos="1394" w:val="left" w:leader="none"/>
        </w:tabs>
        <w:spacing w:line="237" w:lineRule="auto" w:before="6" w:after="0"/>
        <w:ind w:left="1393" w:right="764" w:hanging="361"/>
        <w:jc w:val="both"/>
        <w:rPr>
          <w:sz w:val="22"/>
        </w:rPr>
      </w:pPr>
      <w:r>
        <w:rPr>
          <w:sz w:val="22"/>
        </w:rPr>
        <w:t>Internal committee structure with delegated responsibility for risk identification, evaluation, control, review and</w:t>
      </w:r>
      <w:r>
        <w:rPr>
          <w:spacing w:val="-3"/>
          <w:sz w:val="22"/>
        </w:rPr>
        <w:t> </w:t>
      </w:r>
      <w:r>
        <w:rPr>
          <w:sz w:val="22"/>
        </w:rPr>
        <w:t>assurance</w:t>
      </w:r>
    </w:p>
    <w:p>
      <w:pPr>
        <w:pStyle w:val="ListParagraph"/>
        <w:numPr>
          <w:ilvl w:val="0"/>
          <w:numId w:val="15"/>
        </w:numPr>
        <w:tabs>
          <w:tab w:pos="1399" w:val="left" w:leader="none"/>
        </w:tabs>
        <w:spacing w:line="235" w:lineRule="auto" w:before="6" w:after="0"/>
        <w:ind w:left="1398" w:right="756" w:hanging="358"/>
        <w:jc w:val="both"/>
        <w:rPr>
          <w:sz w:val="22"/>
        </w:rPr>
      </w:pPr>
      <w:r>
        <w:rPr>
          <w:sz w:val="22"/>
        </w:rPr>
        <w:t>Review of the Strategic Risk Register action </w:t>
      </w:r>
      <w:r>
        <w:rPr>
          <w:spacing w:val="-4"/>
          <w:sz w:val="22"/>
        </w:rPr>
        <w:t>plans </w:t>
      </w:r>
      <w:r>
        <w:rPr>
          <w:sz w:val="22"/>
        </w:rPr>
        <w:t>to address any identified weaknesses and ensure continuous improvement of the system is in place via the Assurance Framework and also via action plans embedded within the </w:t>
      </w:r>
      <w:r>
        <w:rPr>
          <w:spacing w:val="-3"/>
          <w:sz w:val="22"/>
        </w:rPr>
        <w:t>Risk</w:t>
      </w:r>
      <w:r>
        <w:rPr>
          <w:spacing w:val="-23"/>
          <w:sz w:val="22"/>
        </w:rPr>
        <w:t> </w:t>
      </w:r>
      <w:r>
        <w:rPr>
          <w:sz w:val="22"/>
        </w:rPr>
        <w:t>Registers</w:t>
      </w:r>
    </w:p>
    <w:p>
      <w:pPr>
        <w:pStyle w:val="ListParagraph"/>
        <w:numPr>
          <w:ilvl w:val="0"/>
          <w:numId w:val="15"/>
        </w:numPr>
        <w:tabs>
          <w:tab w:pos="1397" w:val="left" w:leader="none"/>
        </w:tabs>
        <w:spacing w:line="268" w:lineRule="exact" w:before="0" w:after="0"/>
        <w:ind w:left="1396" w:right="0" w:hanging="364"/>
        <w:jc w:val="both"/>
        <w:rPr>
          <w:sz w:val="22"/>
        </w:rPr>
      </w:pPr>
      <w:r>
        <w:rPr>
          <w:sz w:val="22"/>
        </w:rPr>
        <w:t>The Corporate Risk</w:t>
      </w:r>
      <w:r>
        <w:rPr>
          <w:spacing w:val="-6"/>
          <w:sz w:val="22"/>
        </w:rPr>
        <w:t> </w:t>
      </w:r>
      <w:r>
        <w:rPr>
          <w:sz w:val="22"/>
        </w:rPr>
        <w:t>Register</w:t>
      </w:r>
    </w:p>
    <w:p>
      <w:pPr>
        <w:pStyle w:val="ListParagraph"/>
        <w:numPr>
          <w:ilvl w:val="0"/>
          <w:numId w:val="15"/>
        </w:numPr>
        <w:tabs>
          <w:tab w:pos="1397" w:val="left" w:leader="none"/>
        </w:tabs>
        <w:spacing w:line="237" w:lineRule="auto" w:before="6" w:after="0"/>
        <w:ind w:left="1396" w:right="694" w:hanging="363"/>
        <w:jc w:val="both"/>
        <w:rPr>
          <w:sz w:val="22"/>
        </w:rPr>
      </w:pPr>
      <w:r>
        <w:rPr>
          <w:sz w:val="22"/>
        </w:rPr>
        <w:t>Assessment of the impact of the proposals set out in the Government’s White Paper for the</w:t>
      </w:r>
      <w:r>
        <w:rPr>
          <w:spacing w:val="-3"/>
          <w:sz w:val="22"/>
        </w:rPr>
        <w:t> </w:t>
      </w:r>
      <w:r>
        <w:rPr>
          <w:sz w:val="22"/>
        </w:rPr>
        <w:t>NHS.</w:t>
      </w:r>
    </w:p>
    <w:p>
      <w:pPr>
        <w:pStyle w:val="BodyText"/>
        <w:spacing w:before="201"/>
        <w:ind w:left="673" w:right="761"/>
        <w:jc w:val="both"/>
      </w:pPr>
      <w:r>
        <w:rPr/>
        <w:t>In</w:t>
      </w:r>
      <w:r>
        <w:rPr>
          <w:spacing w:val="-4"/>
        </w:rPr>
        <w:t> </w:t>
      </w:r>
      <w:r>
        <w:rPr/>
        <w:t>addition</w:t>
      </w:r>
      <w:r>
        <w:rPr>
          <w:spacing w:val="-6"/>
        </w:rPr>
        <w:t> </w:t>
      </w:r>
      <w:r>
        <w:rPr/>
        <w:t>to</w:t>
      </w:r>
      <w:r>
        <w:rPr>
          <w:spacing w:val="-9"/>
        </w:rPr>
        <w:t> </w:t>
      </w:r>
      <w:r>
        <w:rPr/>
        <w:t>myself,</w:t>
      </w:r>
      <w:r>
        <w:rPr>
          <w:spacing w:val="-4"/>
        </w:rPr>
        <w:t> </w:t>
      </w:r>
      <w:r>
        <w:rPr/>
        <w:t>the</w:t>
      </w:r>
      <w:r>
        <w:rPr>
          <w:spacing w:val="-6"/>
        </w:rPr>
        <w:t> </w:t>
      </w:r>
      <w:r>
        <w:rPr/>
        <w:t>systems</w:t>
      </w:r>
      <w:r>
        <w:rPr>
          <w:spacing w:val="-4"/>
        </w:rPr>
        <w:t> </w:t>
      </w:r>
      <w:r>
        <w:rPr/>
        <w:t>and</w:t>
      </w:r>
      <w:r>
        <w:rPr>
          <w:spacing w:val="-6"/>
        </w:rPr>
        <w:t> </w:t>
      </w:r>
      <w:r>
        <w:rPr/>
        <w:t>mechanisms</w:t>
      </w:r>
      <w:r>
        <w:rPr>
          <w:spacing w:val="-4"/>
        </w:rPr>
        <w:t> </w:t>
      </w:r>
      <w:r>
        <w:rPr/>
        <w:t>set</w:t>
      </w:r>
      <w:r>
        <w:rPr>
          <w:spacing w:val="-3"/>
        </w:rPr>
        <w:t> </w:t>
      </w:r>
      <w:r>
        <w:rPr/>
        <w:t>out</w:t>
      </w:r>
      <w:r>
        <w:rPr>
          <w:spacing w:val="-3"/>
        </w:rPr>
        <w:t> </w:t>
      </w:r>
      <w:r>
        <w:rPr/>
        <w:t>within</w:t>
      </w:r>
      <w:r>
        <w:rPr>
          <w:spacing w:val="-5"/>
        </w:rPr>
        <w:t> </w:t>
      </w:r>
      <w:r>
        <w:rPr/>
        <w:t>this</w:t>
      </w:r>
      <w:r>
        <w:rPr>
          <w:spacing w:val="-6"/>
        </w:rPr>
        <w:t> </w:t>
      </w:r>
      <w:r>
        <w:rPr/>
        <w:t>Statement</w:t>
      </w:r>
      <w:r>
        <w:rPr>
          <w:spacing w:val="-5"/>
        </w:rPr>
        <w:t> </w:t>
      </w:r>
      <w:r>
        <w:rPr/>
        <w:t>and</w:t>
      </w:r>
      <w:r>
        <w:rPr>
          <w:spacing w:val="-6"/>
        </w:rPr>
        <w:t> </w:t>
      </w:r>
      <w:r>
        <w:rPr/>
        <w:t>other</w:t>
      </w:r>
      <w:r>
        <w:rPr>
          <w:spacing w:val="-2"/>
        </w:rPr>
        <w:t> </w:t>
      </w:r>
      <w:r>
        <w:rPr/>
        <w:t>CCG officers</w:t>
      </w:r>
      <w:r>
        <w:rPr>
          <w:spacing w:val="-19"/>
        </w:rPr>
        <w:t> </w:t>
      </w:r>
      <w:r>
        <w:rPr/>
        <w:t>have</w:t>
      </w:r>
      <w:r>
        <w:rPr>
          <w:spacing w:val="-16"/>
        </w:rPr>
        <w:t> </w:t>
      </w:r>
      <w:r>
        <w:rPr/>
        <w:t>played</w:t>
      </w:r>
      <w:r>
        <w:rPr>
          <w:spacing w:val="-22"/>
        </w:rPr>
        <w:t> </w:t>
      </w:r>
      <w:r>
        <w:rPr/>
        <w:t>a</w:t>
      </w:r>
      <w:r>
        <w:rPr>
          <w:spacing w:val="-26"/>
        </w:rPr>
        <w:t> </w:t>
      </w:r>
      <w:r>
        <w:rPr/>
        <w:t>significant</w:t>
      </w:r>
      <w:r>
        <w:rPr>
          <w:spacing w:val="-19"/>
        </w:rPr>
        <w:t> </w:t>
      </w:r>
      <w:r>
        <w:rPr/>
        <w:t>part</w:t>
      </w:r>
      <w:r>
        <w:rPr>
          <w:spacing w:val="-19"/>
        </w:rPr>
        <w:t> </w:t>
      </w:r>
      <w:r>
        <w:rPr/>
        <w:t>in</w:t>
      </w:r>
      <w:r>
        <w:rPr>
          <w:spacing w:val="-22"/>
        </w:rPr>
        <w:t> </w:t>
      </w:r>
      <w:r>
        <w:rPr/>
        <w:t>maintaining</w:t>
      </w:r>
      <w:r>
        <w:rPr>
          <w:spacing w:val="-20"/>
        </w:rPr>
        <w:t> </w:t>
      </w:r>
      <w:r>
        <w:rPr/>
        <w:t>and</w:t>
      </w:r>
      <w:r>
        <w:rPr>
          <w:spacing w:val="-23"/>
        </w:rPr>
        <w:t> </w:t>
      </w:r>
      <w:r>
        <w:rPr/>
        <w:t>reviewing</w:t>
      </w:r>
      <w:r>
        <w:rPr>
          <w:spacing w:val="-21"/>
        </w:rPr>
        <w:t> </w:t>
      </w:r>
      <w:r>
        <w:rPr/>
        <w:t>the</w:t>
      </w:r>
      <w:r>
        <w:rPr>
          <w:spacing w:val="-21"/>
        </w:rPr>
        <w:t> </w:t>
      </w:r>
      <w:r>
        <w:rPr/>
        <w:t>effectiveness</w:t>
      </w:r>
      <w:r>
        <w:rPr>
          <w:spacing w:val="-20"/>
        </w:rPr>
        <w:t> </w:t>
      </w:r>
      <w:r>
        <w:rPr/>
        <w:t>of</w:t>
      </w:r>
      <w:r>
        <w:rPr>
          <w:spacing w:val="-22"/>
        </w:rPr>
        <w:t> </w:t>
      </w:r>
      <w:r>
        <w:rPr/>
        <w:t>the</w:t>
      </w:r>
      <w:r>
        <w:rPr>
          <w:spacing w:val="-17"/>
        </w:rPr>
        <w:t> </w:t>
      </w:r>
      <w:r>
        <w:rPr/>
        <w:t>system of</w:t>
      </w:r>
      <w:r>
        <w:rPr>
          <w:spacing w:val="-6"/>
        </w:rPr>
        <w:t> </w:t>
      </w:r>
      <w:r>
        <w:rPr/>
        <w:t>internal</w:t>
      </w:r>
      <w:r>
        <w:rPr>
          <w:spacing w:val="-1"/>
        </w:rPr>
        <w:t> </w:t>
      </w:r>
      <w:r>
        <w:rPr/>
        <w:t>control</w:t>
      </w:r>
      <w:r>
        <w:rPr>
          <w:spacing w:val="-1"/>
        </w:rPr>
        <w:t> </w:t>
      </w:r>
      <w:r>
        <w:rPr/>
        <w:t>in</w:t>
      </w:r>
      <w:r>
        <w:rPr>
          <w:spacing w:val="-1"/>
        </w:rPr>
        <w:t> </w:t>
      </w:r>
      <w:r>
        <w:rPr/>
        <w:t>2021/22</w:t>
      </w:r>
      <w:r>
        <w:rPr>
          <w:spacing w:val="-1"/>
        </w:rPr>
        <w:t> </w:t>
      </w:r>
      <w:r>
        <w:rPr/>
        <w:t>and</w:t>
      </w:r>
      <w:r>
        <w:rPr>
          <w:spacing w:val="-3"/>
        </w:rPr>
        <w:t> </w:t>
      </w:r>
      <w:r>
        <w:rPr/>
        <w:t>have</w:t>
      </w:r>
      <w:r>
        <w:rPr>
          <w:spacing w:val="-3"/>
        </w:rPr>
        <w:t> </w:t>
      </w:r>
      <w:r>
        <w:rPr/>
        <w:t>managed</w:t>
      </w:r>
      <w:r>
        <w:rPr>
          <w:spacing w:val="-5"/>
        </w:rPr>
        <w:t> </w:t>
      </w:r>
      <w:r>
        <w:rPr/>
        <w:t>risks assigned</w:t>
      </w:r>
      <w:r>
        <w:rPr>
          <w:spacing w:val="-3"/>
        </w:rPr>
        <w:t> </w:t>
      </w:r>
      <w:r>
        <w:rPr/>
        <w:t>to</w:t>
      </w:r>
      <w:r>
        <w:rPr>
          <w:spacing w:val="-3"/>
        </w:rPr>
        <w:t> </w:t>
      </w:r>
      <w:r>
        <w:rPr/>
        <w:t>them.</w:t>
      </w:r>
      <w:r>
        <w:rPr>
          <w:spacing w:val="-4"/>
        </w:rPr>
        <w:t> </w:t>
      </w:r>
      <w:r>
        <w:rPr/>
        <w:t>In</w:t>
      </w:r>
      <w:r>
        <w:rPr>
          <w:spacing w:val="-41"/>
        </w:rPr>
        <w:t> </w:t>
      </w:r>
      <w:r>
        <w:rPr/>
        <w:t>particular:</w:t>
      </w:r>
    </w:p>
    <w:p>
      <w:pPr>
        <w:pStyle w:val="BodyText"/>
        <w:rPr>
          <w:sz w:val="24"/>
        </w:rPr>
      </w:pPr>
    </w:p>
    <w:p>
      <w:pPr>
        <w:pStyle w:val="Heading6"/>
        <w:spacing w:before="176"/>
        <w:ind w:left="672"/>
        <w:jc w:val="both"/>
        <w:rPr>
          <w:b w:val="0"/>
        </w:rPr>
      </w:pPr>
      <w:bookmarkStart w:name="The Governing Body:" w:id="151"/>
      <w:bookmarkEnd w:id="151"/>
      <w:r>
        <w:rPr>
          <w:b w:val="0"/>
        </w:rPr>
      </w:r>
      <w:r>
        <w:rPr/>
        <w:t>The Governing Body</w:t>
      </w:r>
      <w:r>
        <w:rPr>
          <w:b w:val="0"/>
        </w:rPr>
        <w:t>:</w:t>
      </w:r>
    </w:p>
    <w:p>
      <w:pPr>
        <w:pStyle w:val="BodyText"/>
        <w:spacing w:before="198"/>
        <w:ind w:left="665" w:right="757" w:firstLine="7"/>
        <w:jc w:val="both"/>
      </w:pPr>
      <w:r>
        <w:rPr>
          <w:spacing w:val="13"/>
        </w:rPr>
        <w:t>This </w:t>
      </w:r>
      <w:r>
        <w:rPr>
          <w:spacing w:val="5"/>
        </w:rPr>
        <w:t>is </w:t>
      </w:r>
      <w:r>
        <w:rPr/>
        <w:t>r esponsible for providing clear commitment and direction for Risk Management within the organisation. The Governing Body delegates responsibility for oversight and independent assurance</w:t>
      </w:r>
      <w:r>
        <w:rPr>
          <w:spacing w:val="-7"/>
        </w:rPr>
        <w:t> </w:t>
      </w:r>
      <w:r>
        <w:rPr/>
        <w:t>on</w:t>
      </w:r>
      <w:r>
        <w:rPr>
          <w:spacing w:val="-6"/>
        </w:rPr>
        <w:t> </w:t>
      </w:r>
      <w:r>
        <w:rPr/>
        <w:t>risk</w:t>
      </w:r>
      <w:r>
        <w:rPr>
          <w:spacing w:val="-4"/>
        </w:rPr>
        <w:t> </w:t>
      </w:r>
      <w:r>
        <w:rPr/>
        <w:t>management</w:t>
      </w:r>
      <w:r>
        <w:rPr>
          <w:spacing w:val="-2"/>
        </w:rPr>
        <w:t> </w:t>
      </w:r>
      <w:r>
        <w:rPr/>
        <w:t>to</w:t>
      </w:r>
      <w:r>
        <w:rPr>
          <w:spacing w:val="-6"/>
        </w:rPr>
        <w:t> </w:t>
      </w:r>
      <w:r>
        <w:rPr/>
        <w:t>the</w:t>
      </w:r>
      <w:r>
        <w:rPr>
          <w:spacing w:val="-6"/>
        </w:rPr>
        <w:t> </w:t>
      </w:r>
      <w:r>
        <w:rPr/>
        <w:t>Integrated</w:t>
      </w:r>
      <w:r>
        <w:rPr>
          <w:spacing w:val="-11"/>
        </w:rPr>
        <w:t> </w:t>
      </w:r>
      <w:r>
        <w:rPr/>
        <w:t>Audit</w:t>
      </w:r>
      <w:r>
        <w:rPr>
          <w:spacing w:val="-2"/>
        </w:rPr>
        <w:t> </w:t>
      </w:r>
      <w:r>
        <w:rPr/>
        <w:t>&amp;</w:t>
      </w:r>
      <w:r>
        <w:rPr>
          <w:spacing w:val="-7"/>
        </w:rPr>
        <w:t> </w:t>
      </w:r>
      <w:r>
        <w:rPr/>
        <w:t>Governance</w:t>
      </w:r>
      <w:r>
        <w:rPr>
          <w:spacing w:val="-6"/>
        </w:rPr>
        <w:t> </w:t>
      </w:r>
      <w:r>
        <w:rPr/>
        <w:t>Committee</w:t>
      </w:r>
      <w:r>
        <w:rPr>
          <w:spacing w:val="-6"/>
        </w:rPr>
        <w:t> </w:t>
      </w:r>
      <w:r>
        <w:rPr/>
        <w:t>and</w:t>
      </w:r>
      <w:r>
        <w:rPr>
          <w:spacing w:val="-2"/>
        </w:rPr>
        <w:t> </w:t>
      </w:r>
      <w:r>
        <w:rPr/>
        <w:t>delegates responsibility</w:t>
      </w:r>
      <w:r>
        <w:rPr>
          <w:spacing w:val="-12"/>
        </w:rPr>
        <w:t> </w:t>
      </w:r>
      <w:r>
        <w:rPr/>
        <w:t>for</w:t>
      </w:r>
      <w:r>
        <w:rPr>
          <w:spacing w:val="-13"/>
        </w:rPr>
        <w:t> </w:t>
      </w:r>
      <w:r>
        <w:rPr/>
        <w:t>operational</w:t>
      </w:r>
      <w:r>
        <w:rPr>
          <w:spacing w:val="-13"/>
        </w:rPr>
        <w:t> </w:t>
      </w:r>
      <w:r>
        <w:rPr/>
        <w:t>and</w:t>
      </w:r>
      <w:r>
        <w:rPr>
          <w:spacing w:val="-14"/>
        </w:rPr>
        <w:t> </w:t>
      </w:r>
      <w:r>
        <w:rPr/>
        <w:t>clinical</w:t>
      </w:r>
      <w:r>
        <w:rPr>
          <w:spacing w:val="-13"/>
        </w:rPr>
        <w:t> </w:t>
      </w:r>
      <w:r>
        <w:rPr/>
        <w:t>risk</w:t>
      </w:r>
      <w:r>
        <w:rPr>
          <w:spacing w:val="-14"/>
        </w:rPr>
        <w:t> </w:t>
      </w:r>
      <w:r>
        <w:rPr/>
        <w:t>management</w:t>
      </w:r>
      <w:r>
        <w:rPr>
          <w:spacing w:val="-15"/>
        </w:rPr>
        <w:t> </w:t>
      </w:r>
      <w:r>
        <w:rPr/>
        <w:t>to</w:t>
      </w:r>
      <w:r>
        <w:rPr>
          <w:spacing w:val="-15"/>
        </w:rPr>
        <w:t> </w:t>
      </w:r>
      <w:r>
        <w:rPr/>
        <w:t>the</w:t>
      </w:r>
      <w:r>
        <w:rPr>
          <w:spacing w:val="-17"/>
        </w:rPr>
        <w:t> </w:t>
      </w:r>
      <w:r>
        <w:rPr/>
        <w:t>Quality,</w:t>
      </w:r>
      <w:r>
        <w:rPr>
          <w:spacing w:val="-12"/>
        </w:rPr>
        <w:t> </w:t>
      </w:r>
      <w:r>
        <w:rPr/>
        <w:t>Performance</w:t>
      </w:r>
      <w:r>
        <w:rPr>
          <w:spacing w:val="-15"/>
        </w:rPr>
        <w:t> </w:t>
      </w:r>
      <w:r>
        <w:rPr/>
        <w:t>&amp;</w:t>
      </w:r>
      <w:r>
        <w:rPr>
          <w:spacing w:val="-15"/>
        </w:rPr>
        <w:t> </w:t>
      </w:r>
      <w:r>
        <w:rPr/>
        <w:t>Finance</w:t>
      </w:r>
      <w:bookmarkStart w:name="The Integrated Audit &amp; Governance Commit" w:id="152"/>
      <w:bookmarkEnd w:id="152"/>
      <w:r>
        <w:rPr/>
      </w:r>
      <w:r>
        <w:rPr/>
        <w:t> Committee.</w:t>
      </w:r>
    </w:p>
    <w:p>
      <w:pPr>
        <w:pStyle w:val="Heading6"/>
        <w:spacing w:before="204"/>
        <w:jc w:val="both"/>
        <w:rPr>
          <w:b w:val="0"/>
        </w:rPr>
      </w:pPr>
      <w:r>
        <w:rPr/>
        <w:t>The Integrated Audit &amp; Governance Committee</w:t>
      </w:r>
      <w:r>
        <w:rPr>
          <w:b w:val="0"/>
        </w:rPr>
        <w:t>:</w:t>
      </w:r>
    </w:p>
    <w:p>
      <w:pPr>
        <w:pStyle w:val="BodyText"/>
        <w:spacing w:before="198"/>
        <w:ind w:left="680" w:right="706"/>
        <w:jc w:val="both"/>
      </w:pPr>
      <w:r>
        <w:rPr/>
        <w:t>As the Committee with overarching responsibility for risk management, it provides assurance to the Governing Body that appropriate risk management arrangements are in place across the</w:t>
      </w:r>
    </w:p>
    <w:p>
      <w:pPr>
        <w:spacing w:after="0"/>
        <w:jc w:val="both"/>
        <w:sectPr>
          <w:pgSz w:w="11920" w:h="16850"/>
          <w:pgMar w:header="0" w:footer="363" w:top="1320" w:bottom="640" w:left="760" w:right="420"/>
        </w:sectPr>
      </w:pPr>
    </w:p>
    <w:p>
      <w:pPr>
        <w:pStyle w:val="BodyText"/>
        <w:spacing w:before="78"/>
        <w:ind w:left="680" w:right="707"/>
        <w:jc w:val="both"/>
      </w:pPr>
      <w:r>
        <w:rPr/>
        <w:t>organisation with specific responsibilities for financial risk management. It undertakes its own annual self-assessment of its effectiveness and reviews Internal and External Audits, the Assurance Framework, financial governance reports and the Register of Interests. The Committee is underpinned by various subgroups covering areas including health &amp; safety,</w:t>
      </w:r>
      <w:bookmarkStart w:name="The Quality Performance &amp; Finance Commit" w:id="153"/>
      <w:bookmarkEnd w:id="153"/>
      <w:r>
        <w:rPr/>
      </w:r>
      <w:r>
        <w:rPr/>
        <w:t> emergency planning and information governance.</w:t>
      </w:r>
    </w:p>
    <w:p>
      <w:pPr>
        <w:pStyle w:val="Heading6"/>
        <w:spacing w:before="204"/>
        <w:jc w:val="both"/>
        <w:rPr>
          <w:b w:val="0"/>
        </w:rPr>
      </w:pPr>
      <w:r>
        <w:rPr/>
        <w:t>The Quality Performance &amp; Finance Committee</w:t>
      </w:r>
      <w:r>
        <w:rPr>
          <w:b w:val="0"/>
        </w:rPr>
        <w:t>:</w:t>
      </w:r>
    </w:p>
    <w:p>
      <w:pPr>
        <w:pStyle w:val="BodyText"/>
        <w:spacing w:before="198"/>
        <w:ind w:left="680" w:right="705"/>
        <w:jc w:val="both"/>
      </w:pPr>
      <w:r>
        <w:rPr/>
        <w:t>Responsible for providing assurance to the Governing Body that appropriate clinical risk management,</w:t>
      </w:r>
      <w:r>
        <w:rPr>
          <w:spacing w:val="-14"/>
        </w:rPr>
        <w:t> </w:t>
      </w:r>
      <w:r>
        <w:rPr/>
        <w:t>financial</w:t>
      </w:r>
      <w:r>
        <w:rPr>
          <w:spacing w:val="-5"/>
        </w:rPr>
        <w:t> </w:t>
      </w:r>
      <w:r>
        <w:rPr/>
        <w:t>and</w:t>
      </w:r>
      <w:r>
        <w:rPr>
          <w:spacing w:val="-6"/>
        </w:rPr>
        <w:t> </w:t>
      </w:r>
      <w:r>
        <w:rPr/>
        <w:t>performance</w:t>
      </w:r>
      <w:r>
        <w:rPr>
          <w:spacing w:val="-9"/>
        </w:rPr>
        <w:t> </w:t>
      </w:r>
      <w:r>
        <w:rPr/>
        <w:t>arrangements</w:t>
      </w:r>
      <w:r>
        <w:rPr>
          <w:spacing w:val="-9"/>
        </w:rPr>
        <w:t> </w:t>
      </w:r>
      <w:r>
        <w:rPr/>
        <w:t>are</w:t>
      </w:r>
      <w:r>
        <w:rPr>
          <w:spacing w:val="-6"/>
        </w:rPr>
        <w:t> </w:t>
      </w:r>
      <w:r>
        <w:rPr/>
        <w:t>in</w:t>
      </w:r>
      <w:r>
        <w:rPr>
          <w:spacing w:val="-10"/>
        </w:rPr>
        <w:t> </w:t>
      </w:r>
      <w:r>
        <w:rPr/>
        <w:t>place</w:t>
      </w:r>
      <w:r>
        <w:rPr>
          <w:spacing w:val="-7"/>
        </w:rPr>
        <w:t> </w:t>
      </w:r>
      <w:r>
        <w:rPr/>
        <w:t>across</w:t>
      </w:r>
      <w:r>
        <w:rPr>
          <w:spacing w:val="-8"/>
        </w:rPr>
        <w:t> </w:t>
      </w:r>
      <w:r>
        <w:rPr/>
        <w:t>the</w:t>
      </w:r>
      <w:r>
        <w:rPr>
          <w:spacing w:val="-10"/>
        </w:rPr>
        <w:t> </w:t>
      </w:r>
      <w:r>
        <w:rPr/>
        <w:t>organisation.</w:t>
      </w:r>
      <w:r>
        <w:rPr>
          <w:spacing w:val="-6"/>
        </w:rPr>
        <w:t> </w:t>
      </w:r>
      <w:r>
        <w:rPr/>
        <w:t>The Committee is underpinned by various subgroups covering areas including, infection control,</w:t>
      </w:r>
      <w:bookmarkStart w:name="Chief Finance Officer:" w:id="154"/>
      <w:bookmarkEnd w:id="154"/>
      <w:r>
        <w:rPr/>
      </w:r>
      <w:r>
        <w:rPr/>
        <w:t> quality in contracts and incident</w:t>
      </w:r>
      <w:r>
        <w:rPr>
          <w:spacing w:val="-4"/>
        </w:rPr>
        <w:t> </w:t>
      </w:r>
      <w:r>
        <w:rPr/>
        <w:t>management.</w:t>
      </w:r>
    </w:p>
    <w:p>
      <w:pPr>
        <w:pStyle w:val="Heading6"/>
        <w:spacing w:before="200"/>
        <w:jc w:val="both"/>
        <w:rPr>
          <w:b w:val="0"/>
        </w:rPr>
      </w:pPr>
      <w:r>
        <w:rPr/>
        <w:t>Chief Finance Officer</w:t>
      </w:r>
      <w:r>
        <w:rPr>
          <w:b w:val="0"/>
        </w:rPr>
        <w:t>:</w:t>
      </w:r>
    </w:p>
    <w:p>
      <w:pPr>
        <w:pStyle w:val="BodyText"/>
        <w:spacing w:before="198"/>
        <w:ind w:left="678" w:right="755" w:firstLine="2"/>
        <w:jc w:val="both"/>
      </w:pPr>
      <w:r>
        <w:rPr/>
        <w:t>As Senior Responsible Officer for NHS finances across the CCG, the Chief Finance Officer is responsible for ensuring that the organisation complies with its statutory financial obligations to</w:t>
      </w:r>
      <w:bookmarkStart w:name="Conclusion" w:id="155"/>
      <w:bookmarkEnd w:id="155"/>
      <w:r>
        <w:rPr/>
      </w:r>
      <w:r>
        <w:rPr/>
        <w:t> achieve financial targets and reports financial risks to the Governing Body.</w:t>
      </w:r>
    </w:p>
    <w:p>
      <w:pPr>
        <w:pStyle w:val="Heading4"/>
        <w:spacing w:before="200"/>
      </w:pPr>
      <w:r>
        <w:rPr>
          <w:color w:val="365F91"/>
        </w:rPr>
        <w:t>Conclusion</w:t>
      </w:r>
    </w:p>
    <w:p>
      <w:pPr>
        <w:pStyle w:val="BodyText"/>
        <w:rPr>
          <w:b/>
        </w:rPr>
      </w:pPr>
    </w:p>
    <w:p>
      <w:pPr>
        <w:pStyle w:val="BodyText"/>
        <w:spacing w:before="1"/>
        <w:ind w:left="679" w:right="1031"/>
      </w:pPr>
      <w:r>
        <w:rPr/>
        <w:t>With the exception of the internal control issues I have outlined in my statement, my review confirms that the CCG has a system of internal controls that supports the achievement of its policies, aims and objectives that is "fit for purpose" and that these control issues either have been, or are being, mitigated and addressed.</w:t>
      </w:r>
    </w:p>
    <w:p>
      <w:pPr>
        <w:spacing w:after="0"/>
        <w:sectPr>
          <w:pgSz w:w="11920" w:h="16850"/>
          <w:pgMar w:header="0" w:footer="363" w:top="1320" w:bottom="640" w:left="760" w:right="420"/>
        </w:sectPr>
      </w:pPr>
    </w:p>
    <w:p>
      <w:pPr>
        <w:pStyle w:val="Heading2"/>
        <w:spacing w:before="60"/>
      </w:pPr>
      <w:bookmarkStart w:name="ANNUAL GOVERNANCE REPORT APPENDIX 1" w:id="156"/>
      <w:bookmarkEnd w:id="156"/>
      <w:r>
        <w:rPr>
          <w:b w:val="0"/>
        </w:rPr>
      </w:r>
      <w:r>
        <w:rPr/>
        <w:t>ANNUAL GOVERNANCE REPORT APPENDIX 1</w:t>
      </w:r>
    </w:p>
    <w:p>
      <w:pPr>
        <w:spacing w:after="0"/>
        <w:sectPr>
          <w:pgSz w:w="11920" w:h="16850"/>
          <w:pgMar w:header="0" w:footer="363" w:top="1340" w:bottom="640" w:left="760" w:right="420"/>
        </w:sectPr>
      </w:pPr>
    </w:p>
    <w:tbl>
      <w:tblPr>
        <w:tblW w:w="0" w:type="auto"/>
        <w:jc w:val="left"/>
        <w:tblInd w:w="3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
        <w:gridCol w:w="470"/>
        <w:gridCol w:w="300"/>
        <w:gridCol w:w="300"/>
        <w:gridCol w:w="300"/>
        <w:gridCol w:w="300"/>
        <w:gridCol w:w="300"/>
        <w:gridCol w:w="326"/>
        <w:gridCol w:w="324"/>
        <w:gridCol w:w="300"/>
        <w:gridCol w:w="300"/>
        <w:gridCol w:w="2525"/>
      </w:tblGrid>
      <w:tr>
        <w:trPr>
          <w:trHeight w:val="1840" w:hRule="atLeast"/>
        </w:trPr>
        <w:tc>
          <w:tcPr>
            <w:tcW w:w="264" w:type="dxa"/>
            <w:textDirection w:val="tbRl"/>
          </w:tcPr>
          <w:p>
            <w:pPr>
              <w:pStyle w:val="TableParagraph"/>
              <w:spacing w:before="23"/>
              <w:ind w:left="98"/>
              <w:rPr>
                <w:b/>
                <w:sz w:val="18"/>
              </w:rPr>
            </w:pPr>
            <w:r>
              <w:rPr>
                <w:b/>
                <w:sz w:val="18"/>
              </w:rPr>
              <w:t>10.02.22</w:t>
            </w:r>
          </w:p>
        </w:tc>
        <w:tc>
          <w:tcPr>
            <w:tcW w:w="470" w:type="dxa"/>
            <w:textDirection w:val="tbRl"/>
          </w:tcPr>
          <w:p>
            <w:pPr>
              <w:pStyle w:val="TableParagraph"/>
              <w:spacing w:line="247" w:lineRule="auto" w:before="13"/>
              <w:ind w:left="98" w:right="101"/>
              <w:rPr>
                <w:b/>
                <w:sz w:val="18"/>
              </w:rPr>
            </w:pPr>
            <w:r>
              <w:rPr>
                <w:b/>
                <w:sz w:val="18"/>
              </w:rPr>
              <w:t>13.01.22 Workshop cancelled</w:t>
            </w:r>
          </w:p>
        </w:tc>
        <w:tc>
          <w:tcPr>
            <w:tcW w:w="300" w:type="dxa"/>
            <w:tcBorders>
              <w:bottom w:val="single" w:sz="8" w:space="0" w:color="000000"/>
            </w:tcBorders>
            <w:textDirection w:val="tbRl"/>
          </w:tcPr>
          <w:p>
            <w:pPr>
              <w:pStyle w:val="TableParagraph"/>
              <w:spacing w:before="32"/>
              <w:ind w:left="98"/>
              <w:rPr>
                <w:b/>
                <w:sz w:val="18"/>
              </w:rPr>
            </w:pPr>
            <w:r>
              <w:rPr>
                <w:b/>
                <w:sz w:val="18"/>
              </w:rPr>
              <w:t>09.12.21</w:t>
            </w:r>
          </w:p>
        </w:tc>
        <w:tc>
          <w:tcPr>
            <w:tcW w:w="300" w:type="dxa"/>
            <w:tcBorders>
              <w:bottom w:val="single" w:sz="8" w:space="0" w:color="000000"/>
            </w:tcBorders>
            <w:textDirection w:val="tbRl"/>
          </w:tcPr>
          <w:p>
            <w:pPr>
              <w:pStyle w:val="TableParagraph"/>
              <w:spacing w:before="32"/>
              <w:ind w:left="98"/>
              <w:rPr>
                <w:b/>
                <w:sz w:val="18"/>
              </w:rPr>
            </w:pPr>
            <w:r>
              <w:rPr>
                <w:b/>
                <w:sz w:val="18"/>
              </w:rPr>
              <w:t>11.11.21 Workshop</w:t>
            </w:r>
          </w:p>
        </w:tc>
        <w:tc>
          <w:tcPr>
            <w:tcW w:w="300" w:type="dxa"/>
            <w:tcBorders>
              <w:bottom w:val="single" w:sz="8" w:space="0" w:color="000000"/>
            </w:tcBorders>
            <w:textDirection w:val="tbRl"/>
          </w:tcPr>
          <w:p>
            <w:pPr>
              <w:pStyle w:val="TableParagraph"/>
              <w:spacing w:before="32"/>
              <w:ind w:left="98"/>
              <w:rPr>
                <w:b/>
                <w:sz w:val="18"/>
              </w:rPr>
            </w:pPr>
            <w:r>
              <w:rPr>
                <w:b/>
                <w:sz w:val="18"/>
              </w:rPr>
              <w:t>14.10.21</w:t>
            </w:r>
          </w:p>
        </w:tc>
        <w:tc>
          <w:tcPr>
            <w:tcW w:w="300" w:type="dxa"/>
            <w:tcBorders>
              <w:bottom w:val="single" w:sz="8" w:space="0" w:color="000000"/>
            </w:tcBorders>
            <w:textDirection w:val="tbRl"/>
          </w:tcPr>
          <w:p>
            <w:pPr>
              <w:pStyle w:val="TableParagraph"/>
              <w:spacing w:before="32"/>
              <w:ind w:left="98"/>
              <w:rPr>
                <w:b/>
                <w:sz w:val="18"/>
              </w:rPr>
            </w:pPr>
            <w:r>
              <w:rPr>
                <w:b/>
                <w:sz w:val="18"/>
              </w:rPr>
              <w:t>09.09.21 Workshop</w:t>
            </w:r>
          </w:p>
        </w:tc>
        <w:tc>
          <w:tcPr>
            <w:tcW w:w="300" w:type="dxa"/>
            <w:tcBorders>
              <w:bottom w:val="single" w:sz="8" w:space="0" w:color="000000"/>
            </w:tcBorders>
            <w:textDirection w:val="tbRl"/>
          </w:tcPr>
          <w:p>
            <w:pPr>
              <w:pStyle w:val="TableParagraph"/>
              <w:spacing w:before="32"/>
              <w:ind w:left="98"/>
              <w:rPr>
                <w:b/>
                <w:sz w:val="18"/>
              </w:rPr>
            </w:pPr>
            <w:r>
              <w:rPr>
                <w:b/>
                <w:sz w:val="18"/>
              </w:rPr>
              <w:t>12.08.21</w:t>
            </w:r>
          </w:p>
        </w:tc>
        <w:tc>
          <w:tcPr>
            <w:tcW w:w="326" w:type="dxa"/>
            <w:tcBorders>
              <w:bottom w:val="single" w:sz="8" w:space="0" w:color="000000"/>
            </w:tcBorders>
            <w:textDirection w:val="tbRl"/>
          </w:tcPr>
          <w:p>
            <w:pPr>
              <w:pStyle w:val="TableParagraph"/>
              <w:spacing w:before="84"/>
              <w:ind w:left="98"/>
              <w:rPr>
                <w:b/>
                <w:sz w:val="18"/>
              </w:rPr>
            </w:pPr>
            <w:r>
              <w:rPr>
                <w:b/>
                <w:sz w:val="18"/>
              </w:rPr>
              <w:t>08.07.21 Workshop</w:t>
            </w:r>
          </w:p>
        </w:tc>
        <w:tc>
          <w:tcPr>
            <w:tcW w:w="324" w:type="dxa"/>
            <w:tcBorders>
              <w:bottom w:val="single" w:sz="8" w:space="0" w:color="000000"/>
            </w:tcBorders>
            <w:textDirection w:val="tbRl"/>
          </w:tcPr>
          <w:p>
            <w:pPr>
              <w:pStyle w:val="TableParagraph"/>
              <w:spacing w:before="82"/>
              <w:ind w:left="98"/>
              <w:rPr>
                <w:b/>
                <w:sz w:val="18"/>
              </w:rPr>
            </w:pPr>
            <w:r>
              <w:rPr>
                <w:b/>
                <w:sz w:val="18"/>
              </w:rPr>
              <w:t>10.06.21</w:t>
            </w:r>
          </w:p>
        </w:tc>
        <w:tc>
          <w:tcPr>
            <w:tcW w:w="300" w:type="dxa"/>
            <w:tcBorders>
              <w:bottom w:val="single" w:sz="8" w:space="0" w:color="000000"/>
            </w:tcBorders>
            <w:textDirection w:val="tbRl"/>
          </w:tcPr>
          <w:p>
            <w:pPr>
              <w:pStyle w:val="TableParagraph"/>
              <w:spacing w:before="31"/>
              <w:ind w:left="98"/>
              <w:rPr>
                <w:b/>
                <w:sz w:val="18"/>
              </w:rPr>
            </w:pPr>
            <w:r>
              <w:rPr>
                <w:b/>
                <w:sz w:val="18"/>
              </w:rPr>
              <w:t>13.05.21 Workshop</w:t>
            </w:r>
          </w:p>
        </w:tc>
        <w:tc>
          <w:tcPr>
            <w:tcW w:w="300" w:type="dxa"/>
            <w:tcBorders>
              <w:bottom w:val="single" w:sz="8" w:space="0" w:color="000000"/>
            </w:tcBorders>
            <w:textDirection w:val="tbRl"/>
          </w:tcPr>
          <w:p>
            <w:pPr>
              <w:pStyle w:val="TableParagraph"/>
              <w:spacing w:before="31"/>
              <w:ind w:left="98"/>
              <w:rPr>
                <w:b/>
                <w:sz w:val="18"/>
              </w:rPr>
            </w:pPr>
            <w:r>
              <w:rPr>
                <w:b/>
                <w:sz w:val="18"/>
              </w:rPr>
              <w:t>08.04.21</w:t>
            </w:r>
          </w:p>
        </w:tc>
        <w:tc>
          <w:tcPr>
            <w:tcW w:w="2525" w:type="dxa"/>
            <w:tcBorders>
              <w:top w:val="single" w:sz="8" w:space="0" w:color="000000"/>
              <w:bottom w:val="single" w:sz="8" w:space="0" w:color="000000"/>
              <w:right w:val="single" w:sz="8" w:space="0" w:color="000000"/>
            </w:tcBorders>
            <w:shd w:val="clear" w:color="auto" w:fill="C5DFB4"/>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2"/>
              <w:ind w:left="32" w:right="10"/>
              <w:jc w:val="center"/>
              <w:rPr>
                <w:b/>
                <w:sz w:val="18"/>
              </w:rPr>
            </w:pPr>
            <w:r>
              <w:rPr>
                <w:b/>
                <w:sz w:val="18"/>
              </w:rPr>
              <w:t>Date of meetings</w:t>
            </w:r>
          </w:p>
        </w:tc>
      </w:tr>
      <w:tr>
        <w:trPr>
          <w:trHeight w:val="639" w:hRule="atLeast"/>
        </w:trPr>
        <w:tc>
          <w:tcPr>
            <w:tcW w:w="264" w:type="dxa"/>
            <w:textDirection w:val="tbRl"/>
          </w:tcPr>
          <w:p>
            <w:pPr>
              <w:pStyle w:val="TableParagraph"/>
              <w:spacing w:before="32"/>
              <w:jc w:val="center"/>
              <w:rPr>
                <w:rFonts w:ascii="Wingdings" w:hAnsi="Wingdings"/>
                <w:sz w:val="18"/>
              </w:rPr>
            </w:pPr>
            <w:r>
              <w:rPr>
                <w:rFonts w:ascii="Wingdings" w:hAnsi="Wingdings"/>
                <w:sz w:val="18"/>
              </w:rPr>
              <w:t></w:t>
            </w:r>
          </w:p>
        </w:tc>
        <w:tc>
          <w:tcPr>
            <w:tcW w:w="470" w:type="dxa"/>
            <w:vMerge w:val="restart"/>
            <w:textDirection w:val="tbRl"/>
          </w:tcPr>
          <w:p>
            <w:pPr>
              <w:pStyle w:val="TableParagraph"/>
              <w:spacing w:before="2"/>
              <w:rPr>
                <w:b/>
                <w:sz w:val="20"/>
              </w:rPr>
            </w:pPr>
          </w:p>
          <w:p>
            <w:pPr>
              <w:pStyle w:val="TableParagraph"/>
              <w:ind w:right="26"/>
              <w:jc w:val="center"/>
              <w:rPr>
                <w:rFonts w:ascii="Times New Roman" w:hAnsi="Times New Roman"/>
                <w:b/>
                <w:sz w:val="18"/>
              </w:rPr>
            </w:pPr>
            <w:r>
              <w:rPr>
                <w:rFonts w:ascii="Times New Roman" w:hAnsi="Times New Roman"/>
                <w:b/>
                <w:sz w:val="18"/>
              </w:rPr>
              <w:t></w:t>
            </w:r>
          </w:p>
        </w:tc>
        <w:tc>
          <w:tcPr>
            <w:tcW w:w="300" w:type="dxa"/>
            <w:tcBorders>
              <w:top w:val="single" w:sz="8" w:space="0" w:color="000000"/>
              <w:bottom w:val="single" w:sz="8" w:space="0" w:color="000000"/>
            </w:tcBorders>
            <w:textDirection w:val="tbRl"/>
          </w:tcPr>
          <w:p>
            <w:pPr>
              <w:pStyle w:val="TableParagraph"/>
              <w:spacing w:before="65"/>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jc w:val="center"/>
              <w:rPr>
                <w:rFonts w:ascii="Wingdings" w:hAnsi="Wingdings"/>
                <w:sz w:val="18"/>
              </w:rPr>
            </w:pPr>
            <w:r>
              <w:rPr>
                <w:rFonts w:ascii="Wingdings" w:hAnsi="Wingdings"/>
                <w:sz w:val="18"/>
              </w:rPr>
              <w:t></w:t>
            </w:r>
          </w:p>
        </w:tc>
        <w:tc>
          <w:tcPr>
            <w:tcW w:w="326" w:type="dxa"/>
            <w:tcBorders>
              <w:top w:val="single" w:sz="8" w:space="0" w:color="000000"/>
              <w:bottom w:val="single" w:sz="8" w:space="0" w:color="000000"/>
            </w:tcBorders>
            <w:textDirection w:val="tbRl"/>
          </w:tcPr>
          <w:p>
            <w:pPr>
              <w:pStyle w:val="TableParagraph"/>
              <w:spacing w:before="91"/>
              <w:jc w:val="center"/>
              <w:rPr>
                <w:rFonts w:ascii="Wingdings" w:hAnsi="Wingdings"/>
                <w:sz w:val="18"/>
              </w:rPr>
            </w:pPr>
            <w:r>
              <w:rPr>
                <w:rFonts w:ascii="Wingdings" w:hAnsi="Wingdings"/>
                <w:sz w:val="18"/>
              </w:rPr>
              <w:t></w:t>
            </w:r>
          </w:p>
        </w:tc>
        <w:tc>
          <w:tcPr>
            <w:tcW w:w="324" w:type="dxa"/>
            <w:tcBorders>
              <w:top w:val="single" w:sz="8" w:space="0" w:color="000000"/>
              <w:bottom w:val="single" w:sz="8" w:space="0" w:color="000000"/>
            </w:tcBorders>
            <w:textDirection w:val="tbRl"/>
          </w:tcPr>
          <w:p>
            <w:pPr>
              <w:pStyle w:val="TableParagraph"/>
              <w:spacing w:before="91"/>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7"/>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7"/>
              <w:jc w:val="center"/>
              <w:rPr>
                <w:rFonts w:ascii="Wingdings" w:hAnsi="Wingdings"/>
                <w:sz w:val="18"/>
              </w:rPr>
            </w:pPr>
            <w:r>
              <w:rPr>
                <w:rFonts w:ascii="Wingdings" w:hAnsi="Wingdings"/>
                <w:sz w:val="18"/>
              </w:rPr>
              <w:t></w:t>
            </w:r>
          </w:p>
        </w:tc>
        <w:tc>
          <w:tcPr>
            <w:tcW w:w="2525" w:type="dxa"/>
            <w:tcBorders>
              <w:top w:val="single" w:sz="8" w:space="0" w:color="000000"/>
              <w:bottom w:val="single" w:sz="8" w:space="0" w:color="000000"/>
              <w:right w:val="single" w:sz="8" w:space="0" w:color="000000"/>
            </w:tcBorders>
            <w:shd w:val="clear" w:color="auto" w:fill="C5DFB4"/>
          </w:tcPr>
          <w:p>
            <w:pPr>
              <w:pStyle w:val="TableParagraph"/>
              <w:spacing w:before="7"/>
              <w:rPr>
                <w:b/>
                <w:sz w:val="28"/>
              </w:rPr>
            </w:pPr>
          </w:p>
          <w:p>
            <w:pPr>
              <w:pStyle w:val="TableParagraph"/>
              <w:spacing w:before="1"/>
              <w:ind w:left="28" w:right="10"/>
              <w:jc w:val="center"/>
              <w:rPr>
                <w:b/>
                <w:sz w:val="18"/>
              </w:rPr>
            </w:pPr>
            <w:r>
              <w:rPr>
                <w:b/>
                <w:sz w:val="18"/>
              </w:rPr>
              <w:t>Dr Faisel Baig - Chair</w:t>
            </w:r>
          </w:p>
        </w:tc>
      </w:tr>
      <w:tr>
        <w:trPr>
          <w:trHeight w:val="596" w:hRule="atLeast"/>
        </w:trPr>
        <w:tc>
          <w:tcPr>
            <w:tcW w:w="264" w:type="dxa"/>
            <w:textDirection w:val="tbRl"/>
          </w:tcPr>
          <w:p>
            <w:pPr>
              <w:pStyle w:val="TableParagraph"/>
              <w:spacing w:before="32"/>
              <w:jc w:val="center"/>
              <w:rPr>
                <w:rFonts w:ascii="Wingdings" w:hAnsi="Wingdings"/>
                <w:sz w:val="18"/>
              </w:rPr>
            </w:pPr>
            <w:r>
              <w:rPr>
                <w:rFonts w:ascii="Wingdings" w:hAnsi="Wingdings"/>
                <w:sz w:val="18"/>
              </w:rPr>
              <w:t></w:t>
            </w:r>
          </w:p>
        </w:tc>
        <w:tc>
          <w:tcPr>
            <w:tcW w:w="470" w:type="dxa"/>
            <w:vMerge/>
            <w:tcBorders>
              <w:top w:val="nil"/>
            </w:tcBorders>
            <w:textDirection w:val="tbRl"/>
          </w:tcPr>
          <w:p>
            <w:pPr>
              <w:rPr>
                <w:sz w:val="2"/>
                <w:szCs w:val="2"/>
              </w:rPr>
            </w:pPr>
          </w:p>
        </w:tc>
        <w:tc>
          <w:tcPr>
            <w:tcW w:w="300" w:type="dxa"/>
            <w:tcBorders>
              <w:top w:val="single" w:sz="8" w:space="0" w:color="000000"/>
              <w:bottom w:val="single" w:sz="8" w:space="0" w:color="000000"/>
            </w:tcBorders>
            <w:textDirection w:val="tbRl"/>
          </w:tcPr>
          <w:p>
            <w:pPr>
              <w:pStyle w:val="TableParagraph"/>
              <w:spacing w:before="32"/>
              <w:ind w:left="1"/>
              <w:jc w:val="center"/>
              <w:rPr>
                <w:b/>
                <w:sz w:val="18"/>
              </w:rPr>
            </w:pPr>
            <w:r>
              <w:rPr>
                <w:b/>
                <w:sz w:val="18"/>
              </w:rPr>
              <w:t>x</w:t>
            </w:r>
          </w:p>
        </w:tc>
        <w:tc>
          <w:tcPr>
            <w:tcW w:w="300" w:type="dxa"/>
            <w:tcBorders>
              <w:top w:val="single" w:sz="8" w:space="0" w:color="000000"/>
              <w:bottom w:val="single" w:sz="8" w:space="0" w:color="000000"/>
            </w:tcBorders>
            <w:textDirection w:val="tbRl"/>
          </w:tcPr>
          <w:p>
            <w:pPr>
              <w:pStyle w:val="TableParagraph"/>
              <w:spacing w:before="32"/>
              <w:ind w:left="1"/>
              <w:jc w:val="center"/>
              <w:rPr>
                <w:b/>
                <w:sz w:val="18"/>
              </w:rPr>
            </w:pPr>
            <w:r>
              <w:rPr>
                <w:b/>
                <w:sz w:val="18"/>
              </w:rPr>
              <w:t>x</w:t>
            </w:r>
          </w:p>
        </w:tc>
        <w:tc>
          <w:tcPr>
            <w:tcW w:w="300" w:type="dxa"/>
            <w:tcBorders>
              <w:top w:val="single" w:sz="8" w:space="0" w:color="000000"/>
              <w:bottom w:val="single" w:sz="8" w:space="0" w:color="000000"/>
            </w:tcBorders>
            <w:textDirection w:val="tbRl"/>
          </w:tcPr>
          <w:p>
            <w:pPr>
              <w:pStyle w:val="TableParagraph"/>
              <w:spacing w:before="32"/>
              <w:ind w:left="1"/>
              <w:jc w:val="center"/>
              <w:rPr>
                <w:b/>
                <w:sz w:val="18"/>
              </w:rPr>
            </w:pPr>
            <w:r>
              <w:rPr>
                <w:b/>
                <w:sz w:val="18"/>
              </w:rPr>
              <w:t>x</w:t>
            </w:r>
          </w:p>
        </w:tc>
        <w:tc>
          <w:tcPr>
            <w:tcW w:w="300" w:type="dxa"/>
            <w:tcBorders>
              <w:top w:val="single" w:sz="8" w:space="0" w:color="000000"/>
              <w:bottom w:val="single" w:sz="8" w:space="0" w:color="000000"/>
            </w:tcBorders>
            <w:textDirection w:val="tbRl"/>
          </w:tcPr>
          <w:p>
            <w:pPr>
              <w:pStyle w:val="TableParagraph"/>
              <w:spacing w:before="32"/>
              <w:ind w:left="1"/>
              <w:jc w:val="center"/>
              <w:rPr>
                <w:b/>
                <w:sz w:val="18"/>
              </w:rPr>
            </w:pPr>
            <w:r>
              <w:rPr>
                <w:b/>
                <w:sz w:val="18"/>
              </w:rPr>
              <w:t>x</w:t>
            </w:r>
          </w:p>
        </w:tc>
        <w:tc>
          <w:tcPr>
            <w:tcW w:w="300" w:type="dxa"/>
            <w:tcBorders>
              <w:top w:val="single" w:sz="8" w:space="0" w:color="000000"/>
              <w:bottom w:val="single" w:sz="8" w:space="0" w:color="000000"/>
            </w:tcBorders>
            <w:textDirection w:val="tbRl"/>
          </w:tcPr>
          <w:p>
            <w:pPr>
              <w:pStyle w:val="TableParagraph"/>
              <w:spacing w:before="65"/>
              <w:jc w:val="center"/>
              <w:rPr>
                <w:rFonts w:ascii="Wingdings" w:hAnsi="Wingdings"/>
                <w:sz w:val="18"/>
              </w:rPr>
            </w:pPr>
            <w:r>
              <w:rPr>
                <w:rFonts w:ascii="Wingdings" w:hAnsi="Wingdings"/>
                <w:sz w:val="18"/>
              </w:rPr>
              <w:t></w:t>
            </w:r>
          </w:p>
        </w:tc>
        <w:tc>
          <w:tcPr>
            <w:tcW w:w="326" w:type="dxa"/>
            <w:tcBorders>
              <w:top w:val="single" w:sz="8" w:space="0" w:color="000000"/>
              <w:bottom w:val="single" w:sz="8" w:space="0" w:color="000000"/>
            </w:tcBorders>
            <w:textDirection w:val="tbRl"/>
          </w:tcPr>
          <w:p>
            <w:pPr>
              <w:pStyle w:val="TableParagraph"/>
              <w:spacing w:before="46"/>
              <w:ind w:left="1"/>
              <w:jc w:val="center"/>
              <w:rPr>
                <w:b/>
                <w:sz w:val="18"/>
              </w:rPr>
            </w:pPr>
            <w:r>
              <w:rPr>
                <w:b/>
                <w:sz w:val="18"/>
              </w:rPr>
              <w:t>x</w:t>
            </w:r>
          </w:p>
        </w:tc>
        <w:tc>
          <w:tcPr>
            <w:tcW w:w="324" w:type="dxa"/>
            <w:tcBorders>
              <w:top w:val="single" w:sz="8" w:space="0" w:color="000000"/>
              <w:bottom w:val="single" w:sz="8" w:space="0" w:color="000000"/>
            </w:tcBorders>
            <w:textDirection w:val="tbRl"/>
          </w:tcPr>
          <w:p>
            <w:pPr>
              <w:pStyle w:val="TableParagraph"/>
              <w:spacing w:before="46"/>
              <w:ind w:left="1"/>
              <w:jc w:val="center"/>
              <w:rPr>
                <w:b/>
                <w:sz w:val="18"/>
              </w:rPr>
            </w:pPr>
            <w:r>
              <w:rPr>
                <w:b/>
                <w:sz w:val="18"/>
              </w:rPr>
              <w:t>x</w:t>
            </w:r>
          </w:p>
        </w:tc>
        <w:tc>
          <w:tcPr>
            <w:tcW w:w="300" w:type="dxa"/>
            <w:tcBorders>
              <w:top w:val="single" w:sz="8" w:space="0" w:color="000000"/>
              <w:bottom w:val="single" w:sz="8" w:space="0" w:color="000000"/>
            </w:tcBorders>
            <w:textDirection w:val="tbRl"/>
          </w:tcPr>
          <w:p>
            <w:pPr>
              <w:pStyle w:val="TableParagraph"/>
              <w:spacing w:before="31"/>
              <w:ind w:left="1"/>
              <w:jc w:val="center"/>
              <w:rPr>
                <w:b/>
                <w:sz w:val="18"/>
              </w:rPr>
            </w:pPr>
            <w:r>
              <w:rPr>
                <w:b/>
                <w:sz w:val="18"/>
              </w:rPr>
              <w:t>x</w:t>
            </w:r>
          </w:p>
        </w:tc>
        <w:tc>
          <w:tcPr>
            <w:tcW w:w="300" w:type="dxa"/>
            <w:tcBorders>
              <w:top w:val="single" w:sz="8" w:space="0" w:color="000000"/>
              <w:bottom w:val="single" w:sz="8" w:space="0" w:color="000000"/>
            </w:tcBorders>
            <w:textDirection w:val="tbRl"/>
          </w:tcPr>
          <w:p>
            <w:pPr>
              <w:pStyle w:val="TableParagraph"/>
              <w:spacing w:before="67"/>
              <w:jc w:val="center"/>
              <w:rPr>
                <w:rFonts w:ascii="Wingdings" w:hAnsi="Wingdings"/>
                <w:sz w:val="18"/>
              </w:rPr>
            </w:pPr>
            <w:r>
              <w:rPr>
                <w:rFonts w:ascii="Wingdings" w:hAnsi="Wingdings"/>
                <w:sz w:val="18"/>
              </w:rPr>
              <w:t></w:t>
            </w:r>
          </w:p>
        </w:tc>
        <w:tc>
          <w:tcPr>
            <w:tcW w:w="2525" w:type="dxa"/>
            <w:tcBorders>
              <w:top w:val="single" w:sz="8" w:space="0" w:color="000000"/>
              <w:bottom w:val="single" w:sz="8" w:space="0" w:color="000000"/>
              <w:right w:val="single" w:sz="8" w:space="0" w:color="000000"/>
            </w:tcBorders>
            <w:shd w:val="clear" w:color="auto" w:fill="C5DFB4"/>
          </w:tcPr>
          <w:p>
            <w:pPr>
              <w:pStyle w:val="TableParagraph"/>
              <w:spacing w:before="4"/>
              <w:rPr>
                <w:b/>
                <w:sz w:val="25"/>
              </w:rPr>
            </w:pPr>
          </w:p>
          <w:p>
            <w:pPr>
              <w:pStyle w:val="TableParagraph"/>
              <w:ind w:left="43" w:right="10"/>
              <w:jc w:val="center"/>
              <w:rPr>
                <w:b/>
                <w:sz w:val="18"/>
              </w:rPr>
            </w:pPr>
            <w:r>
              <w:rPr>
                <w:b/>
                <w:sz w:val="18"/>
              </w:rPr>
              <w:t>Emma Latimer Chief Officer</w:t>
            </w:r>
          </w:p>
        </w:tc>
      </w:tr>
      <w:tr>
        <w:trPr>
          <w:trHeight w:val="620" w:hRule="atLeast"/>
        </w:trPr>
        <w:tc>
          <w:tcPr>
            <w:tcW w:w="264" w:type="dxa"/>
            <w:textDirection w:val="tbRl"/>
          </w:tcPr>
          <w:p>
            <w:pPr>
              <w:pStyle w:val="TableParagraph"/>
              <w:spacing w:before="32"/>
              <w:ind w:left="4"/>
              <w:jc w:val="center"/>
              <w:rPr>
                <w:rFonts w:ascii="Wingdings" w:hAnsi="Wingdings"/>
                <w:sz w:val="18"/>
              </w:rPr>
            </w:pPr>
            <w:r>
              <w:rPr>
                <w:rFonts w:ascii="Wingdings" w:hAnsi="Wingdings"/>
                <w:sz w:val="18"/>
              </w:rPr>
              <w:t></w:t>
            </w:r>
          </w:p>
        </w:tc>
        <w:tc>
          <w:tcPr>
            <w:tcW w:w="470" w:type="dxa"/>
            <w:vMerge/>
            <w:tcBorders>
              <w:top w:val="nil"/>
            </w:tcBorders>
            <w:textDirection w:val="tbRl"/>
          </w:tcPr>
          <w:p>
            <w:pPr>
              <w:rPr>
                <w:sz w:val="2"/>
                <w:szCs w:val="2"/>
              </w:rPr>
            </w:pPr>
          </w:p>
        </w:tc>
        <w:tc>
          <w:tcPr>
            <w:tcW w:w="300" w:type="dxa"/>
            <w:tcBorders>
              <w:top w:val="single" w:sz="8" w:space="0" w:color="000000"/>
              <w:bottom w:val="single" w:sz="8" w:space="0" w:color="000000"/>
            </w:tcBorders>
            <w:textDirection w:val="tbRl"/>
          </w:tcPr>
          <w:p>
            <w:pPr>
              <w:pStyle w:val="TableParagraph"/>
              <w:spacing w:before="65"/>
              <w:ind w:left="4"/>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ind w:left="4"/>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ind w:left="4"/>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ind w:left="4"/>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ind w:left="4"/>
              <w:jc w:val="center"/>
              <w:rPr>
                <w:rFonts w:ascii="Wingdings" w:hAnsi="Wingdings"/>
                <w:sz w:val="18"/>
              </w:rPr>
            </w:pPr>
            <w:r>
              <w:rPr>
                <w:rFonts w:ascii="Wingdings" w:hAnsi="Wingdings"/>
                <w:sz w:val="18"/>
              </w:rPr>
              <w:t></w:t>
            </w:r>
          </w:p>
        </w:tc>
        <w:tc>
          <w:tcPr>
            <w:tcW w:w="326" w:type="dxa"/>
            <w:tcBorders>
              <w:top w:val="single" w:sz="8" w:space="0" w:color="000000"/>
              <w:bottom w:val="single" w:sz="8" w:space="0" w:color="000000"/>
            </w:tcBorders>
            <w:textDirection w:val="tbRl"/>
          </w:tcPr>
          <w:p>
            <w:pPr>
              <w:pStyle w:val="TableParagraph"/>
              <w:spacing w:before="91"/>
              <w:ind w:left="4"/>
              <w:jc w:val="center"/>
              <w:rPr>
                <w:rFonts w:ascii="Wingdings" w:hAnsi="Wingdings"/>
                <w:sz w:val="18"/>
              </w:rPr>
            </w:pPr>
            <w:r>
              <w:rPr>
                <w:rFonts w:ascii="Wingdings" w:hAnsi="Wingdings"/>
                <w:sz w:val="18"/>
              </w:rPr>
              <w:t></w:t>
            </w:r>
          </w:p>
        </w:tc>
        <w:tc>
          <w:tcPr>
            <w:tcW w:w="324" w:type="dxa"/>
            <w:tcBorders>
              <w:top w:val="single" w:sz="8" w:space="0" w:color="000000"/>
              <w:bottom w:val="single" w:sz="8" w:space="0" w:color="000000"/>
            </w:tcBorders>
            <w:textDirection w:val="tbRl"/>
          </w:tcPr>
          <w:p>
            <w:pPr>
              <w:pStyle w:val="TableParagraph"/>
              <w:spacing w:before="91"/>
              <w:ind w:left="4"/>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7"/>
              <w:ind w:left="4"/>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7"/>
              <w:ind w:left="4"/>
              <w:jc w:val="center"/>
              <w:rPr>
                <w:rFonts w:ascii="Wingdings" w:hAnsi="Wingdings"/>
                <w:sz w:val="18"/>
              </w:rPr>
            </w:pPr>
            <w:r>
              <w:rPr>
                <w:rFonts w:ascii="Wingdings" w:hAnsi="Wingdings"/>
                <w:sz w:val="18"/>
              </w:rPr>
              <w:t></w:t>
            </w:r>
          </w:p>
        </w:tc>
        <w:tc>
          <w:tcPr>
            <w:tcW w:w="2525" w:type="dxa"/>
            <w:tcBorders>
              <w:top w:val="single" w:sz="8" w:space="0" w:color="000000"/>
              <w:bottom w:val="single" w:sz="8" w:space="0" w:color="000000"/>
              <w:right w:val="single" w:sz="8" w:space="0" w:color="000000"/>
            </w:tcBorders>
            <w:shd w:val="clear" w:color="auto" w:fill="C5DFB4"/>
          </w:tcPr>
          <w:p>
            <w:pPr>
              <w:pStyle w:val="TableParagraph"/>
              <w:spacing w:line="244" w:lineRule="auto" w:before="104"/>
              <w:ind w:left="975" w:right="76" w:hanging="862"/>
              <w:rPr>
                <w:b/>
                <w:sz w:val="18"/>
              </w:rPr>
            </w:pPr>
            <w:r>
              <w:rPr>
                <w:b/>
                <w:sz w:val="18"/>
              </w:rPr>
              <w:t>Alex Seale Chief Operating Officer</w:t>
            </w:r>
          </w:p>
        </w:tc>
      </w:tr>
      <w:tr>
        <w:trPr>
          <w:trHeight w:val="659" w:hRule="atLeast"/>
        </w:trPr>
        <w:tc>
          <w:tcPr>
            <w:tcW w:w="264" w:type="dxa"/>
            <w:textDirection w:val="tbRl"/>
          </w:tcPr>
          <w:p>
            <w:pPr>
              <w:pStyle w:val="TableParagraph"/>
              <w:spacing w:before="32"/>
              <w:jc w:val="center"/>
              <w:rPr>
                <w:rFonts w:ascii="Wingdings" w:hAnsi="Wingdings"/>
                <w:sz w:val="18"/>
              </w:rPr>
            </w:pPr>
            <w:r>
              <w:rPr>
                <w:rFonts w:ascii="Wingdings" w:hAnsi="Wingdings"/>
                <w:sz w:val="18"/>
              </w:rPr>
              <w:t></w:t>
            </w:r>
          </w:p>
        </w:tc>
        <w:tc>
          <w:tcPr>
            <w:tcW w:w="470" w:type="dxa"/>
            <w:vMerge/>
            <w:tcBorders>
              <w:top w:val="nil"/>
            </w:tcBorders>
            <w:textDirection w:val="tbRl"/>
          </w:tcPr>
          <w:p>
            <w:pPr>
              <w:rPr>
                <w:sz w:val="2"/>
                <w:szCs w:val="2"/>
              </w:rPr>
            </w:pPr>
          </w:p>
        </w:tc>
        <w:tc>
          <w:tcPr>
            <w:tcW w:w="300" w:type="dxa"/>
            <w:tcBorders>
              <w:top w:val="single" w:sz="8" w:space="0" w:color="000000"/>
            </w:tcBorders>
            <w:textDirection w:val="tbRl"/>
          </w:tcPr>
          <w:p>
            <w:pPr>
              <w:pStyle w:val="TableParagraph"/>
              <w:spacing w:before="65"/>
              <w:jc w:val="center"/>
              <w:rPr>
                <w:rFonts w:ascii="Wingdings" w:hAnsi="Wingdings"/>
                <w:sz w:val="18"/>
              </w:rPr>
            </w:pPr>
            <w:r>
              <w:rPr>
                <w:rFonts w:ascii="Wingdings" w:hAnsi="Wingdings"/>
                <w:sz w:val="18"/>
              </w:rPr>
              <w:t></w:t>
            </w:r>
          </w:p>
        </w:tc>
        <w:tc>
          <w:tcPr>
            <w:tcW w:w="300" w:type="dxa"/>
            <w:tcBorders>
              <w:top w:val="single" w:sz="8" w:space="0" w:color="000000"/>
            </w:tcBorders>
            <w:textDirection w:val="tbRl"/>
          </w:tcPr>
          <w:p>
            <w:pPr>
              <w:pStyle w:val="TableParagraph"/>
              <w:spacing w:before="32"/>
              <w:jc w:val="center"/>
              <w:rPr>
                <w:b/>
                <w:sz w:val="18"/>
              </w:rPr>
            </w:pPr>
            <w:r>
              <w:rPr>
                <w:b/>
                <w:sz w:val="18"/>
              </w:rPr>
              <w:t>x</w:t>
            </w:r>
          </w:p>
        </w:tc>
        <w:tc>
          <w:tcPr>
            <w:tcW w:w="300" w:type="dxa"/>
            <w:tcBorders>
              <w:top w:val="single" w:sz="8" w:space="0" w:color="000000"/>
            </w:tcBorders>
            <w:textDirection w:val="tbRl"/>
          </w:tcPr>
          <w:p>
            <w:pPr>
              <w:pStyle w:val="TableParagraph"/>
              <w:spacing w:before="65"/>
              <w:jc w:val="center"/>
              <w:rPr>
                <w:rFonts w:ascii="Wingdings" w:hAnsi="Wingdings"/>
                <w:sz w:val="18"/>
              </w:rPr>
            </w:pPr>
            <w:r>
              <w:rPr>
                <w:rFonts w:ascii="Wingdings" w:hAnsi="Wingdings"/>
                <w:sz w:val="18"/>
              </w:rPr>
              <w:t></w:t>
            </w:r>
          </w:p>
        </w:tc>
        <w:tc>
          <w:tcPr>
            <w:tcW w:w="300" w:type="dxa"/>
            <w:tcBorders>
              <w:top w:val="single" w:sz="8" w:space="0" w:color="000000"/>
            </w:tcBorders>
            <w:textDirection w:val="tbRl"/>
          </w:tcPr>
          <w:p>
            <w:pPr>
              <w:pStyle w:val="TableParagraph"/>
              <w:spacing w:before="32"/>
              <w:jc w:val="center"/>
              <w:rPr>
                <w:b/>
                <w:sz w:val="18"/>
              </w:rPr>
            </w:pPr>
            <w:r>
              <w:rPr>
                <w:b/>
                <w:sz w:val="18"/>
              </w:rPr>
              <w:t>x</w:t>
            </w:r>
          </w:p>
        </w:tc>
        <w:tc>
          <w:tcPr>
            <w:tcW w:w="300" w:type="dxa"/>
            <w:tcBorders>
              <w:top w:val="single" w:sz="8" w:space="0" w:color="000000"/>
            </w:tcBorders>
            <w:textDirection w:val="tbRl"/>
          </w:tcPr>
          <w:p>
            <w:pPr>
              <w:pStyle w:val="TableParagraph"/>
              <w:spacing w:before="65"/>
              <w:jc w:val="center"/>
              <w:rPr>
                <w:rFonts w:ascii="Wingdings" w:hAnsi="Wingdings"/>
                <w:sz w:val="18"/>
              </w:rPr>
            </w:pPr>
            <w:r>
              <w:rPr>
                <w:rFonts w:ascii="Wingdings" w:hAnsi="Wingdings"/>
                <w:sz w:val="18"/>
              </w:rPr>
              <w:t></w:t>
            </w:r>
          </w:p>
        </w:tc>
        <w:tc>
          <w:tcPr>
            <w:tcW w:w="326" w:type="dxa"/>
            <w:tcBorders>
              <w:top w:val="single" w:sz="8" w:space="0" w:color="000000"/>
            </w:tcBorders>
            <w:textDirection w:val="tbRl"/>
          </w:tcPr>
          <w:p>
            <w:pPr>
              <w:pStyle w:val="TableParagraph"/>
              <w:spacing w:before="91"/>
              <w:jc w:val="center"/>
              <w:rPr>
                <w:rFonts w:ascii="Wingdings" w:hAnsi="Wingdings"/>
                <w:sz w:val="18"/>
              </w:rPr>
            </w:pPr>
            <w:r>
              <w:rPr>
                <w:rFonts w:ascii="Wingdings" w:hAnsi="Wingdings"/>
                <w:sz w:val="18"/>
              </w:rPr>
              <w:t></w:t>
            </w:r>
          </w:p>
        </w:tc>
        <w:tc>
          <w:tcPr>
            <w:tcW w:w="324" w:type="dxa"/>
            <w:tcBorders>
              <w:top w:val="single" w:sz="8" w:space="0" w:color="000000"/>
            </w:tcBorders>
            <w:textDirection w:val="tbRl"/>
          </w:tcPr>
          <w:p>
            <w:pPr>
              <w:pStyle w:val="TableParagraph"/>
              <w:spacing w:before="91"/>
              <w:jc w:val="center"/>
              <w:rPr>
                <w:rFonts w:ascii="Wingdings" w:hAnsi="Wingdings"/>
                <w:sz w:val="18"/>
              </w:rPr>
            </w:pPr>
            <w:r>
              <w:rPr>
                <w:rFonts w:ascii="Wingdings" w:hAnsi="Wingdings"/>
                <w:sz w:val="18"/>
              </w:rPr>
              <w:t></w:t>
            </w:r>
          </w:p>
        </w:tc>
        <w:tc>
          <w:tcPr>
            <w:tcW w:w="300" w:type="dxa"/>
            <w:tcBorders>
              <w:top w:val="single" w:sz="8" w:space="0" w:color="000000"/>
            </w:tcBorders>
            <w:textDirection w:val="tbRl"/>
          </w:tcPr>
          <w:p>
            <w:pPr>
              <w:pStyle w:val="TableParagraph"/>
              <w:spacing w:before="67"/>
              <w:jc w:val="center"/>
              <w:rPr>
                <w:rFonts w:ascii="Wingdings" w:hAnsi="Wingdings"/>
                <w:sz w:val="18"/>
              </w:rPr>
            </w:pPr>
            <w:r>
              <w:rPr>
                <w:rFonts w:ascii="Wingdings" w:hAnsi="Wingdings"/>
                <w:sz w:val="18"/>
              </w:rPr>
              <w:t></w:t>
            </w:r>
          </w:p>
        </w:tc>
        <w:tc>
          <w:tcPr>
            <w:tcW w:w="300" w:type="dxa"/>
            <w:tcBorders>
              <w:top w:val="single" w:sz="8" w:space="0" w:color="000000"/>
            </w:tcBorders>
            <w:textDirection w:val="tbRl"/>
          </w:tcPr>
          <w:p>
            <w:pPr>
              <w:pStyle w:val="TableParagraph"/>
              <w:spacing w:before="67"/>
              <w:jc w:val="center"/>
              <w:rPr>
                <w:rFonts w:ascii="Wingdings" w:hAnsi="Wingdings"/>
                <w:sz w:val="18"/>
              </w:rPr>
            </w:pPr>
            <w:r>
              <w:rPr>
                <w:rFonts w:ascii="Wingdings" w:hAnsi="Wingdings"/>
                <w:sz w:val="18"/>
              </w:rPr>
              <w:t></w:t>
            </w:r>
          </w:p>
        </w:tc>
        <w:tc>
          <w:tcPr>
            <w:tcW w:w="2525" w:type="dxa"/>
            <w:tcBorders>
              <w:top w:val="single" w:sz="8" w:space="0" w:color="000000"/>
              <w:bottom w:val="single" w:sz="8" w:space="0" w:color="000000"/>
              <w:right w:val="single" w:sz="8" w:space="0" w:color="000000"/>
            </w:tcBorders>
            <w:shd w:val="clear" w:color="auto" w:fill="C5DFB4"/>
          </w:tcPr>
          <w:p>
            <w:pPr>
              <w:pStyle w:val="TableParagraph"/>
              <w:spacing w:line="249" w:lineRule="auto" w:before="138"/>
              <w:ind w:left="975" w:right="16" w:hanging="922"/>
              <w:rPr>
                <w:b/>
                <w:sz w:val="18"/>
              </w:rPr>
            </w:pPr>
            <w:r>
              <w:rPr>
                <w:b/>
                <w:sz w:val="18"/>
              </w:rPr>
              <w:t>Emma Sayner Chief Finance Officer</w:t>
            </w:r>
          </w:p>
        </w:tc>
      </w:tr>
      <w:tr>
        <w:trPr>
          <w:trHeight w:val="721" w:hRule="atLeast"/>
        </w:trPr>
        <w:tc>
          <w:tcPr>
            <w:tcW w:w="264" w:type="dxa"/>
            <w:shd w:val="clear" w:color="auto" w:fill="BDBDBD"/>
          </w:tcPr>
          <w:p>
            <w:pPr>
              <w:pStyle w:val="TableParagraph"/>
              <w:rPr>
                <w:rFonts w:ascii="Times New Roman"/>
                <w:sz w:val="18"/>
              </w:rPr>
            </w:pPr>
          </w:p>
        </w:tc>
        <w:tc>
          <w:tcPr>
            <w:tcW w:w="470" w:type="dxa"/>
            <w:vMerge/>
            <w:tcBorders>
              <w:top w:val="nil"/>
            </w:tcBorders>
            <w:textDirection w:val="tbRl"/>
          </w:tcPr>
          <w:p>
            <w:pPr>
              <w:rPr>
                <w:sz w:val="2"/>
                <w:szCs w:val="2"/>
              </w:rPr>
            </w:pPr>
          </w:p>
        </w:tc>
        <w:tc>
          <w:tcPr>
            <w:tcW w:w="300" w:type="dxa"/>
            <w:tcBorders>
              <w:bottom w:val="single" w:sz="8" w:space="0" w:color="000000"/>
            </w:tcBorders>
            <w:shd w:val="clear" w:color="auto" w:fill="BDBDBD"/>
          </w:tcPr>
          <w:p>
            <w:pPr>
              <w:pStyle w:val="TableParagraph"/>
              <w:rPr>
                <w:rFonts w:ascii="Times New Roman"/>
                <w:sz w:val="18"/>
              </w:rPr>
            </w:pPr>
          </w:p>
        </w:tc>
        <w:tc>
          <w:tcPr>
            <w:tcW w:w="300" w:type="dxa"/>
            <w:tcBorders>
              <w:bottom w:val="single" w:sz="8" w:space="0" w:color="000000"/>
            </w:tcBorders>
            <w:shd w:val="clear" w:color="auto" w:fill="BDBDBD"/>
          </w:tcPr>
          <w:p>
            <w:pPr>
              <w:pStyle w:val="TableParagraph"/>
              <w:rPr>
                <w:rFonts w:ascii="Times New Roman"/>
                <w:sz w:val="18"/>
              </w:rPr>
            </w:pPr>
          </w:p>
        </w:tc>
        <w:tc>
          <w:tcPr>
            <w:tcW w:w="300" w:type="dxa"/>
            <w:tcBorders>
              <w:bottom w:val="single" w:sz="8" w:space="0" w:color="000000"/>
            </w:tcBorders>
            <w:shd w:val="clear" w:color="auto" w:fill="BDBDBD"/>
          </w:tcPr>
          <w:p>
            <w:pPr>
              <w:pStyle w:val="TableParagraph"/>
              <w:rPr>
                <w:rFonts w:ascii="Times New Roman"/>
                <w:sz w:val="18"/>
              </w:rPr>
            </w:pPr>
          </w:p>
        </w:tc>
        <w:tc>
          <w:tcPr>
            <w:tcW w:w="300" w:type="dxa"/>
            <w:tcBorders>
              <w:bottom w:val="single" w:sz="8" w:space="0" w:color="000000"/>
            </w:tcBorders>
            <w:shd w:val="clear" w:color="auto" w:fill="BDBDBD"/>
          </w:tcPr>
          <w:p>
            <w:pPr>
              <w:pStyle w:val="TableParagraph"/>
              <w:rPr>
                <w:rFonts w:ascii="Times New Roman"/>
                <w:sz w:val="18"/>
              </w:rPr>
            </w:pPr>
          </w:p>
        </w:tc>
        <w:tc>
          <w:tcPr>
            <w:tcW w:w="300" w:type="dxa"/>
            <w:tcBorders>
              <w:bottom w:val="single" w:sz="8" w:space="0" w:color="000000"/>
            </w:tcBorders>
            <w:shd w:val="clear" w:color="auto" w:fill="BDBDBD"/>
          </w:tcPr>
          <w:p>
            <w:pPr>
              <w:pStyle w:val="TableParagraph"/>
              <w:rPr>
                <w:rFonts w:ascii="Times New Roman"/>
                <w:sz w:val="18"/>
              </w:rPr>
            </w:pPr>
          </w:p>
        </w:tc>
        <w:tc>
          <w:tcPr>
            <w:tcW w:w="326" w:type="dxa"/>
            <w:tcBorders>
              <w:bottom w:val="single" w:sz="8" w:space="0" w:color="000000"/>
            </w:tcBorders>
            <w:textDirection w:val="tbRl"/>
          </w:tcPr>
          <w:p>
            <w:pPr>
              <w:pStyle w:val="TableParagraph"/>
              <w:spacing w:before="91"/>
              <w:ind w:right="2"/>
              <w:jc w:val="center"/>
              <w:rPr>
                <w:rFonts w:ascii="Wingdings" w:hAnsi="Wingdings"/>
                <w:sz w:val="18"/>
              </w:rPr>
            </w:pPr>
            <w:r>
              <w:rPr>
                <w:rFonts w:ascii="Wingdings" w:hAnsi="Wingdings"/>
                <w:sz w:val="18"/>
              </w:rPr>
              <w:t></w:t>
            </w:r>
          </w:p>
        </w:tc>
        <w:tc>
          <w:tcPr>
            <w:tcW w:w="324" w:type="dxa"/>
            <w:tcBorders>
              <w:bottom w:val="single" w:sz="8" w:space="0" w:color="000000"/>
            </w:tcBorders>
            <w:textDirection w:val="tbRl"/>
          </w:tcPr>
          <w:p>
            <w:pPr>
              <w:pStyle w:val="TableParagraph"/>
              <w:spacing w:before="91"/>
              <w:ind w:right="2"/>
              <w:jc w:val="center"/>
              <w:rPr>
                <w:rFonts w:ascii="Wingdings" w:hAnsi="Wingdings"/>
                <w:sz w:val="18"/>
              </w:rPr>
            </w:pPr>
            <w:r>
              <w:rPr>
                <w:rFonts w:ascii="Wingdings" w:hAnsi="Wingdings"/>
                <w:sz w:val="18"/>
              </w:rPr>
              <w:t></w:t>
            </w:r>
          </w:p>
        </w:tc>
        <w:tc>
          <w:tcPr>
            <w:tcW w:w="300" w:type="dxa"/>
            <w:tcBorders>
              <w:bottom w:val="single" w:sz="8" w:space="0" w:color="000000"/>
            </w:tcBorders>
            <w:textDirection w:val="tbRl"/>
          </w:tcPr>
          <w:p>
            <w:pPr>
              <w:pStyle w:val="TableParagraph"/>
              <w:spacing w:before="67"/>
              <w:ind w:right="2"/>
              <w:jc w:val="center"/>
              <w:rPr>
                <w:rFonts w:ascii="Wingdings" w:hAnsi="Wingdings"/>
                <w:sz w:val="18"/>
              </w:rPr>
            </w:pPr>
            <w:r>
              <w:rPr>
                <w:rFonts w:ascii="Wingdings" w:hAnsi="Wingdings"/>
                <w:sz w:val="18"/>
              </w:rPr>
              <w:t></w:t>
            </w:r>
          </w:p>
        </w:tc>
        <w:tc>
          <w:tcPr>
            <w:tcW w:w="300" w:type="dxa"/>
            <w:tcBorders>
              <w:bottom w:val="single" w:sz="8" w:space="0" w:color="000000"/>
            </w:tcBorders>
            <w:textDirection w:val="tbRl"/>
          </w:tcPr>
          <w:p>
            <w:pPr>
              <w:pStyle w:val="TableParagraph"/>
              <w:spacing w:before="67"/>
              <w:ind w:right="2"/>
              <w:jc w:val="center"/>
              <w:rPr>
                <w:rFonts w:ascii="Wingdings" w:hAnsi="Wingdings"/>
                <w:sz w:val="18"/>
              </w:rPr>
            </w:pPr>
            <w:r>
              <w:rPr>
                <w:rFonts w:ascii="Wingdings" w:hAnsi="Wingdings"/>
                <w:sz w:val="18"/>
              </w:rPr>
              <w:t></w:t>
            </w:r>
          </w:p>
        </w:tc>
        <w:tc>
          <w:tcPr>
            <w:tcW w:w="2525" w:type="dxa"/>
            <w:tcBorders>
              <w:top w:val="single" w:sz="8" w:space="0" w:color="000000"/>
              <w:bottom w:val="single" w:sz="8" w:space="0" w:color="000000"/>
              <w:right w:val="single" w:sz="8" w:space="0" w:color="000000"/>
            </w:tcBorders>
            <w:shd w:val="clear" w:color="auto" w:fill="C5DFB4"/>
          </w:tcPr>
          <w:p>
            <w:pPr>
              <w:pStyle w:val="TableParagraph"/>
              <w:spacing w:before="4"/>
              <w:rPr>
                <w:b/>
                <w:sz w:val="17"/>
              </w:rPr>
            </w:pPr>
          </w:p>
          <w:p>
            <w:pPr>
              <w:pStyle w:val="TableParagraph"/>
              <w:spacing w:line="247" w:lineRule="auto" w:before="1"/>
              <w:ind w:left="958" w:right="1" w:hanging="920"/>
              <w:rPr>
                <w:b/>
                <w:sz w:val="18"/>
              </w:rPr>
            </w:pPr>
            <w:r>
              <w:rPr>
                <w:b/>
                <w:sz w:val="18"/>
              </w:rPr>
              <w:t>Clare Linley Dir of Nursing &amp; Quality</w:t>
            </w:r>
          </w:p>
        </w:tc>
      </w:tr>
      <w:tr>
        <w:trPr>
          <w:trHeight w:val="678" w:hRule="atLeast"/>
        </w:trPr>
        <w:tc>
          <w:tcPr>
            <w:tcW w:w="264" w:type="dxa"/>
            <w:textDirection w:val="tbRl"/>
          </w:tcPr>
          <w:p>
            <w:pPr>
              <w:pStyle w:val="TableParagraph"/>
              <w:spacing w:before="32"/>
              <w:ind w:right="2"/>
              <w:jc w:val="center"/>
              <w:rPr>
                <w:rFonts w:ascii="Wingdings" w:hAnsi="Wingdings"/>
                <w:sz w:val="18"/>
              </w:rPr>
            </w:pPr>
            <w:r>
              <w:rPr>
                <w:rFonts w:ascii="Wingdings" w:hAnsi="Wingdings"/>
                <w:sz w:val="18"/>
              </w:rPr>
              <w:t></w:t>
            </w:r>
          </w:p>
        </w:tc>
        <w:tc>
          <w:tcPr>
            <w:tcW w:w="470" w:type="dxa"/>
            <w:vMerge/>
            <w:tcBorders>
              <w:top w:val="nil"/>
            </w:tcBorders>
            <w:textDirection w:val="tbRl"/>
          </w:tcPr>
          <w:p>
            <w:pPr>
              <w:rPr>
                <w:sz w:val="2"/>
                <w:szCs w:val="2"/>
              </w:rPr>
            </w:pPr>
          </w:p>
        </w:tc>
        <w:tc>
          <w:tcPr>
            <w:tcW w:w="300" w:type="dxa"/>
            <w:tcBorders>
              <w:top w:val="single" w:sz="8" w:space="0" w:color="000000"/>
              <w:bottom w:val="single" w:sz="8" w:space="0" w:color="000000"/>
            </w:tcBorders>
            <w:textDirection w:val="tbRl"/>
          </w:tcPr>
          <w:p>
            <w:pPr>
              <w:pStyle w:val="TableParagraph"/>
              <w:spacing w:before="65"/>
              <w:ind w:righ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ind w:righ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32"/>
              <w:ind w:right="1"/>
              <w:jc w:val="center"/>
              <w:rPr>
                <w:b/>
                <w:sz w:val="18"/>
              </w:rPr>
            </w:pPr>
            <w:r>
              <w:rPr>
                <w:b/>
                <w:sz w:val="18"/>
              </w:rPr>
              <w:t>x</w:t>
            </w:r>
          </w:p>
        </w:tc>
        <w:tc>
          <w:tcPr>
            <w:tcW w:w="300" w:type="dxa"/>
            <w:tcBorders>
              <w:top w:val="single" w:sz="8" w:space="0" w:color="000000"/>
              <w:bottom w:val="single" w:sz="8" w:space="0" w:color="000000"/>
            </w:tcBorders>
            <w:textDirection w:val="tbRl"/>
          </w:tcPr>
          <w:p>
            <w:pPr>
              <w:pStyle w:val="TableParagraph"/>
              <w:spacing w:before="65"/>
              <w:ind w:righ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ind w:right="2"/>
              <w:jc w:val="center"/>
              <w:rPr>
                <w:rFonts w:ascii="Wingdings" w:hAnsi="Wingdings"/>
                <w:sz w:val="18"/>
              </w:rPr>
            </w:pPr>
            <w:r>
              <w:rPr>
                <w:rFonts w:ascii="Wingdings" w:hAnsi="Wingdings"/>
                <w:sz w:val="18"/>
              </w:rPr>
              <w:t></w:t>
            </w:r>
          </w:p>
        </w:tc>
        <w:tc>
          <w:tcPr>
            <w:tcW w:w="326" w:type="dxa"/>
            <w:tcBorders>
              <w:top w:val="single" w:sz="8" w:space="0" w:color="000000"/>
              <w:bottom w:val="single" w:sz="8" w:space="0" w:color="000000"/>
            </w:tcBorders>
            <w:textDirection w:val="tbRl"/>
          </w:tcPr>
          <w:p>
            <w:pPr>
              <w:pStyle w:val="TableParagraph"/>
              <w:spacing w:before="91"/>
              <w:ind w:right="2"/>
              <w:jc w:val="center"/>
              <w:rPr>
                <w:rFonts w:ascii="Wingdings" w:hAnsi="Wingdings"/>
                <w:sz w:val="18"/>
              </w:rPr>
            </w:pPr>
            <w:r>
              <w:rPr>
                <w:rFonts w:ascii="Wingdings" w:hAnsi="Wingdings"/>
                <w:sz w:val="18"/>
              </w:rPr>
              <w:t></w:t>
            </w:r>
          </w:p>
        </w:tc>
        <w:tc>
          <w:tcPr>
            <w:tcW w:w="324" w:type="dxa"/>
            <w:tcBorders>
              <w:top w:val="single" w:sz="8" w:space="0" w:color="000000"/>
              <w:bottom w:val="single" w:sz="8" w:space="0" w:color="000000"/>
            </w:tcBorders>
            <w:textDirection w:val="tbRl"/>
          </w:tcPr>
          <w:p>
            <w:pPr>
              <w:pStyle w:val="TableParagraph"/>
              <w:spacing w:before="91"/>
              <w:ind w:righ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7"/>
              <w:ind w:righ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31"/>
              <w:ind w:right="1"/>
              <w:jc w:val="center"/>
              <w:rPr>
                <w:b/>
                <w:sz w:val="18"/>
              </w:rPr>
            </w:pPr>
            <w:r>
              <w:rPr>
                <w:b/>
                <w:sz w:val="18"/>
              </w:rPr>
              <w:t>x</w:t>
            </w:r>
          </w:p>
        </w:tc>
        <w:tc>
          <w:tcPr>
            <w:tcW w:w="2525" w:type="dxa"/>
            <w:tcBorders>
              <w:top w:val="single" w:sz="8" w:space="0" w:color="000000"/>
              <w:bottom w:val="single" w:sz="8" w:space="0" w:color="000000"/>
              <w:right w:val="single" w:sz="8" w:space="0" w:color="000000"/>
            </w:tcBorders>
            <w:shd w:val="clear" w:color="auto" w:fill="C5DFB4"/>
          </w:tcPr>
          <w:p>
            <w:pPr>
              <w:pStyle w:val="TableParagraph"/>
              <w:spacing w:line="247" w:lineRule="auto" w:before="157"/>
              <w:ind w:left="113" w:right="76" w:firstLine="204"/>
              <w:rPr>
                <w:b/>
                <w:sz w:val="18"/>
              </w:rPr>
            </w:pPr>
            <w:r>
              <w:rPr>
                <w:b/>
                <w:sz w:val="18"/>
              </w:rPr>
              <w:t>Dr Satpal Shekhawat - Associate Medical Director</w:t>
            </w:r>
          </w:p>
        </w:tc>
      </w:tr>
      <w:tr>
        <w:trPr>
          <w:trHeight w:val="618" w:hRule="atLeast"/>
        </w:trPr>
        <w:tc>
          <w:tcPr>
            <w:tcW w:w="264" w:type="dxa"/>
            <w:textDirection w:val="tbRl"/>
          </w:tcPr>
          <w:p>
            <w:pPr>
              <w:pStyle w:val="TableParagraph"/>
              <w:spacing w:before="32"/>
              <w:ind w:left="2"/>
              <w:jc w:val="center"/>
              <w:rPr>
                <w:rFonts w:ascii="Wingdings" w:hAnsi="Wingdings"/>
                <w:sz w:val="18"/>
              </w:rPr>
            </w:pPr>
            <w:r>
              <w:rPr>
                <w:rFonts w:ascii="Wingdings" w:hAnsi="Wingdings"/>
                <w:sz w:val="18"/>
              </w:rPr>
              <w:t></w:t>
            </w:r>
          </w:p>
        </w:tc>
        <w:tc>
          <w:tcPr>
            <w:tcW w:w="470" w:type="dxa"/>
            <w:vMerge/>
            <w:tcBorders>
              <w:top w:val="nil"/>
            </w:tcBorders>
            <w:textDirection w:val="tbRl"/>
          </w:tcPr>
          <w:p>
            <w:pPr>
              <w:rPr>
                <w:sz w:val="2"/>
                <w:szCs w:val="2"/>
              </w:rPr>
            </w:pPr>
          </w:p>
        </w:tc>
        <w:tc>
          <w:tcPr>
            <w:tcW w:w="300" w:type="dxa"/>
            <w:tcBorders>
              <w:top w:val="single" w:sz="8" w:space="0" w:color="000000"/>
              <w:bottom w:val="single" w:sz="8" w:space="0" w:color="000000"/>
            </w:tcBorders>
            <w:textDirection w:val="tbRl"/>
          </w:tcPr>
          <w:p>
            <w:pPr>
              <w:pStyle w:val="TableParagraph"/>
              <w:spacing w:before="65"/>
              <w:ind w:lef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32"/>
              <w:jc w:val="center"/>
              <w:rPr>
                <w:b/>
                <w:sz w:val="18"/>
              </w:rPr>
            </w:pPr>
            <w:r>
              <w:rPr>
                <w:b/>
                <w:sz w:val="18"/>
              </w:rPr>
              <w:t>x</w:t>
            </w:r>
          </w:p>
        </w:tc>
        <w:tc>
          <w:tcPr>
            <w:tcW w:w="300" w:type="dxa"/>
            <w:tcBorders>
              <w:top w:val="single" w:sz="8" w:space="0" w:color="000000"/>
              <w:bottom w:val="single" w:sz="8" w:space="0" w:color="000000"/>
            </w:tcBorders>
            <w:textDirection w:val="tbRl"/>
          </w:tcPr>
          <w:p>
            <w:pPr>
              <w:pStyle w:val="TableParagraph"/>
              <w:spacing w:before="65"/>
              <w:ind w:lef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ind w:lef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32"/>
              <w:jc w:val="center"/>
              <w:rPr>
                <w:b/>
                <w:sz w:val="18"/>
              </w:rPr>
            </w:pPr>
            <w:r>
              <w:rPr>
                <w:b/>
                <w:sz w:val="18"/>
              </w:rPr>
              <w:t>x</w:t>
            </w:r>
          </w:p>
        </w:tc>
        <w:tc>
          <w:tcPr>
            <w:tcW w:w="326" w:type="dxa"/>
            <w:tcBorders>
              <w:top w:val="single" w:sz="8" w:space="0" w:color="000000"/>
              <w:bottom w:val="single" w:sz="8" w:space="0" w:color="000000"/>
            </w:tcBorders>
            <w:textDirection w:val="tbRl"/>
          </w:tcPr>
          <w:p>
            <w:pPr>
              <w:pStyle w:val="TableParagraph"/>
              <w:spacing w:before="91"/>
              <w:ind w:left="2"/>
              <w:jc w:val="center"/>
              <w:rPr>
                <w:rFonts w:ascii="Wingdings" w:hAnsi="Wingdings"/>
                <w:sz w:val="18"/>
              </w:rPr>
            </w:pPr>
            <w:r>
              <w:rPr>
                <w:rFonts w:ascii="Wingdings" w:hAnsi="Wingdings"/>
                <w:sz w:val="18"/>
              </w:rPr>
              <w:t></w:t>
            </w:r>
          </w:p>
        </w:tc>
        <w:tc>
          <w:tcPr>
            <w:tcW w:w="324" w:type="dxa"/>
            <w:tcBorders>
              <w:top w:val="single" w:sz="8" w:space="0" w:color="000000"/>
              <w:bottom w:val="single" w:sz="8" w:space="0" w:color="000000"/>
            </w:tcBorders>
            <w:textDirection w:val="tbRl"/>
          </w:tcPr>
          <w:p>
            <w:pPr>
              <w:pStyle w:val="TableParagraph"/>
              <w:spacing w:before="91"/>
              <w:ind w:lef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7"/>
              <w:ind w:lef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7"/>
              <w:ind w:left="2"/>
              <w:jc w:val="center"/>
              <w:rPr>
                <w:rFonts w:ascii="Wingdings" w:hAnsi="Wingdings"/>
                <w:sz w:val="18"/>
              </w:rPr>
            </w:pPr>
            <w:r>
              <w:rPr>
                <w:rFonts w:ascii="Wingdings" w:hAnsi="Wingdings"/>
                <w:sz w:val="18"/>
              </w:rPr>
              <w:t></w:t>
            </w:r>
          </w:p>
        </w:tc>
        <w:tc>
          <w:tcPr>
            <w:tcW w:w="2525" w:type="dxa"/>
            <w:tcBorders>
              <w:top w:val="single" w:sz="8" w:space="0" w:color="000000"/>
              <w:bottom w:val="single" w:sz="8" w:space="0" w:color="000000"/>
              <w:right w:val="single" w:sz="8" w:space="0" w:color="000000"/>
            </w:tcBorders>
            <w:shd w:val="clear" w:color="auto" w:fill="C5DFB4"/>
          </w:tcPr>
          <w:p>
            <w:pPr>
              <w:pStyle w:val="TableParagraph"/>
              <w:spacing w:line="244" w:lineRule="auto" w:before="102"/>
              <w:ind w:left="919" w:right="332" w:hanging="552"/>
              <w:rPr>
                <w:b/>
                <w:sz w:val="18"/>
              </w:rPr>
            </w:pPr>
            <w:r>
              <w:rPr>
                <w:b/>
                <w:sz w:val="18"/>
              </w:rPr>
              <w:t>Dr Hardik Gandhi GP Member</w:t>
            </w:r>
          </w:p>
        </w:tc>
      </w:tr>
      <w:tr>
        <w:trPr>
          <w:trHeight w:val="640" w:hRule="atLeast"/>
        </w:trPr>
        <w:tc>
          <w:tcPr>
            <w:tcW w:w="264" w:type="dxa"/>
            <w:textDirection w:val="tbRl"/>
          </w:tcPr>
          <w:p>
            <w:pPr>
              <w:pStyle w:val="TableParagraph"/>
              <w:spacing w:before="32"/>
              <w:ind w:left="4"/>
              <w:jc w:val="center"/>
              <w:rPr>
                <w:rFonts w:ascii="Wingdings" w:hAnsi="Wingdings"/>
                <w:sz w:val="18"/>
              </w:rPr>
            </w:pPr>
            <w:r>
              <w:rPr>
                <w:rFonts w:ascii="Wingdings" w:hAnsi="Wingdings"/>
                <w:sz w:val="18"/>
              </w:rPr>
              <w:t></w:t>
            </w:r>
          </w:p>
        </w:tc>
        <w:tc>
          <w:tcPr>
            <w:tcW w:w="470" w:type="dxa"/>
            <w:vMerge/>
            <w:tcBorders>
              <w:top w:val="nil"/>
            </w:tcBorders>
            <w:textDirection w:val="tbRl"/>
          </w:tcPr>
          <w:p>
            <w:pPr>
              <w:rPr>
                <w:sz w:val="2"/>
                <w:szCs w:val="2"/>
              </w:rPr>
            </w:pPr>
          </w:p>
        </w:tc>
        <w:tc>
          <w:tcPr>
            <w:tcW w:w="300" w:type="dxa"/>
            <w:tcBorders>
              <w:top w:val="single" w:sz="8" w:space="0" w:color="000000"/>
              <w:bottom w:val="single" w:sz="8" w:space="0" w:color="000000"/>
            </w:tcBorders>
            <w:textDirection w:val="tbRl"/>
          </w:tcPr>
          <w:p>
            <w:pPr>
              <w:pStyle w:val="TableParagraph"/>
              <w:spacing w:before="65"/>
              <w:ind w:left="4"/>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32"/>
              <w:ind w:left="1"/>
              <w:jc w:val="center"/>
              <w:rPr>
                <w:b/>
                <w:sz w:val="18"/>
              </w:rPr>
            </w:pPr>
            <w:r>
              <w:rPr>
                <w:b/>
                <w:sz w:val="18"/>
              </w:rPr>
              <w:t>x</w:t>
            </w:r>
          </w:p>
        </w:tc>
        <w:tc>
          <w:tcPr>
            <w:tcW w:w="300" w:type="dxa"/>
            <w:tcBorders>
              <w:top w:val="single" w:sz="8" w:space="0" w:color="000000"/>
              <w:bottom w:val="single" w:sz="8" w:space="0" w:color="000000"/>
            </w:tcBorders>
            <w:textDirection w:val="tbRl"/>
          </w:tcPr>
          <w:p>
            <w:pPr>
              <w:pStyle w:val="TableParagraph"/>
              <w:spacing w:before="65"/>
              <w:ind w:left="4"/>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ind w:left="4"/>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ind w:left="4"/>
              <w:jc w:val="center"/>
              <w:rPr>
                <w:rFonts w:ascii="Wingdings" w:hAnsi="Wingdings"/>
                <w:sz w:val="18"/>
              </w:rPr>
            </w:pPr>
            <w:r>
              <w:rPr>
                <w:rFonts w:ascii="Wingdings" w:hAnsi="Wingdings"/>
                <w:sz w:val="18"/>
              </w:rPr>
              <w:t></w:t>
            </w:r>
          </w:p>
        </w:tc>
        <w:tc>
          <w:tcPr>
            <w:tcW w:w="326" w:type="dxa"/>
            <w:tcBorders>
              <w:top w:val="single" w:sz="8" w:space="0" w:color="000000"/>
              <w:bottom w:val="single" w:sz="8" w:space="0" w:color="000000"/>
            </w:tcBorders>
            <w:textDirection w:val="tbRl"/>
          </w:tcPr>
          <w:p>
            <w:pPr>
              <w:pStyle w:val="TableParagraph"/>
              <w:spacing w:before="91"/>
              <w:ind w:left="4"/>
              <w:jc w:val="center"/>
              <w:rPr>
                <w:rFonts w:ascii="Wingdings" w:hAnsi="Wingdings"/>
                <w:sz w:val="18"/>
              </w:rPr>
            </w:pPr>
            <w:r>
              <w:rPr>
                <w:rFonts w:ascii="Wingdings" w:hAnsi="Wingdings"/>
                <w:sz w:val="18"/>
              </w:rPr>
              <w:t></w:t>
            </w:r>
          </w:p>
        </w:tc>
        <w:tc>
          <w:tcPr>
            <w:tcW w:w="324" w:type="dxa"/>
            <w:tcBorders>
              <w:top w:val="single" w:sz="8" w:space="0" w:color="000000"/>
              <w:bottom w:val="single" w:sz="8" w:space="0" w:color="000000"/>
            </w:tcBorders>
            <w:textDirection w:val="tbRl"/>
          </w:tcPr>
          <w:p>
            <w:pPr>
              <w:pStyle w:val="TableParagraph"/>
              <w:spacing w:before="46"/>
              <w:ind w:left="1"/>
              <w:jc w:val="center"/>
              <w:rPr>
                <w:b/>
                <w:sz w:val="18"/>
              </w:rPr>
            </w:pPr>
            <w:r>
              <w:rPr>
                <w:b/>
                <w:sz w:val="18"/>
              </w:rPr>
              <w:t>x</w:t>
            </w:r>
          </w:p>
        </w:tc>
        <w:tc>
          <w:tcPr>
            <w:tcW w:w="300" w:type="dxa"/>
            <w:tcBorders>
              <w:top w:val="single" w:sz="8" w:space="0" w:color="000000"/>
              <w:bottom w:val="single" w:sz="8" w:space="0" w:color="000000"/>
            </w:tcBorders>
            <w:textDirection w:val="tbRl"/>
          </w:tcPr>
          <w:p>
            <w:pPr>
              <w:pStyle w:val="TableParagraph"/>
              <w:spacing w:before="67"/>
              <w:ind w:left="4"/>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7"/>
              <w:ind w:left="4"/>
              <w:jc w:val="center"/>
              <w:rPr>
                <w:rFonts w:ascii="Wingdings" w:hAnsi="Wingdings"/>
                <w:sz w:val="18"/>
              </w:rPr>
            </w:pPr>
            <w:r>
              <w:rPr>
                <w:rFonts w:ascii="Wingdings" w:hAnsi="Wingdings"/>
                <w:sz w:val="18"/>
              </w:rPr>
              <w:t></w:t>
            </w:r>
          </w:p>
        </w:tc>
        <w:tc>
          <w:tcPr>
            <w:tcW w:w="2525" w:type="dxa"/>
            <w:tcBorders>
              <w:top w:val="single" w:sz="8" w:space="0" w:color="000000"/>
              <w:bottom w:val="single" w:sz="8" w:space="0" w:color="000000"/>
              <w:right w:val="single" w:sz="8" w:space="0" w:color="000000"/>
            </w:tcBorders>
            <w:shd w:val="clear" w:color="auto" w:fill="C5DFB4"/>
          </w:tcPr>
          <w:p>
            <w:pPr>
              <w:pStyle w:val="TableParagraph"/>
              <w:spacing w:before="10"/>
              <w:rPr>
                <w:b/>
                <w:sz w:val="28"/>
              </w:rPr>
            </w:pPr>
          </w:p>
          <w:p>
            <w:pPr>
              <w:pStyle w:val="TableParagraph"/>
              <w:ind w:left="48" w:right="10"/>
              <w:jc w:val="center"/>
              <w:rPr>
                <w:b/>
                <w:sz w:val="18"/>
              </w:rPr>
            </w:pPr>
            <w:r>
              <w:rPr>
                <w:b/>
                <w:sz w:val="18"/>
              </w:rPr>
              <w:t>Dr Salim Modan GP Member</w:t>
            </w:r>
          </w:p>
        </w:tc>
      </w:tr>
      <w:tr>
        <w:trPr>
          <w:trHeight w:val="599" w:hRule="atLeast"/>
        </w:trPr>
        <w:tc>
          <w:tcPr>
            <w:tcW w:w="264" w:type="dxa"/>
            <w:textDirection w:val="tbRl"/>
          </w:tcPr>
          <w:p>
            <w:pPr>
              <w:pStyle w:val="TableParagraph"/>
              <w:spacing w:before="15"/>
              <w:ind w:left="4"/>
              <w:jc w:val="center"/>
              <w:rPr>
                <w:b/>
                <w:sz w:val="18"/>
              </w:rPr>
            </w:pPr>
            <w:r>
              <w:rPr>
                <w:b/>
                <w:sz w:val="18"/>
              </w:rPr>
              <w:t>x</w:t>
            </w:r>
          </w:p>
        </w:tc>
        <w:tc>
          <w:tcPr>
            <w:tcW w:w="470" w:type="dxa"/>
            <w:vMerge/>
            <w:tcBorders>
              <w:top w:val="nil"/>
            </w:tcBorders>
            <w:textDirection w:val="tbRl"/>
          </w:tcPr>
          <w:p>
            <w:pPr>
              <w:rPr>
                <w:sz w:val="2"/>
                <w:szCs w:val="2"/>
              </w:rPr>
            </w:pPr>
          </w:p>
        </w:tc>
        <w:tc>
          <w:tcPr>
            <w:tcW w:w="300" w:type="dxa"/>
            <w:tcBorders>
              <w:top w:val="single" w:sz="8" w:space="0" w:color="000000"/>
              <w:bottom w:val="single" w:sz="8" w:space="0" w:color="000000"/>
            </w:tcBorders>
            <w:textDirection w:val="tbRl"/>
          </w:tcPr>
          <w:p>
            <w:pPr>
              <w:pStyle w:val="TableParagraph"/>
              <w:spacing w:before="65"/>
              <w:ind w:lef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ind w:lef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ind w:lef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ind w:lef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32"/>
              <w:ind w:left="4"/>
              <w:jc w:val="center"/>
              <w:rPr>
                <w:b/>
                <w:sz w:val="18"/>
              </w:rPr>
            </w:pPr>
            <w:r>
              <w:rPr>
                <w:b/>
                <w:sz w:val="18"/>
              </w:rPr>
              <w:t>x</w:t>
            </w:r>
          </w:p>
        </w:tc>
        <w:tc>
          <w:tcPr>
            <w:tcW w:w="326" w:type="dxa"/>
            <w:tcBorders>
              <w:top w:val="single" w:sz="8" w:space="0" w:color="000000"/>
              <w:bottom w:val="single" w:sz="8" w:space="0" w:color="000000"/>
            </w:tcBorders>
            <w:textDirection w:val="tbRl"/>
          </w:tcPr>
          <w:p>
            <w:pPr>
              <w:pStyle w:val="TableParagraph"/>
              <w:spacing w:before="91"/>
              <w:ind w:left="2"/>
              <w:jc w:val="center"/>
              <w:rPr>
                <w:rFonts w:ascii="Wingdings" w:hAnsi="Wingdings"/>
                <w:sz w:val="18"/>
              </w:rPr>
            </w:pPr>
            <w:r>
              <w:rPr>
                <w:rFonts w:ascii="Wingdings" w:hAnsi="Wingdings"/>
                <w:sz w:val="18"/>
              </w:rPr>
              <w:t></w:t>
            </w:r>
          </w:p>
        </w:tc>
        <w:tc>
          <w:tcPr>
            <w:tcW w:w="324" w:type="dxa"/>
            <w:tcBorders>
              <w:top w:val="single" w:sz="8" w:space="0" w:color="000000"/>
              <w:bottom w:val="single" w:sz="8" w:space="0" w:color="000000"/>
            </w:tcBorders>
            <w:textDirection w:val="tbRl"/>
          </w:tcPr>
          <w:p>
            <w:pPr>
              <w:pStyle w:val="TableParagraph"/>
              <w:spacing w:before="91"/>
              <w:ind w:lef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7"/>
              <w:ind w:lef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31"/>
              <w:ind w:left="4"/>
              <w:jc w:val="center"/>
              <w:rPr>
                <w:b/>
                <w:sz w:val="18"/>
              </w:rPr>
            </w:pPr>
            <w:r>
              <w:rPr>
                <w:b/>
                <w:sz w:val="18"/>
              </w:rPr>
              <w:t>x</w:t>
            </w:r>
          </w:p>
        </w:tc>
        <w:tc>
          <w:tcPr>
            <w:tcW w:w="2525" w:type="dxa"/>
            <w:tcBorders>
              <w:top w:val="single" w:sz="8" w:space="0" w:color="000000"/>
              <w:bottom w:val="single" w:sz="8" w:space="0" w:color="000000"/>
              <w:right w:val="single" w:sz="8" w:space="0" w:color="000000"/>
            </w:tcBorders>
            <w:shd w:val="clear" w:color="auto" w:fill="C5DFB4"/>
          </w:tcPr>
          <w:p>
            <w:pPr>
              <w:pStyle w:val="TableParagraph"/>
              <w:spacing w:line="244" w:lineRule="auto" w:before="104"/>
              <w:ind w:left="919" w:right="257" w:hanging="627"/>
              <w:rPr>
                <w:b/>
                <w:sz w:val="18"/>
              </w:rPr>
            </w:pPr>
            <w:r>
              <w:rPr>
                <w:b/>
                <w:sz w:val="18"/>
              </w:rPr>
              <w:t>Dr Gary Armstrong GP Member</w:t>
            </w:r>
          </w:p>
        </w:tc>
      </w:tr>
      <w:tr>
        <w:trPr>
          <w:trHeight w:val="560" w:hRule="atLeast"/>
        </w:trPr>
        <w:tc>
          <w:tcPr>
            <w:tcW w:w="264" w:type="dxa"/>
            <w:textDirection w:val="tbRl"/>
          </w:tcPr>
          <w:p>
            <w:pPr>
              <w:pStyle w:val="TableParagraph"/>
              <w:spacing w:before="32"/>
              <w:ind w:left="2"/>
              <w:jc w:val="center"/>
              <w:rPr>
                <w:rFonts w:ascii="Wingdings" w:hAnsi="Wingdings"/>
                <w:sz w:val="18"/>
              </w:rPr>
            </w:pPr>
            <w:r>
              <w:rPr>
                <w:rFonts w:ascii="Wingdings" w:hAnsi="Wingdings"/>
                <w:sz w:val="18"/>
              </w:rPr>
              <w:t></w:t>
            </w:r>
          </w:p>
        </w:tc>
        <w:tc>
          <w:tcPr>
            <w:tcW w:w="470" w:type="dxa"/>
            <w:vMerge/>
            <w:tcBorders>
              <w:top w:val="nil"/>
            </w:tcBorders>
            <w:textDirection w:val="tbRl"/>
          </w:tcPr>
          <w:p>
            <w:pPr>
              <w:rPr>
                <w:sz w:val="2"/>
                <w:szCs w:val="2"/>
              </w:rPr>
            </w:pPr>
          </w:p>
        </w:tc>
        <w:tc>
          <w:tcPr>
            <w:tcW w:w="300" w:type="dxa"/>
            <w:tcBorders>
              <w:top w:val="single" w:sz="8" w:space="0" w:color="000000"/>
              <w:bottom w:val="single" w:sz="8" w:space="0" w:color="000000"/>
            </w:tcBorders>
            <w:textDirection w:val="tbRl"/>
          </w:tcPr>
          <w:p>
            <w:pPr>
              <w:pStyle w:val="TableParagraph"/>
              <w:spacing w:before="32"/>
              <w:ind w:left="4"/>
              <w:jc w:val="center"/>
              <w:rPr>
                <w:b/>
                <w:sz w:val="18"/>
              </w:rPr>
            </w:pPr>
            <w:r>
              <w:rPr>
                <w:b/>
                <w:sz w:val="18"/>
              </w:rPr>
              <w:t>x</w:t>
            </w:r>
          </w:p>
        </w:tc>
        <w:tc>
          <w:tcPr>
            <w:tcW w:w="300" w:type="dxa"/>
            <w:tcBorders>
              <w:top w:val="single" w:sz="8" w:space="0" w:color="000000"/>
              <w:bottom w:val="single" w:sz="8" w:space="0" w:color="000000"/>
            </w:tcBorders>
            <w:textDirection w:val="tbRl"/>
          </w:tcPr>
          <w:p>
            <w:pPr>
              <w:pStyle w:val="TableParagraph"/>
              <w:spacing w:before="65"/>
              <w:ind w:lef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ind w:lef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32"/>
              <w:ind w:left="4"/>
              <w:jc w:val="center"/>
              <w:rPr>
                <w:b/>
                <w:sz w:val="18"/>
              </w:rPr>
            </w:pPr>
            <w:r>
              <w:rPr>
                <w:b/>
                <w:sz w:val="18"/>
              </w:rPr>
              <w:t>x</w:t>
            </w:r>
          </w:p>
        </w:tc>
        <w:tc>
          <w:tcPr>
            <w:tcW w:w="300" w:type="dxa"/>
            <w:tcBorders>
              <w:top w:val="single" w:sz="8" w:space="0" w:color="000000"/>
              <w:bottom w:val="single" w:sz="8" w:space="0" w:color="000000"/>
            </w:tcBorders>
            <w:textDirection w:val="tbRl"/>
          </w:tcPr>
          <w:p>
            <w:pPr>
              <w:pStyle w:val="TableParagraph"/>
              <w:spacing w:before="65"/>
              <w:ind w:left="2"/>
              <w:jc w:val="center"/>
              <w:rPr>
                <w:rFonts w:ascii="Wingdings" w:hAnsi="Wingdings"/>
                <w:sz w:val="18"/>
              </w:rPr>
            </w:pPr>
            <w:r>
              <w:rPr>
                <w:rFonts w:ascii="Wingdings" w:hAnsi="Wingdings"/>
                <w:sz w:val="18"/>
              </w:rPr>
              <w:t></w:t>
            </w:r>
          </w:p>
        </w:tc>
        <w:tc>
          <w:tcPr>
            <w:tcW w:w="326" w:type="dxa"/>
            <w:tcBorders>
              <w:top w:val="single" w:sz="8" w:space="0" w:color="000000"/>
              <w:bottom w:val="single" w:sz="8" w:space="0" w:color="000000"/>
            </w:tcBorders>
            <w:textDirection w:val="tbRl"/>
          </w:tcPr>
          <w:p>
            <w:pPr>
              <w:pStyle w:val="TableParagraph"/>
              <w:spacing w:before="91"/>
              <w:ind w:left="2"/>
              <w:jc w:val="center"/>
              <w:rPr>
                <w:rFonts w:ascii="Wingdings" w:hAnsi="Wingdings"/>
                <w:sz w:val="18"/>
              </w:rPr>
            </w:pPr>
            <w:r>
              <w:rPr>
                <w:rFonts w:ascii="Wingdings" w:hAnsi="Wingdings"/>
                <w:sz w:val="18"/>
              </w:rPr>
              <w:t></w:t>
            </w:r>
          </w:p>
        </w:tc>
        <w:tc>
          <w:tcPr>
            <w:tcW w:w="324" w:type="dxa"/>
            <w:tcBorders>
              <w:top w:val="single" w:sz="8" w:space="0" w:color="000000"/>
              <w:bottom w:val="single" w:sz="8" w:space="0" w:color="000000"/>
            </w:tcBorders>
            <w:textDirection w:val="tbRl"/>
          </w:tcPr>
          <w:p>
            <w:pPr>
              <w:pStyle w:val="TableParagraph"/>
              <w:spacing w:before="91"/>
              <w:ind w:lef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7"/>
              <w:ind w:left="2"/>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7"/>
              <w:ind w:left="2"/>
              <w:jc w:val="center"/>
              <w:rPr>
                <w:rFonts w:ascii="Wingdings" w:hAnsi="Wingdings"/>
                <w:sz w:val="18"/>
              </w:rPr>
            </w:pPr>
            <w:r>
              <w:rPr>
                <w:rFonts w:ascii="Wingdings" w:hAnsi="Wingdings"/>
                <w:sz w:val="18"/>
              </w:rPr>
              <w:t></w:t>
            </w:r>
          </w:p>
        </w:tc>
        <w:tc>
          <w:tcPr>
            <w:tcW w:w="2525" w:type="dxa"/>
            <w:tcBorders>
              <w:top w:val="single" w:sz="8" w:space="0" w:color="000000"/>
              <w:bottom w:val="single" w:sz="8" w:space="0" w:color="000000"/>
              <w:right w:val="single" w:sz="8" w:space="0" w:color="000000"/>
            </w:tcBorders>
            <w:shd w:val="clear" w:color="auto" w:fill="C5DFB4"/>
          </w:tcPr>
          <w:p>
            <w:pPr>
              <w:pStyle w:val="TableParagraph"/>
              <w:rPr>
                <w:b/>
                <w:sz w:val="22"/>
              </w:rPr>
            </w:pPr>
          </w:p>
          <w:p>
            <w:pPr>
              <w:pStyle w:val="TableParagraph"/>
              <w:ind w:left="38" w:right="10"/>
              <w:jc w:val="center"/>
              <w:rPr>
                <w:b/>
                <w:sz w:val="18"/>
              </w:rPr>
            </w:pPr>
            <w:r>
              <w:rPr>
                <w:b/>
                <w:sz w:val="18"/>
              </w:rPr>
              <w:t>Dr Pratik Basu GP Member</w:t>
            </w:r>
          </w:p>
        </w:tc>
      </w:tr>
      <w:tr>
        <w:trPr>
          <w:trHeight w:val="800" w:hRule="atLeast"/>
        </w:trPr>
        <w:tc>
          <w:tcPr>
            <w:tcW w:w="264" w:type="dxa"/>
            <w:textDirection w:val="tbRl"/>
          </w:tcPr>
          <w:p>
            <w:pPr>
              <w:pStyle w:val="TableParagraph"/>
              <w:spacing w:before="32"/>
              <w:jc w:val="center"/>
              <w:rPr>
                <w:rFonts w:ascii="Wingdings" w:hAnsi="Wingdings"/>
                <w:sz w:val="18"/>
              </w:rPr>
            </w:pPr>
            <w:r>
              <w:rPr>
                <w:rFonts w:ascii="Wingdings" w:hAnsi="Wingdings"/>
                <w:sz w:val="18"/>
              </w:rPr>
              <w:t></w:t>
            </w:r>
          </w:p>
        </w:tc>
        <w:tc>
          <w:tcPr>
            <w:tcW w:w="470" w:type="dxa"/>
            <w:vMerge/>
            <w:tcBorders>
              <w:top w:val="nil"/>
            </w:tcBorders>
            <w:textDirection w:val="tbRl"/>
          </w:tcPr>
          <w:p>
            <w:pPr>
              <w:rPr>
                <w:sz w:val="2"/>
                <w:szCs w:val="2"/>
              </w:rPr>
            </w:pPr>
          </w:p>
        </w:tc>
        <w:tc>
          <w:tcPr>
            <w:tcW w:w="300" w:type="dxa"/>
            <w:tcBorders>
              <w:top w:val="single" w:sz="8" w:space="0" w:color="000000"/>
              <w:bottom w:val="single" w:sz="8" w:space="0" w:color="000000"/>
            </w:tcBorders>
            <w:textDirection w:val="tbRl"/>
          </w:tcPr>
          <w:p>
            <w:pPr>
              <w:pStyle w:val="TableParagraph"/>
              <w:spacing w:before="65"/>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5"/>
              <w:jc w:val="center"/>
              <w:rPr>
                <w:rFonts w:ascii="Wingdings" w:hAnsi="Wingdings"/>
                <w:sz w:val="18"/>
              </w:rPr>
            </w:pPr>
            <w:r>
              <w:rPr>
                <w:rFonts w:ascii="Wingdings" w:hAnsi="Wingdings"/>
                <w:sz w:val="18"/>
              </w:rPr>
              <w:t></w:t>
            </w:r>
          </w:p>
        </w:tc>
        <w:tc>
          <w:tcPr>
            <w:tcW w:w="326" w:type="dxa"/>
            <w:tcBorders>
              <w:top w:val="single" w:sz="8" w:space="0" w:color="000000"/>
              <w:bottom w:val="single" w:sz="8" w:space="0" w:color="000000"/>
            </w:tcBorders>
            <w:textDirection w:val="tbRl"/>
          </w:tcPr>
          <w:p>
            <w:pPr>
              <w:pStyle w:val="TableParagraph"/>
              <w:spacing w:before="91"/>
              <w:jc w:val="center"/>
              <w:rPr>
                <w:rFonts w:ascii="Wingdings" w:hAnsi="Wingdings"/>
                <w:sz w:val="18"/>
              </w:rPr>
            </w:pPr>
            <w:r>
              <w:rPr>
                <w:rFonts w:ascii="Wingdings" w:hAnsi="Wingdings"/>
                <w:sz w:val="18"/>
              </w:rPr>
              <w:t></w:t>
            </w:r>
          </w:p>
        </w:tc>
        <w:tc>
          <w:tcPr>
            <w:tcW w:w="324" w:type="dxa"/>
            <w:tcBorders>
              <w:top w:val="single" w:sz="8" w:space="0" w:color="000000"/>
              <w:bottom w:val="single" w:sz="8" w:space="0" w:color="000000"/>
            </w:tcBorders>
            <w:textDirection w:val="tbRl"/>
          </w:tcPr>
          <w:p>
            <w:pPr>
              <w:pStyle w:val="TableParagraph"/>
              <w:spacing w:before="91"/>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67"/>
              <w:jc w:val="center"/>
              <w:rPr>
                <w:rFonts w:ascii="Wingdings" w:hAnsi="Wingdings"/>
                <w:sz w:val="18"/>
              </w:rPr>
            </w:pPr>
            <w:r>
              <w:rPr>
                <w:rFonts w:ascii="Wingdings" w:hAnsi="Wingdings"/>
                <w:sz w:val="18"/>
              </w:rPr>
              <w:t></w:t>
            </w:r>
          </w:p>
        </w:tc>
        <w:tc>
          <w:tcPr>
            <w:tcW w:w="300" w:type="dxa"/>
            <w:tcBorders>
              <w:top w:val="single" w:sz="8" w:space="0" w:color="000000"/>
              <w:bottom w:val="single" w:sz="8" w:space="0" w:color="000000"/>
            </w:tcBorders>
            <w:textDirection w:val="tbRl"/>
          </w:tcPr>
          <w:p>
            <w:pPr>
              <w:pStyle w:val="TableParagraph"/>
              <w:spacing w:before="31"/>
              <w:ind w:right="3"/>
              <w:jc w:val="center"/>
              <w:rPr>
                <w:b/>
                <w:sz w:val="18"/>
              </w:rPr>
            </w:pPr>
            <w:r>
              <w:rPr>
                <w:b/>
                <w:sz w:val="18"/>
              </w:rPr>
              <w:t>x</w:t>
            </w:r>
          </w:p>
        </w:tc>
        <w:tc>
          <w:tcPr>
            <w:tcW w:w="2525" w:type="dxa"/>
            <w:tcBorders>
              <w:top w:val="single" w:sz="8" w:space="0" w:color="000000"/>
              <w:bottom w:val="single" w:sz="8" w:space="0" w:color="000000"/>
              <w:right w:val="single" w:sz="8" w:space="0" w:color="000000"/>
            </w:tcBorders>
            <w:shd w:val="clear" w:color="auto" w:fill="C5DFB4"/>
          </w:tcPr>
          <w:p>
            <w:pPr>
              <w:pStyle w:val="TableParagraph"/>
              <w:spacing w:before="1"/>
              <w:rPr>
                <w:b/>
                <w:sz w:val="24"/>
              </w:rPr>
            </w:pPr>
          </w:p>
          <w:p>
            <w:pPr>
              <w:pStyle w:val="TableParagraph"/>
              <w:spacing w:line="247" w:lineRule="auto"/>
              <w:ind w:left="29" w:right="-10" w:firstLine="28"/>
              <w:rPr>
                <w:b/>
                <w:sz w:val="18"/>
              </w:rPr>
            </w:pPr>
            <w:r>
              <w:rPr>
                <w:b/>
                <w:sz w:val="18"/>
              </w:rPr>
              <w:t>Janice Keilthy, Lay Member, Patient &amp; Public Involvement</w:t>
            </w:r>
          </w:p>
        </w:tc>
      </w:tr>
      <w:tr>
        <w:trPr>
          <w:trHeight w:val="764" w:hRule="atLeast"/>
        </w:trPr>
        <w:tc>
          <w:tcPr>
            <w:tcW w:w="264" w:type="dxa"/>
            <w:textDirection w:val="tbRl"/>
          </w:tcPr>
          <w:p>
            <w:pPr>
              <w:pStyle w:val="TableParagraph"/>
              <w:spacing w:before="32"/>
              <w:ind w:right="3"/>
              <w:jc w:val="center"/>
              <w:rPr>
                <w:rFonts w:ascii="Wingdings" w:hAnsi="Wingdings"/>
                <w:sz w:val="18"/>
              </w:rPr>
            </w:pPr>
            <w:r>
              <w:rPr>
                <w:rFonts w:ascii="Wingdings" w:hAnsi="Wingdings"/>
                <w:sz w:val="18"/>
              </w:rPr>
              <w:t></w:t>
            </w:r>
          </w:p>
        </w:tc>
        <w:tc>
          <w:tcPr>
            <w:tcW w:w="470" w:type="dxa"/>
            <w:vMerge/>
            <w:tcBorders>
              <w:top w:val="nil"/>
            </w:tcBorders>
            <w:textDirection w:val="tbRl"/>
          </w:tcPr>
          <w:p>
            <w:pPr>
              <w:rPr>
                <w:sz w:val="2"/>
                <w:szCs w:val="2"/>
              </w:rPr>
            </w:pPr>
          </w:p>
        </w:tc>
        <w:tc>
          <w:tcPr>
            <w:tcW w:w="300" w:type="dxa"/>
            <w:tcBorders>
              <w:top w:val="single" w:sz="8" w:space="0" w:color="000000"/>
            </w:tcBorders>
            <w:textDirection w:val="tbRl"/>
          </w:tcPr>
          <w:p>
            <w:pPr>
              <w:pStyle w:val="TableParagraph"/>
              <w:spacing w:before="65"/>
              <w:ind w:right="3"/>
              <w:jc w:val="center"/>
              <w:rPr>
                <w:rFonts w:ascii="Wingdings" w:hAnsi="Wingdings"/>
                <w:sz w:val="18"/>
              </w:rPr>
            </w:pPr>
            <w:r>
              <w:rPr>
                <w:rFonts w:ascii="Wingdings" w:hAnsi="Wingdings"/>
                <w:sz w:val="18"/>
              </w:rPr>
              <w:t></w:t>
            </w:r>
          </w:p>
        </w:tc>
        <w:tc>
          <w:tcPr>
            <w:tcW w:w="300" w:type="dxa"/>
            <w:tcBorders>
              <w:top w:val="single" w:sz="8" w:space="0" w:color="000000"/>
            </w:tcBorders>
            <w:textDirection w:val="tbRl"/>
          </w:tcPr>
          <w:p>
            <w:pPr>
              <w:pStyle w:val="TableParagraph"/>
              <w:spacing w:before="65"/>
              <w:ind w:right="3"/>
              <w:jc w:val="center"/>
              <w:rPr>
                <w:rFonts w:ascii="Wingdings" w:hAnsi="Wingdings"/>
                <w:sz w:val="18"/>
              </w:rPr>
            </w:pPr>
            <w:r>
              <w:rPr>
                <w:rFonts w:ascii="Wingdings" w:hAnsi="Wingdings"/>
                <w:sz w:val="18"/>
              </w:rPr>
              <w:t></w:t>
            </w:r>
          </w:p>
        </w:tc>
        <w:tc>
          <w:tcPr>
            <w:tcW w:w="300" w:type="dxa"/>
            <w:tcBorders>
              <w:top w:val="single" w:sz="8" w:space="0" w:color="000000"/>
            </w:tcBorders>
            <w:textDirection w:val="tbRl"/>
          </w:tcPr>
          <w:p>
            <w:pPr>
              <w:pStyle w:val="TableParagraph"/>
              <w:spacing w:before="65"/>
              <w:ind w:right="3"/>
              <w:jc w:val="center"/>
              <w:rPr>
                <w:rFonts w:ascii="Wingdings" w:hAnsi="Wingdings"/>
                <w:sz w:val="18"/>
              </w:rPr>
            </w:pPr>
            <w:r>
              <w:rPr>
                <w:rFonts w:ascii="Wingdings" w:hAnsi="Wingdings"/>
                <w:sz w:val="18"/>
              </w:rPr>
              <w:t></w:t>
            </w:r>
          </w:p>
        </w:tc>
        <w:tc>
          <w:tcPr>
            <w:tcW w:w="300" w:type="dxa"/>
            <w:tcBorders>
              <w:top w:val="single" w:sz="8" w:space="0" w:color="000000"/>
            </w:tcBorders>
            <w:textDirection w:val="tbRl"/>
          </w:tcPr>
          <w:p>
            <w:pPr>
              <w:pStyle w:val="TableParagraph"/>
              <w:spacing w:before="65"/>
              <w:ind w:right="3"/>
              <w:jc w:val="center"/>
              <w:rPr>
                <w:rFonts w:ascii="Wingdings" w:hAnsi="Wingdings"/>
                <w:sz w:val="18"/>
              </w:rPr>
            </w:pPr>
            <w:r>
              <w:rPr>
                <w:rFonts w:ascii="Wingdings" w:hAnsi="Wingdings"/>
                <w:sz w:val="18"/>
              </w:rPr>
              <w:t></w:t>
            </w:r>
          </w:p>
        </w:tc>
        <w:tc>
          <w:tcPr>
            <w:tcW w:w="300" w:type="dxa"/>
            <w:tcBorders>
              <w:top w:val="single" w:sz="8" w:space="0" w:color="000000"/>
            </w:tcBorders>
            <w:textDirection w:val="tbRl"/>
          </w:tcPr>
          <w:p>
            <w:pPr>
              <w:pStyle w:val="TableParagraph"/>
              <w:spacing w:before="65"/>
              <w:ind w:right="3"/>
              <w:jc w:val="center"/>
              <w:rPr>
                <w:rFonts w:ascii="Wingdings" w:hAnsi="Wingdings"/>
                <w:sz w:val="18"/>
              </w:rPr>
            </w:pPr>
            <w:r>
              <w:rPr>
                <w:rFonts w:ascii="Wingdings" w:hAnsi="Wingdings"/>
                <w:sz w:val="18"/>
              </w:rPr>
              <w:t></w:t>
            </w:r>
          </w:p>
        </w:tc>
        <w:tc>
          <w:tcPr>
            <w:tcW w:w="326" w:type="dxa"/>
            <w:tcBorders>
              <w:top w:val="single" w:sz="8" w:space="0" w:color="000000"/>
            </w:tcBorders>
            <w:textDirection w:val="tbRl"/>
          </w:tcPr>
          <w:p>
            <w:pPr>
              <w:pStyle w:val="TableParagraph"/>
              <w:spacing w:before="91"/>
              <w:ind w:right="3"/>
              <w:jc w:val="center"/>
              <w:rPr>
                <w:rFonts w:ascii="Wingdings" w:hAnsi="Wingdings"/>
                <w:sz w:val="18"/>
              </w:rPr>
            </w:pPr>
            <w:r>
              <w:rPr>
                <w:rFonts w:ascii="Wingdings" w:hAnsi="Wingdings"/>
                <w:sz w:val="18"/>
              </w:rPr>
              <w:t></w:t>
            </w:r>
          </w:p>
        </w:tc>
        <w:tc>
          <w:tcPr>
            <w:tcW w:w="324" w:type="dxa"/>
            <w:tcBorders>
              <w:top w:val="single" w:sz="8" w:space="0" w:color="000000"/>
            </w:tcBorders>
            <w:textDirection w:val="tbRl"/>
          </w:tcPr>
          <w:p>
            <w:pPr>
              <w:pStyle w:val="TableParagraph"/>
              <w:spacing w:before="91"/>
              <w:ind w:right="3"/>
              <w:jc w:val="center"/>
              <w:rPr>
                <w:rFonts w:ascii="Wingdings" w:hAnsi="Wingdings"/>
                <w:sz w:val="18"/>
              </w:rPr>
            </w:pPr>
            <w:r>
              <w:rPr>
                <w:rFonts w:ascii="Wingdings" w:hAnsi="Wingdings"/>
                <w:sz w:val="18"/>
              </w:rPr>
              <w:t></w:t>
            </w:r>
          </w:p>
        </w:tc>
        <w:tc>
          <w:tcPr>
            <w:tcW w:w="300" w:type="dxa"/>
            <w:tcBorders>
              <w:top w:val="single" w:sz="8" w:space="0" w:color="000000"/>
            </w:tcBorders>
            <w:textDirection w:val="tbRl"/>
          </w:tcPr>
          <w:p>
            <w:pPr>
              <w:pStyle w:val="TableParagraph"/>
              <w:spacing w:before="67"/>
              <w:ind w:right="3"/>
              <w:jc w:val="center"/>
              <w:rPr>
                <w:rFonts w:ascii="Wingdings" w:hAnsi="Wingdings"/>
                <w:sz w:val="18"/>
              </w:rPr>
            </w:pPr>
            <w:r>
              <w:rPr>
                <w:rFonts w:ascii="Wingdings" w:hAnsi="Wingdings"/>
                <w:sz w:val="18"/>
              </w:rPr>
              <w:t></w:t>
            </w:r>
          </w:p>
        </w:tc>
        <w:tc>
          <w:tcPr>
            <w:tcW w:w="300" w:type="dxa"/>
            <w:tcBorders>
              <w:top w:val="single" w:sz="8" w:space="0" w:color="000000"/>
            </w:tcBorders>
            <w:textDirection w:val="tbRl"/>
          </w:tcPr>
          <w:p>
            <w:pPr>
              <w:pStyle w:val="TableParagraph"/>
              <w:spacing w:before="67"/>
              <w:ind w:right="3"/>
              <w:jc w:val="center"/>
              <w:rPr>
                <w:rFonts w:ascii="Wingdings" w:hAnsi="Wingdings"/>
                <w:sz w:val="18"/>
              </w:rPr>
            </w:pPr>
            <w:r>
              <w:rPr>
                <w:rFonts w:ascii="Wingdings" w:hAnsi="Wingdings"/>
                <w:sz w:val="18"/>
              </w:rPr>
              <w:t></w:t>
            </w:r>
          </w:p>
        </w:tc>
        <w:tc>
          <w:tcPr>
            <w:tcW w:w="2525" w:type="dxa"/>
            <w:tcBorders>
              <w:top w:val="single" w:sz="8" w:space="0" w:color="000000"/>
              <w:right w:val="single" w:sz="8" w:space="0" w:color="000000"/>
            </w:tcBorders>
            <w:shd w:val="clear" w:color="auto" w:fill="C5DFB4"/>
          </w:tcPr>
          <w:p>
            <w:pPr>
              <w:pStyle w:val="TableParagraph"/>
              <w:spacing w:line="247" w:lineRule="auto" w:before="102"/>
              <w:ind w:left="288" w:right="265"/>
              <w:jc w:val="center"/>
              <w:rPr>
                <w:b/>
                <w:sz w:val="18"/>
              </w:rPr>
            </w:pPr>
            <w:r>
              <w:rPr>
                <w:b/>
                <w:sz w:val="18"/>
              </w:rPr>
              <w:t>Heather McSharry, Lay Member, Equality &amp; Inclusion</w:t>
            </w:r>
          </w:p>
        </w:tc>
      </w:tr>
      <w:tr>
        <w:trPr>
          <w:trHeight w:val="669" w:hRule="atLeast"/>
        </w:trPr>
        <w:tc>
          <w:tcPr>
            <w:tcW w:w="264" w:type="dxa"/>
            <w:textDirection w:val="tbRl"/>
          </w:tcPr>
          <w:p>
            <w:pPr>
              <w:pStyle w:val="TableParagraph"/>
              <w:spacing w:before="32"/>
              <w:jc w:val="center"/>
              <w:rPr>
                <w:rFonts w:ascii="Wingdings" w:hAnsi="Wingdings"/>
                <w:sz w:val="18"/>
              </w:rPr>
            </w:pPr>
            <w:r>
              <w:rPr>
                <w:rFonts w:ascii="Wingdings" w:hAnsi="Wingdings"/>
                <w:sz w:val="18"/>
              </w:rPr>
              <w:t></w:t>
            </w:r>
          </w:p>
        </w:tc>
        <w:tc>
          <w:tcPr>
            <w:tcW w:w="470" w:type="dxa"/>
            <w:vMerge/>
            <w:tcBorders>
              <w:top w:val="nil"/>
            </w:tcBorders>
            <w:textDirection w:val="tbRl"/>
          </w:tcPr>
          <w:p>
            <w:pPr>
              <w:rPr>
                <w:sz w:val="2"/>
                <w:szCs w:val="2"/>
              </w:rPr>
            </w:pPr>
          </w:p>
        </w:tc>
        <w:tc>
          <w:tcPr>
            <w:tcW w:w="300" w:type="dxa"/>
            <w:textDirection w:val="tbRl"/>
          </w:tcPr>
          <w:p>
            <w:pPr>
              <w:pStyle w:val="TableParagraph"/>
              <w:spacing w:before="65"/>
              <w:jc w:val="center"/>
              <w:rPr>
                <w:rFonts w:ascii="Wingdings" w:hAnsi="Wingdings"/>
                <w:sz w:val="18"/>
              </w:rPr>
            </w:pPr>
            <w:r>
              <w:rPr>
                <w:rFonts w:ascii="Wingdings" w:hAnsi="Wingdings"/>
                <w:sz w:val="18"/>
              </w:rPr>
              <w:t></w:t>
            </w:r>
          </w:p>
        </w:tc>
        <w:tc>
          <w:tcPr>
            <w:tcW w:w="300" w:type="dxa"/>
            <w:textDirection w:val="tbRl"/>
          </w:tcPr>
          <w:p>
            <w:pPr>
              <w:pStyle w:val="TableParagraph"/>
              <w:spacing w:before="65"/>
              <w:jc w:val="center"/>
              <w:rPr>
                <w:rFonts w:ascii="Wingdings" w:hAnsi="Wingdings"/>
                <w:sz w:val="18"/>
              </w:rPr>
            </w:pPr>
            <w:r>
              <w:rPr>
                <w:rFonts w:ascii="Wingdings" w:hAnsi="Wingdings"/>
                <w:sz w:val="18"/>
              </w:rPr>
              <w:t></w:t>
            </w:r>
          </w:p>
        </w:tc>
        <w:tc>
          <w:tcPr>
            <w:tcW w:w="300" w:type="dxa"/>
            <w:textDirection w:val="tbRl"/>
          </w:tcPr>
          <w:p>
            <w:pPr>
              <w:pStyle w:val="TableParagraph"/>
              <w:spacing w:before="65"/>
              <w:jc w:val="center"/>
              <w:rPr>
                <w:rFonts w:ascii="Wingdings" w:hAnsi="Wingdings"/>
                <w:sz w:val="18"/>
              </w:rPr>
            </w:pPr>
            <w:r>
              <w:rPr>
                <w:rFonts w:ascii="Wingdings" w:hAnsi="Wingdings"/>
                <w:sz w:val="18"/>
              </w:rPr>
              <w:t></w:t>
            </w:r>
          </w:p>
        </w:tc>
        <w:tc>
          <w:tcPr>
            <w:tcW w:w="300" w:type="dxa"/>
            <w:textDirection w:val="tbRl"/>
          </w:tcPr>
          <w:p>
            <w:pPr>
              <w:pStyle w:val="TableParagraph"/>
              <w:spacing w:before="65"/>
              <w:jc w:val="center"/>
              <w:rPr>
                <w:rFonts w:ascii="Wingdings" w:hAnsi="Wingdings"/>
                <w:sz w:val="18"/>
              </w:rPr>
            </w:pPr>
            <w:r>
              <w:rPr>
                <w:rFonts w:ascii="Wingdings" w:hAnsi="Wingdings"/>
                <w:sz w:val="18"/>
              </w:rPr>
              <w:t></w:t>
            </w:r>
          </w:p>
        </w:tc>
        <w:tc>
          <w:tcPr>
            <w:tcW w:w="300" w:type="dxa"/>
            <w:textDirection w:val="tbRl"/>
          </w:tcPr>
          <w:p>
            <w:pPr>
              <w:pStyle w:val="TableParagraph"/>
              <w:spacing w:before="65"/>
              <w:jc w:val="center"/>
              <w:rPr>
                <w:rFonts w:ascii="Wingdings" w:hAnsi="Wingdings"/>
                <w:sz w:val="18"/>
              </w:rPr>
            </w:pPr>
            <w:r>
              <w:rPr>
                <w:rFonts w:ascii="Wingdings" w:hAnsi="Wingdings"/>
                <w:sz w:val="18"/>
              </w:rPr>
              <w:t></w:t>
            </w:r>
          </w:p>
        </w:tc>
        <w:tc>
          <w:tcPr>
            <w:tcW w:w="326" w:type="dxa"/>
            <w:textDirection w:val="tbRl"/>
          </w:tcPr>
          <w:p>
            <w:pPr>
              <w:pStyle w:val="TableParagraph"/>
              <w:spacing w:before="46"/>
              <w:jc w:val="center"/>
              <w:rPr>
                <w:b/>
                <w:sz w:val="18"/>
              </w:rPr>
            </w:pPr>
            <w:r>
              <w:rPr>
                <w:b/>
                <w:sz w:val="18"/>
              </w:rPr>
              <w:t>x</w:t>
            </w:r>
          </w:p>
        </w:tc>
        <w:tc>
          <w:tcPr>
            <w:tcW w:w="324" w:type="dxa"/>
            <w:textDirection w:val="tbRl"/>
          </w:tcPr>
          <w:p>
            <w:pPr>
              <w:pStyle w:val="TableParagraph"/>
              <w:spacing w:before="91"/>
              <w:jc w:val="center"/>
              <w:rPr>
                <w:rFonts w:ascii="Wingdings" w:hAnsi="Wingdings"/>
                <w:sz w:val="18"/>
              </w:rPr>
            </w:pPr>
            <w:r>
              <w:rPr>
                <w:rFonts w:ascii="Wingdings" w:hAnsi="Wingdings"/>
                <w:sz w:val="18"/>
              </w:rPr>
              <w:t></w:t>
            </w:r>
          </w:p>
        </w:tc>
        <w:tc>
          <w:tcPr>
            <w:tcW w:w="300" w:type="dxa"/>
            <w:textDirection w:val="tbRl"/>
          </w:tcPr>
          <w:p>
            <w:pPr>
              <w:pStyle w:val="TableParagraph"/>
              <w:spacing w:before="67"/>
              <w:jc w:val="center"/>
              <w:rPr>
                <w:rFonts w:ascii="Wingdings" w:hAnsi="Wingdings"/>
                <w:sz w:val="18"/>
              </w:rPr>
            </w:pPr>
            <w:r>
              <w:rPr>
                <w:rFonts w:ascii="Wingdings" w:hAnsi="Wingdings"/>
                <w:sz w:val="18"/>
              </w:rPr>
              <w:t></w:t>
            </w:r>
          </w:p>
        </w:tc>
        <w:tc>
          <w:tcPr>
            <w:tcW w:w="300" w:type="dxa"/>
            <w:textDirection w:val="tbRl"/>
          </w:tcPr>
          <w:p>
            <w:pPr>
              <w:pStyle w:val="TableParagraph"/>
              <w:spacing w:before="67"/>
              <w:jc w:val="center"/>
              <w:rPr>
                <w:rFonts w:ascii="Wingdings" w:hAnsi="Wingdings"/>
                <w:sz w:val="18"/>
              </w:rPr>
            </w:pPr>
            <w:r>
              <w:rPr>
                <w:rFonts w:ascii="Wingdings" w:hAnsi="Wingdings"/>
                <w:sz w:val="18"/>
              </w:rPr>
              <w:t></w:t>
            </w:r>
          </w:p>
        </w:tc>
        <w:tc>
          <w:tcPr>
            <w:tcW w:w="2525" w:type="dxa"/>
            <w:shd w:val="clear" w:color="auto" w:fill="C5DFB4"/>
          </w:tcPr>
          <w:p>
            <w:pPr>
              <w:pStyle w:val="TableParagraph"/>
              <w:spacing w:line="244" w:lineRule="auto" w:before="145"/>
              <w:ind w:left="223" w:right="43" w:hanging="152"/>
              <w:rPr>
                <w:b/>
                <w:sz w:val="18"/>
              </w:rPr>
            </w:pPr>
            <w:r>
              <w:rPr>
                <w:b/>
                <w:sz w:val="18"/>
              </w:rPr>
              <w:t>Erika Stoddart, Lay Member Governance - Vice Chair</w:t>
            </w:r>
          </w:p>
        </w:tc>
      </w:tr>
      <w:tr>
        <w:trPr>
          <w:trHeight w:val="587" w:hRule="atLeast"/>
        </w:trPr>
        <w:tc>
          <w:tcPr>
            <w:tcW w:w="264" w:type="dxa"/>
            <w:textDirection w:val="tbRl"/>
          </w:tcPr>
          <w:p>
            <w:pPr>
              <w:pStyle w:val="TableParagraph"/>
              <w:spacing w:before="32"/>
              <w:jc w:val="center"/>
              <w:rPr>
                <w:rFonts w:ascii="Wingdings" w:hAnsi="Wingdings"/>
                <w:sz w:val="18"/>
              </w:rPr>
            </w:pPr>
            <w:r>
              <w:rPr>
                <w:rFonts w:ascii="Wingdings" w:hAnsi="Wingdings"/>
                <w:sz w:val="18"/>
              </w:rPr>
              <w:t></w:t>
            </w:r>
          </w:p>
        </w:tc>
        <w:tc>
          <w:tcPr>
            <w:tcW w:w="470" w:type="dxa"/>
            <w:vMerge/>
            <w:tcBorders>
              <w:top w:val="nil"/>
            </w:tcBorders>
            <w:textDirection w:val="tbRl"/>
          </w:tcPr>
          <w:p>
            <w:pPr>
              <w:rPr>
                <w:sz w:val="2"/>
                <w:szCs w:val="2"/>
              </w:rPr>
            </w:pPr>
          </w:p>
        </w:tc>
        <w:tc>
          <w:tcPr>
            <w:tcW w:w="300" w:type="dxa"/>
            <w:textDirection w:val="tbRl"/>
          </w:tcPr>
          <w:p>
            <w:pPr>
              <w:pStyle w:val="TableParagraph"/>
              <w:spacing w:before="65"/>
              <w:jc w:val="center"/>
              <w:rPr>
                <w:rFonts w:ascii="Wingdings" w:hAnsi="Wingdings"/>
                <w:sz w:val="18"/>
              </w:rPr>
            </w:pPr>
            <w:r>
              <w:rPr>
                <w:rFonts w:ascii="Wingdings" w:hAnsi="Wingdings"/>
                <w:sz w:val="18"/>
              </w:rPr>
              <w:t></w:t>
            </w:r>
          </w:p>
        </w:tc>
        <w:tc>
          <w:tcPr>
            <w:tcW w:w="300" w:type="dxa"/>
            <w:textDirection w:val="tbRl"/>
          </w:tcPr>
          <w:p>
            <w:pPr>
              <w:pStyle w:val="TableParagraph"/>
              <w:spacing w:before="65"/>
              <w:jc w:val="center"/>
              <w:rPr>
                <w:rFonts w:ascii="Wingdings" w:hAnsi="Wingdings"/>
                <w:sz w:val="18"/>
              </w:rPr>
            </w:pPr>
            <w:r>
              <w:rPr>
                <w:rFonts w:ascii="Wingdings" w:hAnsi="Wingdings"/>
                <w:sz w:val="18"/>
              </w:rPr>
              <w:t></w:t>
            </w:r>
          </w:p>
        </w:tc>
        <w:tc>
          <w:tcPr>
            <w:tcW w:w="300" w:type="dxa"/>
            <w:textDirection w:val="tbRl"/>
          </w:tcPr>
          <w:p>
            <w:pPr>
              <w:pStyle w:val="TableParagraph"/>
              <w:spacing w:before="65"/>
              <w:jc w:val="center"/>
              <w:rPr>
                <w:rFonts w:ascii="Wingdings" w:hAnsi="Wingdings"/>
                <w:sz w:val="18"/>
              </w:rPr>
            </w:pPr>
            <w:r>
              <w:rPr>
                <w:rFonts w:ascii="Wingdings" w:hAnsi="Wingdings"/>
                <w:sz w:val="18"/>
              </w:rPr>
              <w:t></w:t>
            </w:r>
          </w:p>
        </w:tc>
        <w:tc>
          <w:tcPr>
            <w:tcW w:w="300" w:type="dxa"/>
            <w:textDirection w:val="tbRl"/>
          </w:tcPr>
          <w:p>
            <w:pPr>
              <w:pStyle w:val="TableParagraph"/>
              <w:spacing w:before="65"/>
              <w:jc w:val="center"/>
              <w:rPr>
                <w:rFonts w:ascii="Wingdings" w:hAnsi="Wingdings"/>
                <w:sz w:val="18"/>
              </w:rPr>
            </w:pPr>
            <w:r>
              <w:rPr>
                <w:rFonts w:ascii="Wingdings" w:hAnsi="Wingdings"/>
                <w:sz w:val="18"/>
              </w:rPr>
              <w:t></w:t>
            </w:r>
          </w:p>
        </w:tc>
        <w:tc>
          <w:tcPr>
            <w:tcW w:w="300" w:type="dxa"/>
            <w:textDirection w:val="tbRl"/>
          </w:tcPr>
          <w:p>
            <w:pPr>
              <w:pStyle w:val="TableParagraph"/>
              <w:spacing w:before="65"/>
              <w:jc w:val="center"/>
              <w:rPr>
                <w:rFonts w:ascii="Wingdings" w:hAnsi="Wingdings"/>
                <w:sz w:val="18"/>
              </w:rPr>
            </w:pPr>
            <w:r>
              <w:rPr>
                <w:rFonts w:ascii="Wingdings" w:hAnsi="Wingdings"/>
                <w:sz w:val="18"/>
              </w:rPr>
              <w:t></w:t>
            </w:r>
          </w:p>
        </w:tc>
        <w:tc>
          <w:tcPr>
            <w:tcW w:w="326" w:type="dxa"/>
            <w:textDirection w:val="tbRl"/>
          </w:tcPr>
          <w:p>
            <w:pPr>
              <w:pStyle w:val="TableParagraph"/>
              <w:spacing w:before="91"/>
              <w:jc w:val="center"/>
              <w:rPr>
                <w:rFonts w:ascii="Wingdings" w:hAnsi="Wingdings"/>
                <w:sz w:val="18"/>
              </w:rPr>
            </w:pPr>
            <w:r>
              <w:rPr>
                <w:rFonts w:ascii="Wingdings" w:hAnsi="Wingdings"/>
                <w:sz w:val="18"/>
              </w:rPr>
              <w:t></w:t>
            </w:r>
          </w:p>
        </w:tc>
        <w:tc>
          <w:tcPr>
            <w:tcW w:w="324" w:type="dxa"/>
            <w:textDirection w:val="tbRl"/>
          </w:tcPr>
          <w:p>
            <w:pPr>
              <w:pStyle w:val="TableParagraph"/>
              <w:spacing w:before="91"/>
              <w:jc w:val="center"/>
              <w:rPr>
                <w:rFonts w:ascii="Wingdings" w:hAnsi="Wingdings"/>
                <w:sz w:val="18"/>
              </w:rPr>
            </w:pPr>
            <w:r>
              <w:rPr>
                <w:rFonts w:ascii="Wingdings" w:hAnsi="Wingdings"/>
                <w:sz w:val="18"/>
              </w:rPr>
              <w:t></w:t>
            </w:r>
          </w:p>
        </w:tc>
        <w:tc>
          <w:tcPr>
            <w:tcW w:w="300" w:type="dxa"/>
            <w:textDirection w:val="tbRl"/>
          </w:tcPr>
          <w:p>
            <w:pPr>
              <w:pStyle w:val="TableParagraph"/>
              <w:spacing w:before="67"/>
              <w:jc w:val="center"/>
              <w:rPr>
                <w:rFonts w:ascii="Wingdings" w:hAnsi="Wingdings"/>
                <w:sz w:val="18"/>
              </w:rPr>
            </w:pPr>
            <w:r>
              <w:rPr>
                <w:rFonts w:ascii="Wingdings" w:hAnsi="Wingdings"/>
                <w:sz w:val="18"/>
              </w:rPr>
              <w:t></w:t>
            </w:r>
          </w:p>
        </w:tc>
        <w:tc>
          <w:tcPr>
            <w:tcW w:w="300" w:type="dxa"/>
            <w:textDirection w:val="tbRl"/>
          </w:tcPr>
          <w:p>
            <w:pPr>
              <w:pStyle w:val="TableParagraph"/>
              <w:spacing w:before="31"/>
              <w:jc w:val="center"/>
              <w:rPr>
                <w:b/>
                <w:sz w:val="18"/>
              </w:rPr>
            </w:pPr>
            <w:r>
              <w:rPr>
                <w:b/>
                <w:sz w:val="18"/>
              </w:rPr>
              <w:t>x</w:t>
            </w:r>
          </w:p>
        </w:tc>
        <w:tc>
          <w:tcPr>
            <w:tcW w:w="2525" w:type="dxa"/>
            <w:shd w:val="clear" w:color="auto" w:fill="C5DFB4"/>
          </w:tcPr>
          <w:p>
            <w:pPr>
              <w:pStyle w:val="TableParagraph"/>
              <w:spacing w:line="244" w:lineRule="auto" w:before="107"/>
              <w:ind w:left="264" w:right="230" w:firstLine="153"/>
              <w:rPr>
                <w:b/>
                <w:sz w:val="18"/>
              </w:rPr>
            </w:pPr>
            <w:r>
              <w:rPr>
                <w:b/>
                <w:sz w:val="18"/>
              </w:rPr>
              <w:t>Dr James Woodard, Secondary Care Doctor</w:t>
            </w:r>
          </w:p>
        </w:tc>
      </w:tr>
      <w:tr>
        <w:trPr>
          <w:trHeight w:val="649" w:hRule="atLeast"/>
        </w:trPr>
        <w:tc>
          <w:tcPr>
            <w:tcW w:w="264" w:type="dxa"/>
            <w:textDirection w:val="tbRl"/>
          </w:tcPr>
          <w:p>
            <w:pPr>
              <w:pStyle w:val="TableParagraph"/>
              <w:spacing w:line="231" w:lineRule="exact"/>
              <w:jc w:val="center"/>
              <w:rPr>
                <w:sz w:val="22"/>
              </w:rPr>
            </w:pPr>
            <w:r>
              <w:rPr>
                <w:w w:val="100"/>
                <w:sz w:val="22"/>
              </w:rPr>
              <w:t>x</w:t>
            </w:r>
          </w:p>
        </w:tc>
        <w:tc>
          <w:tcPr>
            <w:tcW w:w="470" w:type="dxa"/>
            <w:vMerge/>
            <w:tcBorders>
              <w:top w:val="nil"/>
            </w:tcBorders>
            <w:textDirection w:val="tbRl"/>
          </w:tcPr>
          <w:p>
            <w:pPr>
              <w:rPr>
                <w:sz w:val="2"/>
                <w:szCs w:val="2"/>
              </w:rPr>
            </w:pPr>
          </w:p>
        </w:tc>
        <w:tc>
          <w:tcPr>
            <w:tcW w:w="300" w:type="dxa"/>
            <w:textDirection w:val="tbRl"/>
          </w:tcPr>
          <w:p>
            <w:pPr>
              <w:pStyle w:val="TableParagraph"/>
              <w:spacing w:before="11"/>
              <w:jc w:val="center"/>
              <w:rPr>
                <w:sz w:val="22"/>
              </w:rPr>
            </w:pPr>
            <w:r>
              <w:rPr>
                <w:w w:val="100"/>
                <w:sz w:val="22"/>
              </w:rPr>
              <w:t>x</w:t>
            </w:r>
          </w:p>
        </w:tc>
        <w:tc>
          <w:tcPr>
            <w:tcW w:w="300" w:type="dxa"/>
            <w:textDirection w:val="tbRl"/>
          </w:tcPr>
          <w:p>
            <w:pPr>
              <w:pStyle w:val="TableParagraph"/>
              <w:spacing w:before="11"/>
              <w:jc w:val="center"/>
              <w:rPr>
                <w:sz w:val="22"/>
              </w:rPr>
            </w:pPr>
            <w:r>
              <w:rPr>
                <w:w w:val="100"/>
                <w:sz w:val="22"/>
              </w:rPr>
              <w:t>x</w:t>
            </w:r>
          </w:p>
        </w:tc>
        <w:tc>
          <w:tcPr>
            <w:tcW w:w="300" w:type="dxa"/>
            <w:textDirection w:val="tbRl"/>
          </w:tcPr>
          <w:p>
            <w:pPr>
              <w:pStyle w:val="TableParagraph"/>
              <w:spacing w:before="11"/>
              <w:jc w:val="center"/>
              <w:rPr>
                <w:sz w:val="22"/>
              </w:rPr>
            </w:pPr>
            <w:r>
              <w:rPr>
                <w:w w:val="100"/>
                <w:sz w:val="22"/>
              </w:rPr>
              <w:t>x</w:t>
            </w:r>
          </w:p>
        </w:tc>
        <w:tc>
          <w:tcPr>
            <w:tcW w:w="300" w:type="dxa"/>
            <w:textDirection w:val="tbRl"/>
          </w:tcPr>
          <w:p>
            <w:pPr>
              <w:pStyle w:val="TableParagraph"/>
              <w:spacing w:before="11"/>
              <w:jc w:val="center"/>
              <w:rPr>
                <w:sz w:val="22"/>
              </w:rPr>
            </w:pPr>
            <w:r>
              <w:rPr>
                <w:w w:val="100"/>
                <w:sz w:val="22"/>
              </w:rPr>
              <w:t>x</w:t>
            </w:r>
          </w:p>
        </w:tc>
        <w:tc>
          <w:tcPr>
            <w:tcW w:w="300" w:type="dxa"/>
            <w:textDirection w:val="tbRl"/>
          </w:tcPr>
          <w:p>
            <w:pPr>
              <w:pStyle w:val="TableParagraph"/>
              <w:spacing w:before="11"/>
              <w:jc w:val="center"/>
              <w:rPr>
                <w:sz w:val="22"/>
              </w:rPr>
            </w:pPr>
            <w:r>
              <w:rPr>
                <w:w w:val="100"/>
                <w:sz w:val="22"/>
              </w:rPr>
              <w:t>x</w:t>
            </w:r>
          </w:p>
        </w:tc>
        <w:tc>
          <w:tcPr>
            <w:tcW w:w="326" w:type="dxa"/>
            <w:textDirection w:val="tbRl"/>
          </w:tcPr>
          <w:p>
            <w:pPr>
              <w:pStyle w:val="TableParagraph"/>
              <w:spacing w:before="23"/>
              <w:jc w:val="center"/>
              <w:rPr>
                <w:sz w:val="22"/>
              </w:rPr>
            </w:pPr>
            <w:r>
              <w:rPr>
                <w:w w:val="100"/>
                <w:sz w:val="22"/>
              </w:rPr>
              <w:t>x</w:t>
            </w:r>
          </w:p>
        </w:tc>
        <w:tc>
          <w:tcPr>
            <w:tcW w:w="324" w:type="dxa"/>
            <w:textDirection w:val="tbRl"/>
          </w:tcPr>
          <w:p>
            <w:pPr>
              <w:pStyle w:val="TableParagraph"/>
              <w:spacing w:before="23"/>
              <w:jc w:val="center"/>
              <w:rPr>
                <w:sz w:val="22"/>
              </w:rPr>
            </w:pPr>
            <w:r>
              <w:rPr>
                <w:w w:val="100"/>
                <w:sz w:val="22"/>
              </w:rPr>
              <w:t>x</w:t>
            </w:r>
          </w:p>
        </w:tc>
        <w:tc>
          <w:tcPr>
            <w:tcW w:w="300" w:type="dxa"/>
            <w:textDirection w:val="tbRl"/>
          </w:tcPr>
          <w:p>
            <w:pPr>
              <w:pStyle w:val="TableParagraph"/>
              <w:spacing w:before="11"/>
              <w:jc w:val="center"/>
              <w:rPr>
                <w:sz w:val="22"/>
              </w:rPr>
            </w:pPr>
            <w:r>
              <w:rPr>
                <w:w w:val="100"/>
                <w:sz w:val="22"/>
              </w:rPr>
              <w:t>x</w:t>
            </w:r>
          </w:p>
        </w:tc>
        <w:tc>
          <w:tcPr>
            <w:tcW w:w="300" w:type="dxa"/>
            <w:textDirection w:val="tbRl"/>
          </w:tcPr>
          <w:p>
            <w:pPr>
              <w:pStyle w:val="TableParagraph"/>
              <w:spacing w:before="11"/>
              <w:jc w:val="center"/>
              <w:rPr>
                <w:sz w:val="22"/>
              </w:rPr>
            </w:pPr>
            <w:r>
              <w:rPr>
                <w:w w:val="100"/>
                <w:sz w:val="22"/>
              </w:rPr>
              <w:t>x</w:t>
            </w:r>
          </w:p>
        </w:tc>
        <w:tc>
          <w:tcPr>
            <w:tcW w:w="2525" w:type="dxa"/>
            <w:shd w:val="clear" w:color="auto" w:fill="C5DFB4"/>
          </w:tcPr>
          <w:p>
            <w:pPr>
              <w:pStyle w:val="TableParagraph"/>
              <w:spacing w:before="3"/>
              <w:rPr>
                <w:b/>
                <w:sz w:val="29"/>
              </w:rPr>
            </w:pPr>
          </w:p>
          <w:p>
            <w:pPr>
              <w:pStyle w:val="TableParagraph"/>
              <w:spacing w:before="1"/>
              <w:ind w:left="29" w:right="5"/>
              <w:jc w:val="center"/>
              <w:rPr>
                <w:b/>
                <w:sz w:val="18"/>
              </w:rPr>
            </w:pPr>
            <w:r>
              <w:rPr>
                <w:b/>
                <w:sz w:val="18"/>
              </w:rPr>
              <w:t>Public Health representation</w:t>
            </w:r>
          </w:p>
        </w:tc>
      </w:tr>
      <w:tr>
        <w:trPr>
          <w:trHeight w:val="789" w:hRule="atLeast"/>
        </w:trPr>
        <w:tc>
          <w:tcPr>
            <w:tcW w:w="264" w:type="dxa"/>
            <w:textDirection w:val="tbRl"/>
          </w:tcPr>
          <w:p>
            <w:pPr>
              <w:pStyle w:val="TableParagraph"/>
              <w:spacing w:before="32"/>
              <w:jc w:val="center"/>
              <w:rPr>
                <w:rFonts w:ascii="Wingdings" w:hAnsi="Wingdings"/>
                <w:sz w:val="18"/>
              </w:rPr>
            </w:pPr>
            <w:r>
              <w:rPr>
                <w:rFonts w:ascii="Wingdings" w:hAnsi="Wingdings"/>
                <w:sz w:val="18"/>
              </w:rPr>
              <w:t></w:t>
            </w:r>
          </w:p>
        </w:tc>
        <w:tc>
          <w:tcPr>
            <w:tcW w:w="470" w:type="dxa"/>
            <w:vMerge/>
            <w:tcBorders>
              <w:top w:val="nil"/>
            </w:tcBorders>
            <w:textDirection w:val="tbRl"/>
          </w:tcPr>
          <w:p>
            <w:pPr>
              <w:rPr>
                <w:sz w:val="2"/>
                <w:szCs w:val="2"/>
              </w:rPr>
            </w:pPr>
          </w:p>
        </w:tc>
        <w:tc>
          <w:tcPr>
            <w:tcW w:w="300" w:type="dxa"/>
            <w:textDirection w:val="tbRl"/>
          </w:tcPr>
          <w:p>
            <w:pPr>
              <w:pStyle w:val="TableParagraph"/>
              <w:spacing w:before="65"/>
              <w:jc w:val="center"/>
              <w:rPr>
                <w:rFonts w:ascii="Wingdings" w:hAnsi="Wingdings"/>
                <w:sz w:val="18"/>
              </w:rPr>
            </w:pPr>
            <w:r>
              <w:rPr>
                <w:rFonts w:ascii="Wingdings" w:hAnsi="Wingdings"/>
                <w:sz w:val="18"/>
              </w:rPr>
              <w:t></w:t>
            </w:r>
          </w:p>
        </w:tc>
        <w:tc>
          <w:tcPr>
            <w:tcW w:w="300" w:type="dxa"/>
            <w:textDirection w:val="tbRl"/>
          </w:tcPr>
          <w:p>
            <w:pPr>
              <w:pStyle w:val="TableParagraph"/>
              <w:spacing w:before="65"/>
              <w:jc w:val="center"/>
              <w:rPr>
                <w:rFonts w:ascii="Wingdings" w:hAnsi="Wingdings"/>
                <w:sz w:val="18"/>
              </w:rPr>
            </w:pPr>
            <w:r>
              <w:rPr>
                <w:rFonts w:ascii="Wingdings" w:hAnsi="Wingdings"/>
                <w:sz w:val="18"/>
              </w:rPr>
              <w:t></w:t>
            </w:r>
          </w:p>
        </w:tc>
        <w:tc>
          <w:tcPr>
            <w:tcW w:w="300" w:type="dxa"/>
            <w:textDirection w:val="tbRl"/>
          </w:tcPr>
          <w:p>
            <w:pPr>
              <w:pStyle w:val="TableParagraph"/>
              <w:spacing w:before="65"/>
              <w:jc w:val="center"/>
              <w:rPr>
                <w:rFonts w:ascii="Wingdings" w:hAnsi="Wingdings"/>
                <w:sz w:val="18"/>
              </w:rPr>
            </w:pPr>
            <w:r>
              <w:rPr>
                <w:rFonts w:ascii="Wingdings" w:hAnsi="Wingdings"/>
                <w:sz w:val="18"/>
              </w:rPr>
              <w:t></w:t>
            </w:r>
          </w:p>
        </w:tc>
        <w:tc>
          <w:tcPr>
            <w:tcW w:w="300" w:type="dxa"/>
            <w:textDirection w:val="tbRl"/>
          </w:tcPr>
          <w:p>
            <w:pPr>
              <w:pStyle w:val="TableParagraph"/>
              <w:spacing w:before="65"/>
              <w:jc w:val="center"/>
              <w:rPr>
                <w:rFonts w:ascii="Wingdings" w:hAnsi="Wingdings"/>
                <w:sz w:val="18"/>
              </w:rPr>
            </w:pPr>
            <w:r>
              <w:rPr>
                <w:rFonts w:ascii="Wingdings" w:hAnsi="Wingdings"/>
                <w:sz w:val="18"/>
              </w:rPr>
              <w:t></w:t>
            </w:r>
          </w:p>
        </w:tc>
        <w:tc>
          <w:tcPr>
            <w:tcW w:w="300" w:type="dxa"/>
            <w:textDirection w:val="tbRl"/>
          </w:tcPr>
          <w:p>
            <w:pPr>
              <w:pStyle w:val="TableParagraph"/>
              <w:spacing w:before="65"/>
              <w:jc w:val="center"/>
              <w:rPr>
                <w:rFonts w:ascii="Wingdings" w:hAnsi="Wingdings"/>
                <w:sz w:val="18"/>
              </w:rPr>
            </w:pPr>
            <w:r>
              <w:rPr>
                <w:rFonts w:ascii="Wingdings" w:hAnsi="Wingdings"/>
                <w:sz w:val="18"/>
              </w:rPr>
              <w:t></w:t>
            </w:r>
          </w:p>
        </w:tc>
        <w:tc>
          <w:tcPr>
            <w:tcW w:w="326" w:type="dxa"/>
            <w:textDirection w:val="tbRl"/>
          </w:tcPr>
          <w:p>
            <w:pPr>
              <w:pStyle w:val="TableParagraph"/>
              <w:spacing w:before="91"/>
              <w:jc w:val="center"/>
              <w:rPr>
                <w:rFonts w:ascii="Wingdings" w:hAnsi="Wingdings"/>
                <w:sz w:val="18"/>
              </w:rPr>
            </w:pPr>
            <w:r>
              <w:rPr>
                <w:rFonts w:ascii="Wingdings" w:hAnsi="Wingdings"/>
                <w:sz w:val="18"/>
              </w:rPr>
              <w:t></w:t>
            </w:r>
          </w:p>
        </w:tc>
        <w:tc>
          <w:tcPr>
            <w:tcW w:w="324" w:type="dxa"/>
            <w:shd w:val="clear" w:color="auto" w:fill="BDBDBD"/>
          </w:tcPr>
          <w:p>
            <w:pPr>
              <w:pStyle w:val="TableParagraph"/>
              <w:rPr>
                <w:rFonts w:ascii="Times New Roman"/>
                <w:sz w:val="18"/>
              </w:rPr>
            </w:pPr>
          </w:p>
        </w:tc>
        <w:tc>
          <w:tcPr>
            <w:tcW w:w="300" w:type="dxa"/>
            <w:shd w:val="clear" w:color="auto" w:fill="BDBDBD"/>
          </w:tcPr>
          <w:p>
            <w:pPr>
              <w:pStyle w:val="TableParagraph"/>
              <w:rPr>
                <w:rFonts w:ascii="Times New Roman"/>
                <w:sz w:val="18"/>
              </w:rPr>
            </w:pPr>
          </w:p>
        </w:tc>
        <w:tc>
          <w:tcPr>
            <w:tcW w:w="300" w:type="dxa"/>
            <w:shd w:val="clear" w:color="auto" w:fill="BDBDBD"/>
          </w:tcPr>
          <w:p>
            <w:pPr>
              <w:pStyle w:val="TableParagraph"/>
              <w:rPr>
                <w:rFonts w:ascii="Times New Roman"/>
                <w:sz w:val="18"/>
              </w:rPr>
            </w:pPr>
          </w:p>
        </w:tc>
        <w:tc>
          <w:tcPr>
            <w:tcW w:w="2525" w:type="dxa"/>
            <w:shd w:val="clear" w:color="auto" w:fill="C5DFB4"/>
          </w:tcPr>
          <w:p>
            <w:pPr>
              <w:pStyle w:val="TableParagraph"/>
              <w:rPr>
                <w:b/>
                <w:sz w:val="23"/>
              </w:rPr>
            </w:pPr>
          </w:p>
          <w:p>
            <w:pPr>
              <w:pStyle w:val="TableParagraph"/>
              <w:spacing w:line="247" w:lineRule="auto" w:before="1"/>
              <w:ind w:left="300" w:right="27" w:hanging="243"/>
              <w:rPr>
                <w:b/>
                <w:sz w:val="18"/>
              </w:rPr>
            </w:pPr>
            <w:r>
              <w:rPr>
                <w:b/>
                <w:sz w:val="18"/>
              </w:rPr>
              <w:t>Helen Davis Interim Director of Nursing and Quality</w:t>
            </w:r>
          </w:p>
        </w:tc>
      </w:tr>
    </w:tbl>
    <w:p>
      <w:pPr>
        <w:rPr>
          <w:sz w:val="2"/>
          <w:szCs w:val="2"/>
        </w:rPr>
      </w:pPr>
      <w:r>
        <w:rPr/>
        <w:pict>
          <v:shape style="position:absolute;margin-left:508.100464pt;margin-top:53.959976pt;width:14.35pt;height:238.15pt;mso-position-horizontal-relative:page;mso-position-vertical-relative:page;z-index:251667456" type="#_x0000_t202" filled="false" stroked="false">
            <v:textbox inset="0,0,0,0" style="layout-flow:vertical">
              <w:txbxContent>
                <w:p>
                  <w:pPr>
                    <w:spacing w:before="13"/>
                    <w:ind w:left="20" w:right="0" w:firstLine="0"/>
                    <w:jc w:val="left"/>
                    <w:rPr>
                      <w:b/>
                      <w:sz w:val="22"/>
                    </w:rPr>
                  </w:pPr>
                  <w:r>
                    <w:rPr>
                      <w:b/>
                      <w:sz w:val="22"/>
                      <w:u w:val="thick"/>
                    </w:rPr>
                    <w:t>NL CCG Governing Body - 01.04.21 - 31.03.22</w:t>
                  </w:r>
                </w:p>
              </w:txbxContent>
            </v:textbox>
            <w10:wrap type="none"/>
          </v:shape>
        </w:pict>
      </w:r>
      <w:r>
        <w:rPr/>
        <w:pict>
          <v:shape style="position:absolute;margin-left:20.852774pt;margin-top:392.599976pt;width:12.1pt;height:35.6pt;mso-position-horizontal-relative:page;mso-position-vertical-relative:page;z-index:251668480" type="#_x0000_t202" filled="false" stroked="false">
            <v:textbox inset="0,0,0,0" style="layout-flow:vertical">
              <w:txbxContent>
                <w:p>
                  <w:pPr>
                    <w:spacing w:before="14"/>
                    <w:ind w:left="20" w:right="0" w:firstLine="0"/>
                    <w:jc w:val="left"/>
                    <w:rPr>
                      <w:sz w:val="18"/>
                    </w:rPr>
                  </w:pPr>
                  <w:r>
                    <w:rPr>
                      <w:sz w:val="18"/>
                    </w:rPr>
                    <w:t>Page 82</w:t>
                  </w:r>
                </w:p>
              </w:txbxContent>
            </v:textbox>
            <w10:wrap type="none"/>
          </v:shape>
        </w:pict>
      </w:r>
    </w:p>
    <w:p>
      <w:pPr>
        <w:spacing w:after="0"/>
        <w:rPr>
          <w:sz w:val="2"/>
          <w:szCs w:val="2"/>
        </w:rPr>
        <w:sectPr>
          <w:footerReference w:type="default" r:id="rId31"/>
          <w:pgSz w:w="11920" w:h="16850"/>
          <w:pgMar w:footer="0" w:header="0" w:top="960" w:bottom="280" w:left="760" w:right="420"/>
        </w:sectPr>
      </w:pPr>
    </w:p>
    <w:tbl>
      <w:tblPr>
        <w:tblW w:w="0" w:type="auto"/>
        <w:jc w:val="left"/>
        <w:tblInd w:w="4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
        <w:gridCol w:w="300"/>
        <w:gridCol w:w="300"/>
        <w:gridCol w:w="300"/>
        <w:gridCol w:w="300"/>
        <w:gridCol w:w="300"/>
        <w:gridCol w:w="3089"/>
      </w:tblGrid>
      <w:tr>
        <w:trPr>
          <w:trHeight w:val="906" w:hRule="atLeast"/>
        </w:trPr>
        <w:tc>
          <w:tcPr>
            <w:tcW w:w="300" w:type="dxa"/>
            <w:textDirection w:val="tbRl"/>
          </w:tcPr>
          <w:p>
            <w:pPr>
              <w:pStyle w:val="TableParagraph"/>
              <w:spacing w:before="59"/>
              <w:ind w:left="103"/>
              <w:rPr>
                <w:b/>
                <w:sz w:val="18"/>
              </w:rPr>
            </w:pPr>
            <w:r>
              <w:rPr>
                <w:b/>
                <w:sz w:val="18"/>
              </w:rPr>
              <w:t>24.03.22</w:t>
            </w:r>
          </w:p>
        </w:tc>
        <w:tc>
          <w:tcPr>
            <w:tcW w:w="300" w:type="dxa"/>
            <w:textDirection w:val="tbRl"/>
          </w:tcPr>
          <w:p>
            <w:pPr>
              <w:pStyle w:val="TableParagraph"/>
              <w:spacing w:before="59"/>
              <w:ind w:left="103"/>
              <w:rPr>
                <w:b/>
                <w:sz w:val="18"/>
              </w:rPr>
            </w:pPr>
            <w:r>
              <w:rPr>
                <w:b/>
                <w:sz w:val="18"/>
              </w:rPr>
              <w:t>23.12.21</w:t>
            </w:r>
          </w:p>
        </w:tc>
        <w:tc>
          <w:tcPr>
            <w:tcW w:w="300" w:type="dxa"/>
            <w:textDirection w:val="tbRl"/>
          </w:tcPr>
          <w:p>
            <w:pPr>
              <w:pStyle w:val="TableParagraph"/>
              <w:spacing w:before="59"/>
              <w:ind w:left="103"/>
              <w:rPr>
                <w:b/>
                <w:sz w:val="18"/>
              </w:rPr>
            </w:pPr>
            <w:r>
              <w:rPr>
                <w:b/>
                <w:sz w:val="18"/>
              </w:rPr>
              <w:t>28.10.21</w:t>
            </w:r>
          </w:p>
        </w:tc>
        <w:tc>
          <w:tcPr>
            <w:tcW w:w="300" w:type="dxa"/>
            <w:textDirection w:val="tbRl"/>
          </w:tcPr>
          <w:p>
            <w:pPr>
              <w:pStyle w:val="TableParagraph"/>
              <w:spacing w:before="59"/>
              <w:ind w:left="103"/>
              <w:rPr>
                <w:b/>
                <w:sz w:val="18"/>
              </w:rPr>
            </w:pPr>
            <w:r>
              <w:rPr>
                <w:b/>
                <w:sz w:val="18"/>
              </w:rPr>
              <w:t>26.08.21</w:t>
            </w:r>
          </w:p>
        </w:tc>
        <w:tc>
          <w:tcPr>
            <w:tcW w:w="300" w:type="dxa"/>
            <w:textDirection w:val="tbRl"/>
          </w:tcPr>
          <w:p>
            <w:pPr>
              <w:pStyle w:val="TableParagraph"/>
              <w:spacing w:before="59"/>
              <w:ind w:left="103"/>
              <w:rPr>
                <w:b/>
                <w:sz w:val="18"/>
              </w:rPr>
            </w:pPr>
            <w:r>
              <w:rPr>
                <w:b/>
                <w:sz w:val="18"/>
              </w:rPr>
              <w:t>24.06.21</w:t>
            </w:r>
          </w:p>
        </w:tc>
        <w:tc>
          <w:tcPr>
            <w:tcW w:w="300" w:type="dxa"/>
            <w:textDirection w:val="tbRl"/>
          </w:tcPr>
          <w:p>
            <w:pPr>
              <w:pStyle w:val="TableParagraph"/>
              <w:spacing w:before="59"/>
              <w:ind w:left="103"/>
              <w:rPr>
                <w:b/>
                <w:sz w:val="18"/>
              </w:rPr>
            </w:pPr>
            <w:r>
              <w:rPr>
                <w:b/>
                <w:sz w:val="18"/>
              </w:rPr>
              <w:t>22.04.21</w:t>
            </w:r>
          </w:p>
        </w:tc>
        <w:tc>
          <w:tcPr>
            <w:tcW w:w="3089" w:type="dxa"/>
            <w:shd w:val="clear" w:color="auto" w:fill="C5DFB4"/>
          </w:tcPr>
          <w:p>
            <w:pPr>
              <w:pStyle w:val="TableParagraph"/>
              <w:rPr>
                <w:b/>
                <w:sz w:val="20"/>
              </w:rPr>
            </w:pPr>
          </w:p>
          <w:p>
            <w:pPr>
              <w:pStyle w:val="TableParagraph"/>
              <w:rPr>
                <w:b/>
                <w:sz w:val="20"/>
              </w:rPr>
            </w:pPr>
          </w:p>
          <w:p>
            <w:pPr>
              <w:pStyle w:val="TableParagraph"/>
              <w:spacing w:before="134"/>
              <w:ind w:left="60" w:right="47"/>
              <w:jc w:val="center"/>
              <w:rPr>
                <w:b/>
                <w:sz w:val="18"/>
              </w:rPr>
            </w:pPr>
            <w:r>
              <w:rPr>
                <w:b/>
                <w:sz w:val="18"/>
              </w:rPr>
              <w:t>Date of meetings</w:t>
            </w:r>
          </w:p>
        </w:tc>
      </w:tr>
      <w:tr>
        <w:trPr>
          <w:trHeight w:val="549" w:hRule="atLeast"/>
        </w:trPr>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vMerge w:val="restart"/>
            <w:textDirection w:val="tbRl"/>
          </w:tcPr>
          <w:p>
            <w:pPr>
              <w:pStyle w:val="TableParagraph"/>
              <w:spacing w:before="59"/>
              <w:ind w:left="5196" w:right="5194"/>
              <w:jc w:val="center"/>
              <w:rPr>
                <w:b/>
                <w:sz w:val="18"/>
              </w:rPr>
            </w:pPr>
            <w:r>
              <w:rPr>
                <w:b/>
                <w:sz w:val="18"/>
              </w:rPr>
              <w:t>Meeting Cancelled</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89" w:type="dxa"/>
            <w:shd w:val="clear" w:color="auto" w:fill="C5DFB4"/>
          </w:tcPr>
          <w:p>
            <w:pPr>
              <w:pStyle w:val="TableParagraph"/>
              <w:spacing w:before="107"/>
              <w:ind w:left="230" w:right="-21" w:hanging="221"/>
              <w:rPr>
                <w:b/>
                <w:sz w:val="18"/>
              </w:rPr>
            </w:pPr>
            <w:r>
              <w:rPr>
                <w:b/>
                <w:sz w:val="18"/>
              </w:rPr>
              <w:t>Janice Keilthy - Lay Member Patient and Public Involvement</w:t>
            </w:r>
            <w:r>
              <w:rPr>
                <w:b/>
                <w:spacing w:val="-9"/>
                <w:sz w:val="18"/>
              </w:rPr>
              <w:t> </w:t>
            </w:r>
            <w:r>
              <w:rPr>
                <w:b/>
                <w:sz w:val="18"/>
              </w:rPr>
              <w:t>CHAIR</w:t>
            </w:r>
          </w:p>
        </w:tc>
      </w:tr>
      <w:tr>
        <w:trPr>
          <w:trHeight w:val="522" w:hRule="atLeast"/>
        </w:trPr>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59"/>
              <w:jc w:val="center"/>
              <w:rPr>
                <w:b/>
                <w:sz w:val="18"/>
              </w:rPr>
            </w:pPr>
            <w:r>
              <w:rPr>
                <w:b/>
                <w:sz w:val="18"/>
              </w:rPr>
              <w:t>x</w:t>
            </w:r>
          </w:p>
        </w:tc>
        <w:tc>
          <w:tcPr>
            <w:tcW w:w="300" w:type="dxa"/>
            <w:vMerge/>
            <w:tcBorders>
              <w:top w:val="nil"/>
            </w:tcBorders>
            <w:textDirection w:val="tbRl"/>
          </w:tcPr>
          <w:p>
            <w:pPr>
              <w:rPr>
                <w:sz w:val="2"/>
                <w:szCs w:val="2"/>
              </w:rPr>
            </w:pP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89" w:type="dxa"/>
            <w:shd w:val="clear" w:color="auto" w:fill="C5DFB4"/>
          </w:tcPr>
          <w:p>
            <w:pPr>
              <w:pStyle w:val="TableParagraph"/>
              <w:spacing w:line="210" w:lineRule="atLeast" w:before="104"/>
              <w:ind w:left="138" w:right="110" w:firstLine="84"/>
              <w:rPr>
                <w:b/>
                <w:sz w:val="18"/>
              </w:rPr>
            </w:pPr>
            <w:r>
              <w:rPr>
                <w:b/>
                <w:sz w:val="18"/>
              </w:rPr>
              <w:t>Heather McSharry Lay Member Equality &amp; Inclusion VICE CHAIR</w:t>
            </w:r>
          </w:p>
        </w:tc>
      </w:tr>
      <w:tr>
        <w:trPr>
          <w:trHeight w:val="536" w:hRule="atLeast"/>
        </w:trPr>
        <w:tc>
          <w:tcPr>
            <w:tcW w:w="300" w:type="dxa"/>
            <w:textDirection w:val="tbRl"/>
          </w:tcPr>
          <w:p>
            <w:pPr>
              <w:pStyle w:val="TableParagraph"/>
              <w:spacing w:before="68"/>
              <w:ind w:right="30"/>
              <w:jc w:val="center"/>
              <w:rPr>
                <w:rFonts w:ascii="Wingdings" w:hAnsi="Wingdings"/>
                <w:sz w:val="18"/>
              </w:rPr>
            </w:pPr>
            <w:r>
              <w:rPr>
                <w:rFonts w:ascii="Wingdings" w:hAnsi="Wingdings"/>
                <w:sz w:val="18"/>
              </w:rPr>
              <w:t></w:t>
            </w:r>
          </w:p>
        </w:tc>
        <w:tc>
          <w:tcPr>
            <w:tcW w:w="300" w:type="dxa"/>
            <w:textDirection w:val="tbRl"/>
          </w:tcPr>
          <w:p>
            <w:pPr>
              <w:pStyle w:val="TableParagraph"/>
              <w:spacing w:before="59"/>
              <w:ind w:right="28"/>
              <w:jc w:val="center"/>
              <w:rPr>
                <w:b/>
                <w:sz w:val="18"/>
              </w:rPr>
            </w:pPr>
            <w:r>
              <w:rPr>
                <w:b/>
                <w:sz w:val="18"/>
              </w:rPr>
              <w:t>x</w:t>
            </w:r>
          </w:p>
        </w:tc>
        <w:tc>
          <w:tcPr>
            <w:tcW w:w="300" w:type="dxa"/>
            <w:vMerge/>
            <w:tcBorders>
              <w:top w:val="nil"/>
            </w:tcBorders>
            <w:textDirection w:val="tbRl"/>
          </w:tcPr>
          <w:p>
            <w:pPr>
              <w:rPr>
                <w:sz w:val="2"/>
                <w:szCs w:val="2"/>
              </w:rPr>
            </w:pPr>
          </w:p>
        </w:tc>
        <w:tc>
          <w:tcPr>
            <w:tcW w:w="300" w:type="dxa"/>
            <w:vMerge w:val="restart"/>
            <w:textDirection w:val="tbRl"/>
          </w:tcPr>
          <w:p>
            <w:pPr>
              <w:pStyle w:val="TableParagraph"/>
              <w:tabs>
                <w:tab w:pos="720" w:val="left" w:leader="none"/>
              </w:tabs>
              <w:spacing w:before="59"/>
              <w:ind w:left="200"/>
              <w:rPr>
                <w:b/>
                <w:sz w:val="18"/>
              </w:rPr>
            </w:pPr>
            <w:r>
              <w:rPr>
                <w:b/>
                <w:sz w:val="18"/>
              </w:rPr>
              <w:t>x</w:t>
              <w:tab/>
              <w:t>x</w:t>
            </w:r>
          </w:p>
        </w:tc>
        <w:tc>
          <w:tcPr>
            <w:tcW w:w="300" w:type="dxa"/>
            <w:textDirection w:val="tbRl"/>
          </w:tcPr>
          <w:p>
            <w:pPr>
              <w:pStyle w:val="TableParagraph"/>
              <w:spacing w:before="59"/>
              <w:ind w:right="28"/>
              <w:jc w:val="center"/>
              <w:rPr>
                <w:b/>
                <w:sz w:val="18"/>
              </w:rPr>
            </w:pPr>
            <w:r>
              <w:rPr>
                <w:b/>
                <w:sz w:val="18"/>
              </w:rPr>
              <w:t>x</w:t>
            </w:r>
          </w:p>
        </w:tc>
        <w:tc>
          <w:tcPr>
            <w:tcW w:w="300" w:type="dxa"/>
            <w:textDirection w:val="tbRl"/>
          </w:tcPr>
          <w:p>
            <w:pPr>
              <w:pStyle w:val="TableParagraph"/>
              <w:spacing w:before="68"/>
              <w:ind w:right="30"/>
              <w:jc w:val="center"/>
              <w:rPr>
                <w:rFonts w:ascii="Wingdings" w:hAnsi="Wingdings"/>
                <w:sz w:val="18"/>
              </w:rPr>
            </w:pPr>
            <w:r>
              <w:rPr>
                <w:rFonts w:ascii="Wingdings" w:hAnsi="Wingdings"/>
                <w:sz w:val="18"/>
              </w:rPr>
              <w:t></w:t>
            </w:r>
          </w:p>
        </w:tc>
        <w:tc>
          <w:tcPr>
            <w:tcW w:w="3089" w:type="dxa"/>
            <w:shd w:val="clear" w:color="auto" w:fill="C5DFB4"/>
          </w:tcPr>
          <w:p>
            <w:pPr>
              <w:pStyle w:val="TableParagraph"/>
              <w:spacing w:line="244" w:lineRule="auto" w:before="74"/>
              <w:ind w:left="890" w:right="287" w:hanging="569"/>
              <w:rPr>
                <w:b/>
                <w:sz w:val="18"/>
              </w:rPr>
            </w:pPr>
            <w:r>
              <w:rPr>
                <w:b/>
                <w:sz w:val="18"/>
              </w:rPr>
              <w:t>Emma Sayner - Interim Chief Finance Officer</w:t>
            </w:r>
          </w:p>
        </w:tc>
      </w:tr>
      <w:tr>
        <w:trPr>
          <w:trHeight w:val="448" w:hRule="atLeast"/>
        </w:trPr>
        <w:tc>
          <w:tcPr>
            <w:tcW w:w="300" w:type="dxa"/>
            <w:textDirection w:val="tbRl"/>
          </w:tcPr>
          <w:p>
            <w:pPr>
              <w:pStyle w:val="TableParagraph"/>
              <w:spacing w:before="68"/>
              <w:ind w:left="4"/>
              <w:jc w:val="center"/>
              <w:rPr>
                <w:rFonts w:ascii="Wingdings" w:hAnsi="Wingdings"/>
                <w:sz w:val="18"/>
              </w:rPr>
            </w:pPr>
            <w:r>
              <w:rPr>
                <w:rFonts w:ascii="Wingdings" w:hAnsi="Wingdings"/>
                <w:sz w:val="18"/>
              </w:rPr>
              <w:t></w:t>
            </w:r>
          </w:p>
        </w:tc>
        <w:tc>
          <w:tcPr>
            <w:tcW w:w="300" w:type="dxa"/>
            <w:textDirection w:val="tbRl"/>
          </w:tcPr>
          <w:p>
            <w:pPr>
              <w:pStyle w:val="TableParagraph"/>
              <w:spacing w:before="68"/>
              <w:ind w:left="4"/>
              <w:jc w:val="center"/>
              <w:rPr>
                <w:rFonts w:ascii="Wingdings" w:hAnsi="Wingdings"/>
                <w:sz w:val="18"/>
              </w:rPr>
            </w:pPr>
            <w:r>
              <w:rPr>
                <w:rFonts w:ascii="Wingdings" w:hAnsi="Wingdings"/>
                <w:sz w:val="18"/>
              </w:rPr>
              <w:t></w:t>
            </w:r>
          </w:p>
        </w:tc>
        <w:tc>
          <w:tcPr>
            <w:tcW w:w="300" w:type="dxa"/>
            <w:vMerge/>
            <w:tcBorders>
              <w:top w:val="nil"/>
            </w:tcBorders>
            <w:textDirection w:val="tbRl"/>
          </w:tcPr>
          <w:p>
            <w:pPr>
              <w:rPr>
                <w:sz w:val="2"/>
                <w:szCs w:val="2"/>
              </w:rPr>
            </w:pPr>
          </w:p>
        </w:tc>
        <w:tc>
          <w:tcPr>
            <w:tcW w:w="300" w:type="dxa"/>
            <w:vMerge/>
            <w:tcBorders>
              <w:top w:val="nil"/>
            </w:tcBorders>
            <w:textDirection w:val="tbRl"/>
          </w:tcPr>
          <w:p>
            <w:pPr>
              <w:rPr>
                <w:sz w:val="2"/>
                <w:szCs w:val="2"/>
              </w:rPr>
            </w:pPr>
          </w:p>
        </w:tc>
        <w:tc>
          <w:tcPr>
            <w:tcW w:w="300" w:type="dxa"/>
            <w:textDirection w:val="tbRl"/>
          </w:tcPr>
          <w:p>
            <w:pPr>
              <w:pStyle w:val="TableParagraph"/>
              <w:spacing w:before="59"/>
              <w:ind w:left="6"/>
              <w:jc w:val="center"/>
              <w:rPr>
                <w:b/>
                <w:sz w:val="18"/>
              </w:rPr>
            </w:pPr>
            <w:r>
              <w:rPr>
                <w:b/>
                <w:sz w:val="18"/>
              </w:rPr>
              <w:t>x</w:t>
            </w:r>
          </w:p>
        </w:tc>
        <w:tc>
          <w:tcPr>
            <w:tcW w:w="300" w:type="dxa"/>
            <w:textDirection w:val="tbRl"/>
          </w:tcPr>
          <w:p>
            <w:pPr>
              <w:pStyle w:val="TableParagraph"/>
              <w:spacing w:before="68"/>
              <w:ind w:left="4"/>
              <w:jc w:val="center"/>
              <w:rPr>
                <w:rFonts w:ascii="Wingdings" w:hAnsi="Wingdings"/>
                <w:sz w:val="18"/>
              </w:rPr>
            </w:pPr>
            <w:r>
              <w:rPr>
                <w:rFonts w:ascii="Wingdings" w:hAnsi="Wingdings"/>
                <w:sz w:val="18"/>
              </w:rPr>
              <w:t></w:t>
            </w:r>
          </w:p>
        </w:tc>
        <w:tc>
          <w:tcPr>
            <w:tcW w:w="3089" w:type="dxa"/>
            <w:shd w:val="clear" w:color="auto" w:fill="C5DFB4"/>
          </w:tcPr>
          <w:p>
            <w:pPr>
              <w:pStyle w:val="TableParagraph"/>
              <w:spacing w:before="135"/>
              <w:ind w:left="60" w:right="48"/>
              <w:jc w:val="center"/>
              <w:rPr>
                <w:b/>
                <w:sz w:val="18"/>
              </w:rPr>
            </w:pPr>
            <w:r>
              <w:rPr>
                <w:b/>
                <w:sz w:val="18"/>
              </w:rPr>
              <w:t>Dr Andrew Lee - Chair of CoM</w:t>
            </w:r>
          </w:p>
        </w:tc>
      </w:tr>
      <w:tr>
        <w:trPr>
          <w:trHeight w:val="570" w:hRule="atLeast"/>
        </w:trPr>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vMerge/>
            <w:tcBorders>
              <w:top w:val="nil"/>
            </w:tcBorders>
            <w:textDirection w:val="tbRl"/>
          </w:tcPr>
          <w:p>
            <w:pPr>
              <w:rPr>
                <w:sz w:val="2"/>
                <w:szCs w:val="2"/>
              </w:rPr>
            </w:pP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89" w:type="dxa"/>
            <w:shd w:val="clear" w:color="auto" w:fill="C5DFB4"/>
          </w:tcPr>
          <w:p>
            <w:pPr>
              <w:pStyle w:val="TableParagraph"/>
              <w:spacing w:line="247" w:lineRule="auto" w:before="107"/>
              <w:ind w:left="986" w:right="146" w:hanging="814"/>
              <w:rPr>
                <w:b/>
                <w:sz w:val="18"/>
              </w:rPr>
            </w:pPr>
            <w:r>
              <w:rPr>
                <w:b/>
                <w:sz w:val="18"/>
              </w:rPr>
              <w:t>Dr Salim Modan - Clinical Lead - Primary Care</w:t>
            </w:r>
          </w:p>
        </w:tc>
      </w:tr>
      <w:tr>
        <w:trPr>
          <w:trHeight w:val="448" w:hRule="atLeast"/>
        </w:trPr>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59"/>
              <w:ind w:right="1"/>
              <w:jc w:val="center"/>
              <w:rPr>
                <w:b/>
                <w:sz w:val="18"/>
              </w:rPr>
            </w:pPr>
            <w:r>
              <w:rPr>
                <w:b/>
                <w:sz w:val="18"/>
              </w:rPr>
              <w:t>x</w:t>
            </w:r>
          </w:p>
        </w:tc>
        <w:tc>
          <w:tcPr>
            <w:tcW w:w="300" w:type="dxa"/>
            <w:vMerge/>
            <w:tcBorders>
              <w:top w:val="nil"/>
            </w:tcBorders>
            <w:textDirection w:val="tbRl"/>
          </w:tcPr>
          <w:p>
            <w:pPr>
              <w:rPr>
                <w:sz w:val="2"/>
                <w:szCs w:val="2"/>
              </w:rPr>
            </w:pP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89" w:type="dxa"/>
            <w:shd w:val="clear" w:color="auto" w:fill="C5DFB4"/>
          </w:tcPr>
          <w:p>
            <w:pPr>
              <w:pStyle w:val="TableParagraph"/>
              <w:spacing w:before="138"/>
              <w:ind w:left="60" w:right="48"/>
              <w:jc w:val="center"/>
              <w:rPr>
                <w:b/>
                <w:sz w:val="18"/>
              </w:rPr>
            </w:pPr>
            <w:r>
              <w:rPr>
                <w:b/>
                <w:sz w:val="18"/>
              </w:rPr>
              <w:t>Dr Faisel Baig - Chair CCG</w:t>
            </w:r>
          </w:p>
        </w:tc>
      </w:tr>
      <w:tr>
        <w:trPr>
          <w:trHeight w:val="568" w:hRule="atLeast"/>
        </w:trPr>
        <w:tc>
          <w:tcPr>
            <w:tcW w:w="300" w:type="dxa"/>
            <w:shd w:val="clear" w:color="auto" w:fill="808080"/>
          </w:tcPr>
          <w:p>
            <w:pPr>
              <w:pStyle w:val="TableParagraph"/>
              <w:rPr>
                <w:rFonts w:ascii="Times New Roman"/>
                <w:sz w:val="18"/>
              </w:rPr>
            </w:pPr>
          </w:p>
        </w:tc>
        <w:tc>
          <w:tcPr>
            <w:tcW w:w="300" w:type="dxa"/>
            <w:shd w:val="clear" w:color="auto" w:fill="808080"/>
            <w:textDirection w:val="tbRl"/>
          </w:tcPr>
          <w:p>
            <w:pPr>
              <w:pStyle w:val="TableParagraph"/>
              <w:spacing w:before="59"/>
              <w:ind w:right="13"/>
              <w:jc w:val="center"/>
              <w:rPr>
                <w:rFonts w:ascii="Times New Roman" w:hAnsi="Times New Roman"/>
                <w:b/>
                <w:sz w:val="18"/>
              </w:rPr>
            </w:pPr>
            <w:r>
              <w:rPr>
                <w:rFonts w:ascii="Times New Roman" w:hAnsi="Times New Roman"/>
                <w:b/>
                <w:sz w:val="18"/>
              </w:rPr>
              <w:t></w:t>
            </w:r>
          </w:p>
        </w:tc>
        <w:tc>
          <w:tcPr>
            <w:tcW w:w="300" w:type="dxa"/>
            <w:vMerge/>
            <w:tcBorders>
              <w:top w:val="nil"/>
            </w:tcBorders>
            <w:textDirection w:val="tbRl"/>
          </w:tcPr>
          <w:p>
            <w:pPr>
              <w:rPr>
                <w:sz w:val="2"/>
                <w:szCs w:val="2"/>
              </w:rPr>
            </w:pPr>
          </w:p>
        </w:tc>
        <w:tc>
          <w:tcPr>
            <w:tcW w:w="300" w:type="dxa"/>
            <w:shd w:val="clear" w:color="auto" w:fill="808080"/>
            <w:textDirection w:val="tbRl"/>
          </w:tcPr>
          <w:p>
            <w:pPr>
              <w:pStyle w:val="TableParagraph"/>
              <w:spacing w:before="59"/>
              <w:ind w:right="13"/>
              <w:jc w:val="center"/>
              <w:rPr>
                <w:rFonts w:ascii="Times New Roman" w:hAnsi="Times New Roman"/>
                <w:b/>
                <w:sz w:val="18"/>
              </w:rPr>
            </w:pPr>
            <w:r>
              <w:rPr>
                <w:rFonts w:ascii="Times New Roman" w:hAnsi="Times New Roman"/>
                <w:b/>
                <w:sz w:val="18"/>
              </w:rPr>
              <w:t></w:t>
            </w:r>
          </w:p>
        </w:tc>
        <w:tc>
          <w:tcPr>
            <w:tcW w:w="300" w:type="dxa"/>
            <w:shd w:val="clear" w:color="auto" w:fill="808080"/>
            <w:textDirection w:val="tbRl"/>
          </w:tcPr>
          <w:p>
            <w:pPr>
              <w:pStyle w:val="TableParagraph"/>
              <w:spacing w:before="59"/>
              <w:ind w:right="13"/>
              <w:jc w:val="center"/>
              <w:rPr>
                <w:rFonts w:ascii="Times New Roman" w:hAnsi="Times New Roman"/>
                <w:b/>
                <w:sz w:val="18"/>
              </w:rPr>
            </w:pPr>
            <w:r>
              <w:rPr>
                <w:rFonts w:ascii="Times New Roman" w:hAnsi="Times New Roman"/>
                <w:b/>
                <w:sz w:val="18"/>
              </w:rPr>
              <w:t></w:t>
            </w:r>
          </w:p>
        </w:tc>
        <w:tc>
          <w:tcPr>
            <w:tcW w:w="300" w:type="dxa"/>
            <w:textDirection w:val="tbRl"/>
          </w:tcPr>
          <w:p>
            <w:pPr>
              <w:pStyle w:val="TableParagraph"/>
              <w:spacing w:before="68"/>
              <w:ind w:left="4"/>
              <w:jc w:val="center"/>
              <w:rPr>
                <w:rFonts w:ascii="Wingdings" w:hAnsi="Wingdings"/>
                <w:sz w:val="18"/>
              </w:rPr>
            </w:pPr>
            <w:r>
              <w:rPr>
                <w:rFonts w:ascii="Wingdings" w:hAnsi="Wingdings"/>
                <w:sz w:val="18"/>
              </w:rPr>
              <w:t></w:t>
            </w:r>
          </w:p>
        </w:tc>
        <w:tc>
          <w:tcPr>
            <w:tcW w:w="3089" w:type="dxa"/>
            <w:shd w:val="clear" w:color="auto" w:fill="C5DFB4"/>
          </w:tcPr>
          <w:p>
            <w:pPr>
              <w:pStyle w:val="TableParagraph"/>
              <w:spacing w:line="244" w:lineRule="auto" w:before="107"/>
              <w:ind w:left="1240" w:right="68" w:hanging="1140"/>
              <w:rPr>
                <w:b/>
                <w:sz w:val="18"/>
              </w:rPr>
            </w:pPr>
            <w:r>
              <w:rPr>
                <w:b/>
                <w:sz w:val="18"/>
              </w:rPr>
              <w:t>Clare Linley Director of Nursing &amp; Quality</w:t>
            </w:r>
          </w:p>
        </w:tc>
      </w:tr>
      <w:tr>
        <w:trPr>
          <w:trHeight w:val="549" w:hRule="atLeast"/>
        </w:trPr>
        <w:tc>
          <w:tcPr>
            <w:tcW w:w="300" w:type="dxa"/>
            <w:textDirection w:val="tbRl"/>
          </w:tcPr>
          <w:p>
            <w:pPr>
              <w:pStyle w:val="TableParagraph"/>
              <w:spacing w:before="68"/>
              <w:ind w:left="4"/>
              <w:jc w:val="center"/>
              <w:rPr>
                <w:rFonts w:ascii="Wingdings" w:hAnsi="Wingdings"/>
                <w:sz w:val="18"/>
              </w:rPr>
            </w:pPr>
            <w:r>
              <w:rPr>
                <w:rFonts w:ascii="Wingdings" w:hAnsi="Wingdings"/>
                <w:sz w:val="18"/>
              </w:rPr>
              <w:t></w:t>
            </w:r>
          </w:p>
        </w:tc>
        <w:tc>
          <w:tcPr>
            <w:tcW w:w="300" w:type="dxa"/>
            <w:textDirection w:val="tbRl"/>
          </w:tcPr>
          <w:p>
            <w:pPr>
              <w:pStyle w:val="TableParagraph"/>
              <w:spacing w:before="59"/>
              <w:ind w:left="1"/>
              <w:jc w:val="center"/>
              <w:rPr>
                <w:b/>
                <w:sz w:val="18"/>
              </w:rPr>
            </w:pPr>
            <w:r>
              <w:rPr>
                <w:b/>
                <w:sz w:val="18"/>
              </w:rPr>
              <w:t>x</w:t>
            </w:r>
          </w:p>
        </w:tc>
        <w:tc>
          <w:tcPr>
            <w:tcW w:w="300" w:type="dxa"/>
            <w:vMerge/>
            <w:tcBorders>
              <w:top w:val="nil"/>
            </w:tcBorders>
            <w:textDirection w:val="tbRl"/>
          </w:tcPr>
          <w:p>
            <w:pPr>
              <w:rPr>
                <w:sz w:val="2"/>
                <w:szCs w:val="2"/>
              </w:rPr>
            </w:pPr>
          </w:p>
        </w:tc>
        <w:tc>
          <w:tcPr>
            <w:tcW w:w="300" w:type="dxa"/>
            <w:textDirection w:val="tbRl"/>
          </w:tcPr>
          <w:p>
            <w:pPr>
              <w:pStyle w:val="TableParagraph"/>
              <w:spacing w:before="68"/>
              <w:ind w:left="4"/>
              <w:jc w:val="center"/>
              <w:rPr>
                <w:rFonts w:ascii="Wingdings" w:hAnsi="Wingdings"/>
                <w:sz w:val="18"/>
              </w:rPr>
            </w:pPr>
            <w:r>
              <w:rPr>
                <w:rFonts w:ascii="Wingdings" w:hAnsi="Wingdings"/>
                <w:sz w:val="18"/>
              </w:rPr>
              <w:t></w:t>
            </w:r>
          </w:p>
        </w:tc>
        <w:tc>
          <w:tcPr>
            <w:tcW w:w="300" w:type="dxa"/>
            <w:textDirection w:val="tbRl"/>
          </w:tcPr>
          <w:p>
            <w:pPr>
              <w:pStyle w:val="TableParagraph"/>
              <w:spacing w:before="68"/>
              <w:ind w:left="4"/>
              <w:jc w:val="center"/>
              <w:rPr>
                <w:rFonts w:ascii="Wingdings" w:hAnsi="Wingdings"/>
                <w:sz w:val="18"/>
              </w:rPr>
            </w:pPr>
            <w:r>
              <w:rPr>
                <w:rFonts w:ascii="Wingdings" w:hAnsi="Wingdings"/>
                <w:sz w:val="18"/>
              </w:rPr>
              <w:t></w:t>
            </w:r>
          </w:p>
        </w:tc>
        <w:tc>
          <w:tcPr>
            <w:tcW w:w="300" w:type="dxa"/>
          </w:tcPr>
          <w:p>
            <w:pPr>
              <w:pStyle w:val="TableParagraph"/>
              <w:rPr>
                <w:rFonts w:ascii="Times New Roman"/>
                <w:sz w:val="18"/>
              </w:rPr>
            </w:pPr>
          </w:p>
        </w:tc>
        <w:tc>
          <w:tcPr>
            <w:tcW w:w="3089" w:type="dxa"/>
            <w:shd w:val="clear" w:color="auto" w:fill="C5DFB4"/>
          </w:tcPr>
          <w:p>
            <w:pPr>
              <w:pStyle w:val="TableParagraph"/>
              <w:spacing w:line="210" w:lineRule="atLeast" w:before="104"/>
              <w:ind w:left="786" w:right="144" w:hanging="612"/>
              <w:rPr>
                <w:b/>
                <w:sz w:val="18"/>
              </w:rPr>
            </w:pPr>
            <w:r>
              <w:rPr>
                <w:b/>
                <w:sz w:val="18"/>
              </w:rPr>
              <w:t>Helen Davis - Interim Director of Nursing &amp; Quality</w:t>
            </w:r>
          </w:p>
        </w:tc>
      </w:tr>
      <w:tr>
        <w:trPr>
          <w:trHeight w:val="431" w:hRule="atLeast"/>
        </w:trPr>
        <w:tc>
          <w:tcPr>
            <w:tcW w:w="300" w:type="dxa"/>
            <w:textDirection w:val="tbRl"/>
          </w:tcPr>
          <w:p>
            <w:pPr>
              <w:pStyle w:val="TableParagraph"/>
              <w:spacing w:before="68"/>
              <w:ind w:left="2"/>
              <w:jc w:val="center"/>
              <w:rPr>
                <w:rFonts w:ascii="Wingdings" w:hAnsi="Wingdings"/>
                <w:sz w:val="18"/>
              </w:rPr>
            </w:pPr>
            <w:r>
              <w:rPr>
                <w:rFonts w:ascii="Wingdings" w:hAnsi="Wingdings"/>
                <w:sz w:val="18"/>
              </w:rPr>
              <w:t></w:t>
            </w:r>
          </w:p>
        </w:tc>
        <w:tc>
          <w:tcPr>
            <w:tcW w:w="300" w:type="dxa"/>
            <w:textDirection w:val="tbRl"/>
          </w:tcPr>
          <w:p>
            <w:pPr>
              <w:pStyle w:val="TableParagraph"/>
              <w:spacing w:before="68"/>
              <w:ind w:left="2"/>
              <w:jc w:val="center"/>
              <w:rPr>
                <w:rFonts w:ascii="Wingdings" w:hAnsi="Wingdings"/>
                <w:sz w:val="18"/>
              </w:rPr>
            </w:pPr>
            <w:r>
              <w:rPr>
                <w:rFonts w:ascii="Wingdings" w:hAnsi="Wingdings"/>
                <w:sz w:val="18"/>
              </w:rPr>
              <w:t></w:t>
            </w:r>
          </w:p>
        </w:tc>
        <w:tc>
          <w:tcPr>
            <w:tcW w:w="300" w:type="dxa"/>
            <w:vMerge/>
            <w:tcBorders>
              <w:top w:val="nil"/>
            </w:tcBorders>
            <w:textDirection w:val="tbRl"/>
          </w:tcPr>
          <w:p>
            <w:pPr>
              <w:rPr>
                <w:sz w:val="2"/>
                <w:szCs w:val="2"/>
              </w:rPr>
            </w:pPr>
          </w:p>
        </w:tc>
        <w:tc>
          <w:tcPr>
            <w:tcW w:w="300" w:type="dxa"/>
            <w:textDirection w:val="tbRl"/>
          </w:tcPr>
          <w:p>
            <w:pPr>
              <w:pStyle w:val="TableParagraph"/>
              <w:spacing w:before="68"/>
              <w:ind w:left="2"/>
              <w:jc w:val="center"/>
              <w:rPr>
                <w:rFonts w:ascii="Wingdings" w:hAnsi="Wingdings"/>
                <w:sz w:val="18"/>
              </w:rPr>
            </w:pPr>
            <w:r>
              <w:rPr>
                <w:rFonts w:ascii="Wingdings" w:hAnsi="Wingdings"/>
                <w:sz w:val="18"/>
              </w:rPr>
              <w:t></w:t>
            </w:r>
          </w:p>
        </w:tc>
        <w:tc>
          <w:tcPr>
            <w:tcW w:w="300" w:type="dxa"/>
            <w:textDirection w:val="tbRl"/>
          </w:tcPr>
          <w:p>
            <w:pPr>
              <w:pStyle w:val="TableParagraph"/>
              <w:spacing w:before="68"/>
              <w:ind w:left="2"/>
              <w:jc w:val="center"/>
              <w:rPr>
                <w:rFonts w:ascii="Wingdings" w:hAnsi="Wingdings"/>
                <w:sz w:val="18"/>
              </w:rPr>
            </w:pPr>
            <w:r>
              <w:rPr>
                <w:rFonts w:ascii="Wingdings" w:hAnsi="Wingdings"/>
                <w:sz w:val="18"/>
              </w:rPr>
              <w:t></w:t>
            </w:r>
          </w:p>
        </w:tc>
        <w:tc>
          <w:tcPr>
            <w:tcW w:w="300" w:type="dxa"/>
            <w:textDirection w:val="tbRl"/>
          </w:tcPr>
          <w:p>
            <w:pPr>
              <w:pStyle w:val="TableParagraph"/>
              <w:spacing w:before="68"/>
              <w:ind w:left="2"/>
              <w:jc w:val="center"/>
              <w:rPr>
                <w:rFonts w:ascii="Wingdings" w:hAnsi="Wingdings"/>
                <w:sz w:val="18"/>
              </w:rPr>
            </w:pPr>
            <w:r>
              <w:rPr>
                <w:rFonts w:ascii="Wingdings" w:hAnsi="Wingdings"/>
                <w:sz w:val="18"/>
              </w:rPr>
              <w:t></w:t>
            </w:r>
          </w:p>
        </w:tc>
        <w:tc>
          <w:tcPr>
            <w:tcW w:w="3089" w:type="dxa"/>
            <w:shd w:val="clear" w:color="auto" w:fill="C5DFB4"/>
          </w:tcPr>
          <w:p>
            <w:pPr>
              <w:pStyle w:val="TableParagraph"/>
              <w:spacing w:before="119"/>
              <w:ind w:left="60" w:right="48"/>
              <w:jc w:val="center"/>
              <w:rPr>
                <w:b/>
                <w:sz w:val="18"/>
              </w:rPr>
            </w:pPr>
            <w:r>
              <w:rPr>
                <w:b/>
                <w:sz w:val="18"/>
              </w:rPr>
              <w:t>Alex Seale Chief Operating Officer</w:t>
            </w:r>
          </w:p>
        </w:tc>
      </w:tr>
      <w:tr>
        <w:trPr>
          <w:trHeight w:val="568" w:hRule="atLeast"/>
        </w:trPr>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vMerge/>
            <w:tcBorders>
              <w:top w:val="nil"/>
            </w:tcBorders>
            <w:textDirection w:val="tbRl"/>
          </w:tcPr>
          <w:p>
            <w:pPr>
              <w:rPr>
                <w:sz w:val="2"/>
                <w:szCs w:val="2"/>
              </w:rPr>
            </w:pPr>
          </w:p>
        </w:tc>
        <w:tc>
          <w:tcPr>
            <w:tcW w:w="300" w:type="dxa"/>
            <w:vMerge w:val="restart"/>
            <w:textDirection w:val="tbRl"/>
          </w:tcPr>
          <w:p>
            <w:pPr>
              <w:pStyle w:val="TableParagraph"/>
              <w:tabs>
                <w:tab w:pos="854" w:val="left" w:leader="none"/>
              </w:tabs>
              <w:spacing w:before="59"/>
              <w:ind w:left="234"/>
              <w:rPr>
                <w:b/>
                <w:sz w:val="18"/>
              </w:rPr>
            </w:pPr>
            <w:r>
              <w:rPr>
                <w:b/>
                <w:sz w:val="18"/>
              </w:rPr>
              <w:t>x</w:t>
              <w:tab/>
              <w:t>x</w:t>
            </w:r>
          </w:p>
        </w:tc>
        <w:tc>
          <w:tcPr>
            <w:tcW w:w="300" w:type="dxa"/>
            <w:textDirection w:val="tbRl"/>
          </w:tcPr>
          <w:p>
            <w:pPr>
              <w:pStyle w:val="TableParagraph"/>
              <w:spacing w:before="59"/>
              <w:ind w:right="1"/>
              <w:jc w:val="center"/>
              <w:rPr>
                <w:b/>
                <w:sz w:val="18"/>
              </w:rPr>
            </w:pPr>
            <w:r>
              <w:rPr>
                <w:b/>
                <w:sz w:val="18"/>
              </w:rPr>
              <w:t>x</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89" w:type="dxa"/>
            <w:shd w:val="clear" w:color="auto" w:fill="C5DFB4"/>
          </w:tcPr>
          <w:p>
            <w:pPr>
              <w:pStyle w:val="TableParagraph"/>
              <w:spacing w:line="247" w:lineRule="auto" w:before="107"/>
              <w:ind w:left="844" w:right="120" w:hanging="696"/>
              <w:rPr>
                <w:b/>
                <w:sz w:val="18"/>
              </w:rPr>
            </w:pPr>
            <w:r>
              <w:rPr>
                <w:b/>
                <w:sz w:val="18"/>
              </w:rPr>
              <w:t>Dr Satpal Shekhawat - Associate Medical Director</w:t>
            </w:r>
          </w:p>
        </w:tc>
      </w:tr>
      <w:tr>
        <w:trPr>
          <w:trHeight w:val="647" w:hRule="atLeast"/>
        </w:trPr>
        <w:tc>
          <w:tcPr>
            <w:tcW w:w="300" w:type="dxa"/>
            <w:textDirection w:val="tbRl"/>
          </w:tcPr>
          <w:p>
            <w:pPr>
              <w:pStyle w:val="TableParagraph"/>
              <w:spacing w:before="59"/>
              <w:jc w:val="center"/>
              <w:rPr>
                <w:b/>
                <w:sz w:val="18"/>
              </w:rPr>
            </w:pPr>
            <w:r>
              <w:rPr>
                <w:b/>
                <w:sz w:val="18"/>
              </w:rPr>
              <w:t>x</w:t>
            </w:r>
          </w:p>
        </w:tc>
        <w:tc>
          <w:tcPr>
            <w:tcW w:w="300" w:type="dxa"/>
            <w:textDirection w:val="tbRl"/>
          </w:tcPr>
          <w:p>
            <w:pPr>
              <w:pStyle w:val="TableParagraph"/>
              <w:spacing w:before="59"/>
              <w:jc w:val="center"/>
              <w:rPr>
                <w:b/>
                <w:sz w:val="18"/>
              </w:rPr>
            </w:pPr>
            <w:r>
              <w:rPr>
                <w:b/>
                <w:sz w:val="18"/>
              </w:rPr>
              <w:t>x</w:t>
            </w:r>
          </w:p>
        </w:tc>
        <w:tc>
          <w:tcPr>
            <w:tcW w:w="300" w:type="dxa"/>
            <w:vMerge/>
            <w:tcBorders>
              <w:top w:val="nil"/>
            </w:tcBorders>
            <w:textDirection w:val="tbRl"/>
          </w:tcPr>
          <w:p>
            <w:pPr>
              <w:rPr>
                <w:sz w:val="2"/>
                <w:szCs w:val="2"/>
              </w:rPr>
            </w:pPr>
          </w:p>
        </w:tc>
        <w:tc>
          <w:tcPr>
            <w:tcW w:w="300" w:type="dxa"/>
            <w:vMerge/>
            <w:tcBorders>
              <w:top w:val="nil"/>
            </w:tcBorders>
            <w:textDirection w:val="tbRl"/>
          </w:tcPr>
          <w:p>
            <w:pPr>
              <w:rPr>
                <w:sz w:val="2"/>
                <w:szCs w:val="2"/>
              </w:rPr>
            </w:pPr>
          </w:p>
        </w:tc>
        <w:tc>
          <w:tcPr>
            <w:tcW w:w="300" w:type="dxa"/>
            <w:textDirection w:val="tbRl"/>
          </w:tcPr>
          <w:p>
            <w:pPr>
              <w:pStyle w:val="TableParagraph"/>
              <w:spacing w:before="59"/>
              <w:jc w:val="center"/>
              <w:rPr>
                <w:b/>
                <w:sz w:val="18"/>
              </w:rPr>
            </w:pPr>
            <w:r>
              <w:rPr>
                <w:b/>
                <w:sz w:val="18"/>
              </w:rPr>
              <w:t>x</w:t>
            </w:r>
          </w:p>
        </w:tc>
        <w:tc>
          <w:tcPr>
            <w:tcW w:w="300" w:type="dxa"/>
          </w:tcPr>
          <w:p>
            <w:pPr>
              <w:pStyle w:val="TableParagraph"/>
              <w:rPr>
                <w:rFonts w:ascii="Times New Roman"/>
                <w:sz w:val="18"/>
              </w:rPr>
            </w:pPr>
          </w:p>
        </w:tc>
        <w:tc>
          <w:tcPr>
            <w:tcW w:w="3089" w:type="dxa"/>
            <w:shd w:val="clear" w:color="auto" w:fill="C5DFB4"/>
          </w:tcPr>
          <w:p>
            <w:pPr>
              <w:pStyle w:val="TableParagraph"/>
              <w:spacing w:line="244" w:lineRule="auto" w:before="126"/>
              <w:ind w:left="1360" w:right="102" w:hanging="1224"/>
              <w:rPr>
                <w:b/>
                <w:sz w:val="18"/>
              </w:rPr>
            </w:pPr>
            <w:r>
              <w:rPr>
                <w:b/>
                <w:sz w:val="18"/>
              </w:rPr>
              <w:t>Director of Public Health NELC &amp; NLC</w:t>
            </w:r>
          </w:p>
        </w:tc>
      </w:tr>
      <w:tr>
        <w:trPr>
          <w:trHeight w:val="570" w:hRule="atLeast"/>
        </w:trPr>
        <w:tc>
          <w:tcPr>
            <w:tcW w:w="300" w:type="dxa"/>
            <w:textDirection w:val="tbRl"/>
          </w:tcPr>
          <w:p>
            <w:pPr>
              <w:pStyle w:val="TableParagraph"/>
              <w:spacing w:before="68"/>
              <w:ind w:left="7"/>
              <w:jc w:val="center"/>
              <w:rPr>
                <w:rFonts w:ascii="Wingdings" w:hAnsi="Wingdings"/>
                <w:sz w:val="18"/>
              </w:rPr>
            </w:pPr>
            <w:r>
              <w:rPr>
                <w:rFonts w:ascii="Wingdings" w:hAnsi="Wingdings"/>
                <w:sz w:val="18"/>
              </w:rPr>
              <w:t></w:t>
            </w:r>
          </w:p>
        </w:tc>
        <w:tc>
          <w:tcPr>
            <w:tcW w:w="300" w:type="dxa"/>
            <w:textDirection w:val="tbRl"/>
          </w:tcPr>
          <w:p>
            <w:pPr>
              <w:pStyle w:val="TableParagraph"/>
              <w:spacing w:before="68"/>
              <w:ind w:left="7"/>
              <w:jc w:val="center"/>
              <w:rPr>
                <w:rFonts w:ascii="Wingdings" w:hAnsi="Wingdings"/>
                <w:sz w:val="18"/>
              </w:rPr>
            </w:pPr>
            <w:r>
              <w:rPr>
                <w:rFonts w:ascii="Wingdings" w:hAnsi="Wingdings"/>
                <w:sz w:val="18"/>
              </w:rPr>
              <w:t></w:t>
            </w:r>
          </w:p>
        </w:tc>
        <w:tc>
          <w:tcPr>
            <w:tcW w:w="300" w:type="dxa"/>
            <w:vMerge/>
            <w:tcBorders>
              <w:top w:val="nil"/>
            </w:tcBorders>
            <w:textDirection w:val="tbRl"/>
          </w:tcPr>
          <w:p>
            <w:pPr>
              <w:rPr>
                <w:sz w:val="2"/>
                <w:szCs w:val="2"/>
              </w:rPr>
            </w:pPr>
          </w:p>
        </w:tc>
        <w:tc>
          <w:tcPr>
            <w:tcW w:w="300" w:type="dxa"/>
            <w:textDirection w:val="tbRl"/>
          </w:tcPr>
          <w:p>
            <w:pPr>
              <w:pStyle w:val="TableParagraph"/>
              <w:spacing w:before="68"/>
              <w:ind w:left="7"/>
              <w:jc w:val="center"/>
              <w:rPr>
                <w:rFonts w:ascii="Wingdings" w:hAnsi="Wingdings"/>
                <w:sz w:val="18"/>
              </w:rPr>
            </w:pPr>
            <w:r>
              <w:rPr>
                <w:rFonts w:ascii="Wingdings" w:hAnsi="Wingdings"/>
                <w:sz w:val="18"/>
              </w:rPr>
              <w:t></w:t>
            </w:r>
          </w:p>
        </w:tc>
        <w:tc>
          <w:tcPr>
            <w:tcW w:w="300" w:type="dxa"/>
            <w:textDirection w:val="tbRl"/>
          </w:tcPr>
          <w:p>
            <w:pPr>
              <w:pStyle w:val="TableParagraph"/>
              <w:spacing w:before="68"/>
              <w:ind w:left="7"/>
              <w:jc w:val="center"/>
              <w:rPr>
                <w:rFonts w:ascii="Wingdings" w:hAnsi="Wingdings"/>
                <w:sz w:val="18"/>
              </w:rPr>
            </w:pPr>
            <w:r>
              <w:rPr>
                <w:rFonts w:ascii="Wingdings" w:hAnsi="Wingdings"/>
                <w:sz w:val="18"/>
              </w:rPr>
              <w:t></w:t>
            </w:r>
          </w:p>
        </w:tc>
        <w:tc>
          <w:tcPr>
            <w:tcW w:w="300" w:type="dxa"/>
            <w:textDirection w:val="tbRl"/>
          </w:tcPr>
          <w:p>
            <w:pPr>
              <w:pStyle w:val="TableParagraph"/>
              <w:spacing w:before="68"/>
              <w:ind w:left="7"/>
              <w:jc w:val="center"/>
              <w:rPr>
                <w:rFonts w:ascii="Wingdings" w:hAnsi="Wingdings"/>
                <w:sz w:val="18"/>
              </w:rPr>
            </w:pPr>
            <w:r>
              <w:rPr>
                <w:rFonts w:ascii="Wingdings" w:hAnsi="Wingdings"/>
                <w:sz w:val="18"/>
              </w:rPr>
              <w:t></w:t>
            </w:r>
          </w:p>
        </w:tc>
        <w:tc>
          <w:tcPr>
            <w:tcW w:w="3089" w:type="dxa"/>
            <w:shd w:val="clear" w:color="auto" w:fill="C5DFB4"/>
          </w:tcPr>
          <w:p>
            <w:pPr>
              <w:pStyle w:val="TableParagraph"/>
              <w:spacing w:line="244" w:lineRule="auto" w:before="109"/>
              <w:ind w:left="1024" w:right="350" w:hanging="646"/>
              <w:rPr>
                <w:b/>
                <w:sz w:val="18"/>
              </w:rPr>
            </w:pPr>
            <w:r>
              <w:rPr>
                <w:b/>
                <w:sz w:val="18"/>
              </w:rPr>
              <w:t>Erika Stoddart Lay Member Governance</w:t>
            </w:r>
          </w:p>
        </w:tc>
      </w:tr>
      <w:tr>
        <w:trPr>
          <w:trHeight w:val="530" w:hRule="atLeast"/>
        </w:trPr>
        <w:tc>
          <w:tcPr>
            <w:tcW w:w="300" w:type="dxa"/>
            <w:textDirection w:val="tbRl"/>
          </w:tcPr>
          <w:p>
            <w:pPr>
              <w:pStyle w:val="TableParagraph"/>
              <w:spacing w:before="59"/>
              <w:ind w:right="1"/>
              <w:jc w:val="center"/>
              <w:rPr>
                <w:b/>
                <w:sz w:val="18"/>
              </w:rPr>
            </w:pPr>
            <w:r>
              <w:rPr>
                <w:b/>
                <w:sz w:val="18"/>
              </w:rPr>
              <w:t>x</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vMerge/>
            <w:tcBorders>
              <w:top w:val="nil"/>
            </w:tcBorders>
            <w:textDirection w:val="tbRl"/>
          </w:tcPr>
          <w:p>
            <w:pPr>
              <w:rPr>
                <w:sz w:val="2"/>
                <w:szCs w:val="2"/>
              </w:rPr>
            </w:pP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89" w:type="dxa"/>
            <w:shd w:val="clear" w:color="auto" w:fill="C5DFB4"/>
          </w:tcPr>
          <w:p>
            <w:pPr>
              <w:pStyle w:val="TableParagraph"/>
              <w:spacing w:line="210" w:lineRule="atLeast" w:before="104"/>
              <w:ind w:left="1014" w:right="531" w:hanging="456"/>
              <w:rPr>
                <w:b/>
                <w:sz w:val="18"/>
              </w:rPr>
            </w:pPr>
            <w:r>
              <w:rPr>
                <w:b/>
                <w:sz w:val="18"/>
              </w:rPr>
              <w:t>Carol Lightburn - Chair Healthwatch</w:t>
            </w:r>
          </w:p>
        </w:tc>
      </w:tr>
      <w:tr>
        <w:trPr>
          <w:trHeight w:val="570" w:hRule="atLeast"/>
        </w:trPr>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59"/>
              <w:jc w:val="center"/>
              <w:rPr>
                <w:b/>
                <w:sz w:val="18"/>
              </w:rPr>
            </w:pPr>
            <w:r>
              <w:rPr>
                <w:b/>
                <w:sz w:val="18"/>
              </w:rPr>
              <w:t>x</w:t>
            </w:r>
          </w:p>
        </w:tc>
        <w:tc>
          <w:tcPr>
            <w:tcW w:w="300" w:type="dxa"/>
            <w:vMerge/>
            <w:tcBorders>
              <w:top w:val="nil"/>
            </w:tcBorders>
            <w:textDirection w:val="tbRl"/>
          </w:tcPr>
          <w:p>
            <w:pPr>
              <w:rPr>
                <w:sz w:val="2"/>
                <w:szCs w:val="2"/>
              </w:rPr>
            </w:pPr>
          </w:p>
        </w:tc>
        <w:tc>
          <w:tcPr>
            <w:tcW w:w="300" w:type="dxa"/>
            <w:textDirection w:val="tbRl"/>
          </w:tcPr>
          <w:p>
            <w:pPr>
              <w:pStyle w:val="TableParagraph"/>
              <w:spacing w:before="59"/>
              <w:jc w:val="center"/>
              <w:rPr>
                <w:b/>
                <w:sz w:val="18"/>
              </w:rPr>
            </w:pPr>
            <w:r>
              <w:rPr>
                <w:b/>
                <w:sz w:val="18"/>
              </w:rPr>
              <w:t>x</w:t>
            </w:r>
          </w:p>
        </w:tc>
        <w:tc>
          <w:tcPr>
            <w:tcW w:w="300" w:type="dxa"/>
            <w:textDirection w:val="tbRl"/>
          </w:tcPr>
          <w:p>
            <w:pPr>
              <w:pStyle w:val="TableParagraph"/>
              <w:spacing w:before="59"/>
              <w:jc w:val="center"/>
              <w:rPr>
                <w:b/>
                <w:sz w:val="18"/>
              </w:rPr>
            </w:pPr>
            <w:r>
              <w:rPr>
                <w:b/>
                <w:sz w:val="18"/>
              </w:rPr>
              <w:t>x</w:t>
            </w:r>
          </w:p>
        </w:tc>
        <w:tc>
          <w:tcPr>
            <w:tcW w:w="300" w:type="dxa"/>
          </w:tcPr>
          <w:p>
            <w:pPr>
              <w:pStyle w:val="TableParagraph"/>
              <w:rPr>
                <w:rFonts w:ascii="Times New Roman"/>
                <w:sz w:val="18"/>
              </w:rPr>
            </w:pPr>
          </w:p>
        </w:tc>
        <w:tc>
          <w:tcPr>
            <w:tcW w:w="3089" w:type="dxa"/>
            <w:shd w:val="clear" w:color="auto" w:fill="C5DFB4"/>
          </w:tcPr>
          <w:p>
            <w:pPr>
              <w:pStyle w:val="TableParagraph"/>
              <w:spacing w:line="247" w:lineRule="auto" w:before="107"/>
              <w:ind w:left="1350" w:right="170" w:hanging="1152"/>
              <w:rPr>
                <w:b/>
                <w:sz w:val="18"/>
              </w:rPr>
            </w:pPr>
            <w:r>
              <w:rPr>
                <w:b/>
                <w:sz w:val="18"/>
              </w:rPr>
              <w:t>Simon Barrett Chief Executive - LMC</w:t>
            </w:r>
          </w:p>
        </w:tc>
      </w:tr>
      <w:tr>
        <w:trPr>
          <w:trHeight w:val="549" w:hRule="atLeast"/>
        </w:trPr>
        <w:tc>
          <w:tcPr>
            <w:tcW w:w="300" w:type="dxa"/>
            <w:shd w:val="clear" w:color="auto" w:fill="808080"/>
            <w:textDirection w:val="tbRl"/>
          </w:tcPr>
          <w:p>
            <w:pPr>
              <w:pStyle w:val="TableParagraph"/>
              <w:spacing w:before="59"/>
              <w:ind w:right="23"/>
              <w:jc w:val="center"/>
              <w:rPr>
                <w:rFonts w:ascii="Times New Roman" w:hAnsi="Times New Roman"/>
                <w:b/>
                <w:sz w:val="18"/>
              </w:rPr>
            </w:pPr>
            <w:r>
              <w:rPr>
                <w:rFonts w:ascii="Times New Roman" w:hAnsi="Times New Roman"/>
                <w:b/>
                <w:sz w:val="18"/>
              </w:rPr>
              <w:t></w:t>
            </w:r>
          </w:p>
        </w:tc>
        <w:tc>
          <w:tcPr>
            <w:tcW w:w="300" w:type="dxa"/>
            <w:shd w:val="clear" w:color="auto" w:fill="808080"/>
            <w:textDirection w:val="tbRl"/>
          </w:tcPr>
          <w:p>
            <w:pPr>
              <w:pStyle w:val="TableParagraph"/>
              <w:spacing w:before="59"/>
              <w:ind w:right="23"/>
              <w:jc w:val="center"/>
              <w:rPr>
                <w:rFonts w:ascii="Times New Roman" w:hAnsi="Times New Roman"/>
                <w:b/>
                <w:sz w:val="18"/>
              </w:rPr>
            </w:pPr>
            <w:r>
              <w:rPr>
                <w:rFonts w:ascii="Times New Roman" w:hAnsi="Times New Roman"/>
                <w:b/>
                <w:sz w:val="18"/>
              </w:rPr>
              <w:t></w:t>
            </w:r>
          </w:p>
        </w:tc>
        <w:tc>
          <w:tcPr>
            <w:tcW w:w="300" w:type="dxa"/>
            <w:vMerge/>
            <w:tcBorders>
              <w:top w:val="nil"/>
            </w:tcBorders>
            <w:textDirection w:val="tbRl"/>
          </w:tcPr>
          <w:p>
            <w:pPr>
              <w:rPr>
                <w:sz w:val="2"/>
                <w:szCs w:val="2"/>
              </w:rPr>
            </w:pPr>
          </w:p>
        </w:tc>
        <w:tc>
          <w:tcPr>
            <w:tcW w:w="300" w:type="dxa"/>
            <w:shd w:val="clear" w:color="auto" w:fill="808080"/>
            <w:textDirection w:val="tbRl"/>
          </w:tcPr>
          <w:p>
            <w:pPr>
              <w:pStyle w:val="TableParagraph"/>
              <w:spacing w:before="59"/>
              <w:ind w:right="23"/>
              <w:jc w:val="center"/>
              <w:rPr>
                <w:rFonts w:ascii="Times New Roman" w:hAnsi="Times New Roman"/>
                <w:b/>
                <w:sz w:val="18"/>
              </w:rPr>
            </w:pPr>
            <w:r>
              <w:rPr>
                <w:rFonts w:ascii="Times New Roman" w:hAnsi="Times New Roman"/>
                <w:b/>
                <w:sz w:val="18"/>
              </w:rPr>
              <w:t></w:t>
            </w:r>
          </w:p>
        </w:tc>
        <w:tc>
          <w:tcPr>
            <w:tcW w:w="300" w:type="dxa"/>
            <w:shd w:val="clear" w:color="auto" w:fill="808080"/>
            <w:textDirection w:val="tbRl"/>
          </w:tcPr>
          <w:p>
            <w:pPr>
              <w:pStyle w:val="TableParagraph"/>
              <w:spacing w:before="59"/>
              <w:ind w:right="23"/>
              <w:jc w:val="center"/>
              <w:rPr>
                <w:rFonts w:ascii="Times New Roman" w:hAnsi="Times New Roman"/>
                <w:b/>
                <w:sz w:val="18"/>
              </w:rPr>
            </w:pPr>
            <w:r>
              <w:rPr>
                <w:rFonts w:ascii="Times New Roman" w:hAnsi="Times New Roman"/>
                <w:b/>
                <w:sz w:val="18"/>
              </w:rPr>
              <w:t></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89" w:type="dxa"/>
            <w:shd w:val="clear" w:color="auto" w:fill="C5DFB4"/>
          </w:tcPr>
          <w:p>
            <w:pPr>
              <w:pStyle w:val="TableParagraph"/>
              <w:spacing w:before="107"/>
              <w:ind w:left="981" w:right="329" w:hanging="622"/>
              <w:rPr>
                <w:b/>
                <w:sz w:val="18"/>
              </w:rPr>
            </w:pPr>
            <w:r>
              <w:rPr>
                <w:b/>
                <w:sz w:val="18"/>
              </w:rPr>
              <w:t>Dr Saskia Roberts - Medical Director LMC</w:t>
            </w:r>
          </w:p>
        </w:tc>
      </w:tr>
      <w:tr>
        <w:trPr>
          <w:trHeight w:val="650" w:hRule="atLeast"/>
        </w:trPr>
        <w:tc>
          <w:tcPr>
            <w:tcW w:w="300" w:type="dxa"/>
            <w:shd w:val="clear" w:color="auto" w:fill="808080"/>
            <w:textDirection w:val="tbRl"/>
          </w:tcPr>
          <w:p>
            <w:pPr>
              <w:pStyle w:val="TableParagraph"/>
              <w:spacing w:before="59"/>
              <w:ind w:right="23"/>
              <w:jc w:val="center"/>
              <w:rPr>
                <w:rFonts w:ascii="Times New Roman" w:hAnsi="Times New Roman"/>
                <w:b/>
                <w:sz w:val="18"/>
              </w:rPr>
            </w:pPr>
            <w:r>
              <w:rPr>
                <w:rFonts w:ascii="Times New Roman" w:hAnsi="Times New Roman"/>
                <w:b/>
                <w:sz w:val="18"/>
              </w:rPr>
              <w:t></w:t>
            </w:r>
          </w:p>
        </w:tc>
        <w:tc>
          <w:tcPr>
            <w:tcW w:w="300" w:type="dxa"/>
            <w:shd w:val="clear" w:color="auto" w:fill="808080"/>
            <w:textDirection w:val="tbRl"/>
          </w:tcPr>
          <w:p>
            <w:pPr>
              <w:pStyle w:val="TableParagraph"/>
              <w:spacing w:before="59"/>
              <w:ind w:right="23"/>
              <w:jc w:val="center"/>
              <w:rPr>
                <w:rFonts w:ascii="Times New Roman" w:hAnsi="Times New Roman"/>
                <w:b/>
                <w:sz w:val="18"/>
              </w:rPr>
            </w:pPr>
            <w:r>
              <w:rPr>
                <w:rFonts w:ascii="Times New Roman" w:hAnsi="Times New Roman"/>
                <w:b/>
                <w:sz w:val="18"/>
              </w:rPr>
              <w:t></w:t>
            </w:r>
          </w:p>
        </w:tc>
        <w:tc>
          <w:tcPr>
            <w:tcW w:w="300" w:type="dxa"/>
            <w:vMerge/>
            <w:tcBorders>
              <w:top w:val="nil"/>
            </w:tcBorders>
            <w:textDirection w:val="tbRl"/>
          </w:tcPr>
          <w:p>
            <w:pPr>
              <w:rPr>
                <w:sz w:val="2"/>
                <w:szCs w:val="2"/>
              </w:rPr>
            </w:pPr>
          </w:p>
        </w:tc>
        <w:tc>
          <w:tcPr>
            <w:tcW w:w="300" w:type="dxa"/>
            <w:shd w:val="clear" w:color="auto" w:fill="808080"/>
            <w:textDirection w:val="tbRl"/>
          </w:tcPr>
          <w:p>
            <w:pPr>
              <w:pStyle w:val="TableParagraph"/>
              <w:spacing w:before="59"/>
              <w:ind w:right="23"/>
              <w:jc w:val="center"/>
              <w:rPr>
                <w:rFonts w:ascii="Times New Roman" w:hAnsi="Times New Roman"/>
                <w:b/>
                <w:sz w:val="18"/>
              </w:rPr>
            </w:pPr>
            <w:r>
              <w:rPr>
                <w:rFonts w:ascii="Times New Roman" w:hAnsi="Times New Roman"/>
                <w:b/>
                <w:sz w:val="18"/>
              </w:rPr>
              <w:t></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89" w:type="dxa"/>
            <w:shd w:val="clear" w:color="auto" w:fill="C5DFB4"/>
          </w:tcPr>
          <w:p>
            <w:pPr>
              <w:pStyle w:val="TableParagraph"/>
              <w:spacing w:line="244" w:lineRule="auto" w:before="126"/>
              <w:ind w:left="129" w:right="99" w:firstLine="9"/>
              <w:rPr>
                <w:b/>
                <w:sz w:val="18"/>
              </w:rPr>
            </w:pPr>
            <w:r>
              <w:rPr>
                <w:b/>
                <w:sz w:val="18"/>
              </w:rPr>
              <w:t>Chris Clarke Snr Commissioning Manager - NHSE (up to Jun 2021)</w:t>
            </w:r>
          </w:p>
        </w:tc>
      </w:tr>
      <w:tr>
        <w:trPr>
          <w:trHeight w:val="688" w:hRule="atLeast"/>
        </w:trPr>
        <w:tc>
          <w:tcPr>
            <w:tcW w:w="300" w:type="dxa"/>
            <w:textDirection w:val="tbRl"/>
          </w:tcPr>
          <w:p>
            <w:pPr>
              <w:pStyle w:val="TableParagraph"/>
              <w:spacing w:before="59"/>
              <w:ind w:left="1"/>
              <w:jc w:val="center"/>
              <w:rPr>
                <w:b/>
                <w:sz w:val="18"/>
              </w:rPr>
            </w:pPr>
            <w:r>
              <w:rPr>
                <w:b/>
                <w:sz w:val="18"/>
              </w:rPr>
              <w:t>x</w:t>
            </w:r>
          </w:p>
        </w:tc>
        <w:tc>
          <w:tcPr>
            <w:tcW w:w="300" w:type="dxa"/>
            <w:textDirection w:val="tbRl"/>
          </w:tcPr>
          <w:p>
            <w:pPr>
              <w:pStyle w:val="TableParagraph"/>
              <w:spacing w:before="59"/>
              <w:ind w:left="1"/>
              <w:jc w:val="center"/>
              <w:rPr>
                <w:b/>
                <w:sz w:val="18"/>
              </w:rPr>
            </w:pPr>
            <w:r>
              <w:rPr>
                <w:b/>
                <w:sz w:val="18"/>
              </w:rPr>
              <w:t>x</w:t>
            </w:r>
          </w:p>
        </w:tc>
        <w:tc>
          <w:tcPr>
            <w:tcW w:w="300" w:type="dxa"/>
            <w:vMerge/>
            <w:tcBorders>
              <w:top w:val="nil"/>
            </w:tcBorders>
            <w:textDirection w:val="tbRl"/>
          </w:tcPr>
          <w:p>
            <w:pPr>
              <w:rPr>
                <w:sz w:val="2"/>
                <w:szCs w:val="2"/>
              </w:rPr>
            </w:pPr>
          </w:p>
        </w:tc>
        <w:tc>
          <w:tcPr>
            <w:tcW w:w="300" w:type="dxa"/>
            <w:textDirection w:val="tbRl"/>
          </w:tcPr>
          <w:p>
            <w:pPr>
              <w:pStyle w:val="TableParagraph"/>
              <w:spacing w:before="68"/>
              <w:jc w:val="center"/>
              <w:rPr>
                <w:rFonts w:ascii="Wingdings" w:hAnsi="Wingdings"/>
                <w:sz w:val="18"/>
              </w:rPr>
            </w:pPr>
            <w:r>
              <w:rPr>
                <w:rFonts w:ascii="Wingdings" w:hAnsi="Wingdings"/>
                <w:sz w:val="18"/>
              </w:rPr>
              <w:t></w:t>
            </w:r>
          </w:p>
        </w:tc>
        <w:tc>
          <w:tcPr>
            <w:tcW w:w="300" w:type="dxa"/>
            <w:shd w:val="clear" w:color="auto" w:fill="808080"/>
            <w:textDirection w:val="tbRl"/>
          </w:tcPr>
          <w:p>
            <w:pPr>
              <w:pStyle w:val="TableParagraph"/>
              <w:spacing w:before="59"/>
              <w:ind w:right="18"/>
              <w:jc w:val="center"/>
              <w:rPr>
                <w:rFonts w:ascii="Times New Roman" w:hAnsi="Times New Roman"/>
                <w:b/>
                <w:sz w:val="18"/>
              </w:rPr>
            </w:pPr>
            <w:r>
              <w:rPr>
                <w:rFonts w:ascii="Times New Roman" w:hAnsi="Times New Roman"/>
                <w:b/>
                <w:sz w:val="18"/>
              </w:rPr>
              <w:t></w:t>
            </w:r>
          </w:p>
        </w:tc>
        <w:tc>
          <w:tcPr>
            <w:tcW w:w="300" w:type="dxa"/>
            <w:shd w:val="clear" w:color="auto" w:fill="808080"/>
            <w:textDirection w:val="tbRl"/>
          </w:tcPr>
          <w:p>
            <w:pPr>
              <w:pStyle w:val="TableParagraph"/>
              <w:spacing w:before="59"/>
              <w:ind w:right="18"/>
              <w:jc w:val="center"/>
              <w:rPr>
                <w:rFonts w:ascii="Times New Roman" w:hAnsi="Times New Roman"/>
                <w:b/>
                <w:sz w:val="18"/>
              </w:rPr>
            </w:pPr>
            <w:r>
              <w:rPr>
                <w:rFonts w:ascii="Times New Roman" w:hAnsi="Times New Roman"/>
                <w:b/>
                <w:sz w:val="18"/>
              </w:rPr>
              <w:t></w:t>
            </w:r>
          </w:p>
        </w:tc>
        <w:tc>
          <w:tcPr>
            <w:tcW w:w="3089" w:type="dxa"/>
            <w:shd w:val="clear" w:color="auto" w:fill="C5DFB4"/>
          </w:tcPr>
          <w:p>
            <w:pPr>
              <w:pStyle w:val="TableParagraph"/>
              <w:spacing w:line="247" w:lineRule="auto" w:before="162"/>
              <w:ind w:left="465" w:right="34" w:hanging="401"/>
              <w:rPr>
                <w:b/>
                <w:sz w:val="18"/>
              </w:rPr>
            </w:pPr>
            <w:r>
              <w:rPr>
                <w:b/>
                <w:sz w:val="18"/>
              </w:rPr>
              <w:t>David Iley - Senior Commissioning Manager (from Aug 2021)</w:t>
            </w:r>
          </w:p>
        </w:tc>
      </w:tr>
      <w:tr>
        <w:trPr>
          <w:trHeight w:val="650" w:hRule="atLeast"/>
        </w:trPr>
        <w:tc>
          <w:tcPr>
            <w:tcW w:w="300" w:type="dxa"/>
            <w:textDirection w:val="tbRl"/>
          </w:tcPr>
          <w:p>
            <w:pPr>
              <w:pStyle w:val="TableParagraph"/>
              <w:spacing w:before="68"/>
              <w:ind w:left="4"/>
              <w:jc w:val="center"/>
              <w:rPr>
                <w:rFonts w:ascii="Wingdings" w:hAnsi="Wingdings"/>
                <w:sz w:val="18"/>
              </w:rPr>
            </w:pPr>
            <w:r>
              <w:rPr>
                <w:rFonts w:ascii="Wingdings" w:hAnsi="Wingdings"/>
                <w:sz w:val="18"/>
              </w:rPr>
              <w:t></w:t>
            </w:r>
          </w:p>
        </w:tc>
        <w:tc>
          <w:tcPr>
            <w:tcW w:w="300" w:type="dxa"/>
            <w:textDirection w:val="tbRl"/>
          </w:tcPr>
          <w:p>
            <w:pPr>
              <w:pStyle w:val="TableParagraph"/>
              <w:spacing w:before="68"/>
              <w:ind w:left="4"/>
              <w:jc w:val="center"/>
              <w:rPr>
                <w:rFonts w:ascii="Wingdings" w:hAnsi="Wingdings"/>
                <w:sz w:val="18"/>
              </w:rPr>
            </w:pPr>
            <w:r>
              <w:rPr>
                <w:rFonts w:ascii="Wingdings" w:hAnsi="Wingdings"/>
                <w:sz w:val="18"/>
              </w:rPr>
              <w:t></w:t>
            </w:r>
          </w:p>
        </w:tc>
        <w:tc>
          <w:tcPr>
            <w:tcW w:w="300" w:type="dxa"/>
            <w:vMerge/>
            <w:tcBorders>
              <w:top w:val="nil"/>
            </w:tcBorders>
            <w:textDirection w:val="tbRl"/>
          </w:tcPr>
          <w:p>
            <w:pPr>
              <w:rPr>
                <w:sz w:val="2"/>
                <w:szCs w:val="2"/>
              </w:rPr>
            </w:pPr>
          </w:p>
        </w:tc>
        <w:tc>
          <w:tcPr>
            <w:tcW w:w="300" w:type="dxa"/>
            <w:vMerge w:val="restart"/>
            <w:textDirection w:val="tbRl"/>
          </w:tcPr>
          <w:p>
            <w:pPr>
              <w:pStyle w:val="TableParagraph"/>
              <w:tabs>
                <w:tab w:pos="906" w:val="left" w:leader="none"/>
              </w:tabs>
              <w:spacing w:before="59"/>
              <w:ind w:left="275"/>
              <w:rPr>
                <w:b/>
                <w:sz w:val="18"/>
              </w:rPr>
            </w:pPr>
            <w:r>
              <w:rPr>
                <w:b/>
                <w:sz w:val="18"/>
              </w:rPr>
              <w:t>x</w:t>
              <w:tab/>
              <w:t>x</w:t>
            </w:r>
          </w:p>
        </w:tc>
        <w:tc>
          <w:tcPr>
            <w:tcW w:w="300" w:type="dxa"/>
            <w:textDirection w:val="tbRl"/>
          </w:tcPr>
          <w:p>
            <w:pPr>
              <w:pStyle w:val="TableParagraph"/>
              <w:spacing w:before="59"/>
              <w:ind w:left="1"/>
              <w:jc w:val="center"/>
              <w:rPr>
                <w:b/>
                <w:sz w:val="18"/>
              </w:rPr>
            </w:pPr>
            <w:r>
              <w:rPr>
                <w:b/>
                <w:sz w:val="18"/>
              </w:rPr>
              <w:t>x</w:t>
            </w:r>
          </w:p>
        </w:tc>
        <w:tc>
          <w:tcPr>
            <w:tcW w:w="300" w:type="dxa"/>
          </w:tcPr>
          <w:p>
            <w:pPr>
              <w:pStyle w:val="TableParagraph"/>
              <w:rPr>
                <w:rFonts w:ascii="Times New Roman"/>
                <w:sz w:val="18"/>
              </w:rPr>
            </w:pPr>
          </w:p>
        </w:tc>
        <w:tc>
          <w:tcPr>
            <w:tcW w:w="3089" w:type="dxa"/>
            <w:shd w:val="clear" w:color="auto" w:fill="C5DFB4"/>
          </w:tcPr>
          <w:p>
            <w:pPr>
              <w:pStyle w:val="TableParagraph"/>
              <w:spacing w:line="247" w:lineRule="auto" w:before="123"/>
              <w:ind w:left="280" w:right="7" w:hanging="240"/>
              <w:rPr>
                <w:b/>
                <w:sz w:val="18"/>
              </w:rPr>
            </w:pPr>
            <w:r>
              <w:rPr>
                <w:b/>
                <w:sz w:val="18"/>
              </w:rPr>
              <w:t>Helen Philips Head of Primary Care (Nth Yorks &amp; Humber) NHSE/I</w:t>
            </w:r>
          </w:p>
        </w:tc>
      </w:tr>
      <w:tr>
        <w:trPr>
          <w:trHeight w:val="590" w:hRule="atLeast"/>
        </w:trPr>
        <w:tc>
          <w:tcPr>
            <w:tcW w:w="300" w:type="dxa"/>
            <w:textDirection w:val="tbRl"/>
          </w:tcPr>
          <w:p>
            <w:pPr>
              <w:pStyle w:val="TableParagraph"/>
              <w:spacing w:before="59"/>
              <w:ind w:left="4"/>
              <w:jc w:val="center"/>
              <w:rPr>
                <w:b/>
                <w:sz w:val="18"/>
              </w:rPr>
            </w:pPr>
            <w:r>
              <w:rPr>
                <w:b/>
                <w:sz w:val="18"/>
              </w:rPr>
              <w:t>x</w:t>
            </w:r>
          </w:p>
        </w:tc>
        <w:tc>
          <w:tcPr>
            <w:tcW w:w="300" w:type="dxa"/>
            <w:textDirection w:val="tbRl"/>
          </w:tcPr>
          <w:p>
            <w:pPr>
              <w:pStyle w:val="TableParagraph"/>
              <w:spacing w:before="59"/>
              <w:ind w:left="4"/>
              <w:jc w:val="center"/>
              <w:rPr>
                <w:b/>
                <w:sz w:val="18"/>
              </w:rPr>
            </w:pPr>
            <w:r>
              <w:rPr>
                <w:b/>
                <w:sz w:val="18"/>
              </w:rPr>
              <w:t>x</w:t>
            </w:r>
          </w:p>
        </w:tc>
        <w:tc>
          <w:tcPr>
            <w:tcW w:w="300" w:type="dxa"/>
            <w:vMerge/>
            <w:tcBorders>
              <w:top w:val="nil"/>
            </w:tcBorders>
            <w:textDirection w:val="tbRl"/>
          </w:tcPr>
          <w:p>
            <w:pPr>
              <w:rPr>
                <w:sz w:val="2"/>
                <w:szCs w:val="2"/>
              </w:rPr>
            </w:pPr>
          </w:p>
        </w:tc>
        <w:tc>
          <w:tcPr>
            <w:tcW w:w="300" w:type="dxa"/>
            <w:vMerge/>
            <w:tcBorders>
              <w:top w:val="nil"/>
            </w:tcBorders>
            <w:textDirection w:val="tbRl"/>
          </w:tcPr>
          <w:p>
            <w:pPr>
              <w:rPr>
                <w:sz w:val="2"/>
                <w:szCs w:val="2"/>
              </w:rPr>
            </w:pPr>
          </w:p>
        </w:tc>
        <w:tc>
          <w:tcPr>
            <w:tcW w:w="300" w:type="dxa"/>
            <w:textDirection w:val="tbRl"/>
          </w:tcPr>
          <w:p>
            <w:pPr>
              <w:pStyle w:val="TableParagraph"/>
              <w:spacing w:before="59"/>
              <w:ind w:left="4"/>
              <w:jc w:val="center"/>
              <w:rPr>
                <w:b/>
                <w:sz w:val="18"/>
              </w:rPr>
            </w:pPr>
            <w:r>
              <w:rPr>
                <w:b/>
                <w:sz w:val="18"/>
              </w:rPr>
              <w:t>x</w:t>
            </w:r>
          </w:p>
        </w:tc>
        <w:tc>
          <w:tcPr>
            <w:tcW w:w="300" w:type="dxa"/>
          </w:tcPr>
          <w:p>
            <w:pPr>
              <w:pStyle w:val="TableParagraph"/>
              <w:rPr>
                <w:rFonts w:ascii="Times New Roman"/>
                <w:sz w:val="18"/>
              </w:rPr>
            </w:pPr>
          </w:p>
        </w:tc>
        <w:tc>
          <w:tcPr>
            <w:tcW w:w="3089" w:type="dxa"/>
            <w:shd w:val="clear" w:color="auto" w:fill="C5DFB4"/>
          </w:tcPr>
          <w:p>
            <w:pPr>
              <w:pStyle w:val="TableParagraph"/>
              <w:spacing w:line="244" w:lineRule="auto" w:before="109"/>
              <w:ind w:left="1254" w:right="24" w:hanging="1200"/>
              <w:rPr>
                <w:b/>
                <w:sz w:val="18"/>
              </w:rPr>
            </w:pPr>
            <w:r>
              <w:rPr>
                <w:b/>
                <w:sz w:val="18"/>
              </w:rPr>
              <w:t>Louise Tilley Deputy Chief Finance Officer</w:t>
            </w:r>
          </w:p>
        </w:tc>
      </w:tr>
      <w:tr>
        <w:trPr>
          <w:trHeight w:val="628" w:hRule="atLeast"/>
        </w:trPr>
        <w:tc>
          <w:tcPr>
            <w:tcW w:w="300" w:type="dxa"/>
            <w:textDirection w:val="tbRl"/>
          </w:tcPr>
          <w:p>
            <w:pPr>
              <w:pStyle w:val="TableParagraph"/>
              <w:spacing w:before="68"/>
              <w:ind w:left="7"/>
              <w:jc w:val="center"/>
              <w:rPr>
                <w:rFonts w:ascii="Wingdings" w:hAnsi="Wingdings"/>
                <w:sz w:val="18"/>
              </w:rPr>
            </w:pPr>
            <w:r>
              <w:rPr>
                <w:rFonts w:ascii="Wingdings" w:hAnsi="Wingdings"/>
                <w:sz w:val="18"/>
              </w:rPr>
              <w:t></w:t>
            </w:r>
          </w:p>
        </w:tc>
        <w:tc>
          <w:tcPr>
            <w:tcW w:w="300" w:type="dxa"/>
            <w:textDirection w:val="tbRl"/>
          </w:tcPr>
          <w:p>
            <w:pPr>
              <w:pStyle w:val="TableParagraph"/>
              <w:spacing w:before="68"/>
              <w:ind w:left="7"/>
              <w:jc w:val="center"/>
              <w:rPr>
                <w:rFonts w:ascii="Wingdings" w:hAnsi="Wingdings"/>
                <w:sz w:val="18"/>
              </w:rPr>
            </w:pPr>
            <w:r>
              <w:rPr>
                <w:rFonts w:ascii="Wingdings" w:hAnsi="Wingdings"/>
                <w:sz w:val="18"/>
              </w:rPr>
              <w:t></w:t>
            </w:r>
          </w:p>
        </w:tc>
        <w:tc>
          <w:tcPr>
            <w:tcW w:w="300" w:type="dxa"/>
            <w:vMerge/>
            <w:tcBorders>
              <w:top w:val="nil"/>
            </w:tcBorders>
            <w:textDirection w:val="tbRl"/>
          </w:tcPr>
          <w:p>
            <w:pPr>
              <w:rPr>
                <w:sz w:val="2"/>
                <w:szCs w:val="2"/>
              </w:rPr>
            </w:pPr>
          </w:p>
        </w:tc>
        <w:tc>
          <w:tcPr>
            <w:tcW w:w="300" w:type="dxa"/>
            <w:textDirection w:val="tbRl"/>
          </w:tcPr>
          <w:p>
            <w:pPr>
              <w:pStyle w:val="TableParagraph"/>
              <w:spacing w:before="68"/>
              <w:ind w:left="7"/>
              <w:jc w:val="center"/>
              <w:rPr>
                <w:rFonts w:ascii="Wingdings" w:hAnsi="Wingdings"/>
                <w:sz w:val="18"/>
              </w:rPr>
            </w:pPr>
            <w:r>
              <w:rPr>
                <w:rFonts w:ascii="Wingdings" w:hAnsi="Wingdings"/>
                <w:sz w:val="18"/>
              </w:rPr>
              <w:t></w:t>
            </w:r>
          </w:p>
        </w:tc>
        <w:tc>
          <w:tcPr>
            <w:tcW w:w="300" w:type="dxa"/>
            <w:textDirection w:val="tbRl"/>
          </w:tcPr>
          <w:p>
            <w:pPr>
              <w:pStyle w:val="TableParagraph"/>
              <w:spacing w:before="68"/>
              <w:ind w:left="7"/>
              <w:jc w:val="center"/>
              <w:rPr>
                <w:rFonts w:ascii="Wingdings" w:hAnsi="Wingdings"/>
                <w:sz w:val="18"/>
              </w:rPr>
            </w:pPr>
            <w:r>
              <w:rPr>
                <w:rFonts w:ascii="Wingdings" w:hAnsi="Wingdings"/>
                <w:sz w:val="18"/>
              </w:rPr>
              <w:t></w:t>
            </w:r>
          </w:p>
        </w:tc>
        <w:tc>
          <w:tcPr>
            <w:tcW w:w="300" w:type="dxa"/>
            <w:textDirection w:val="tbRl"/>
          </w:tcPr>
          <w:p>
            <w:pPr>
              <w:pStyle w:val="TableParagraph"/>
              <w:spacing w:before="68"/>
              <w:ind w:left="7"/>
              <w:jc w:val="center"/>
              <w:rPr>
                <w:rFonts w:ascii="Wingdings" w:hAnsi="Wingdings"/>
                <w:sz w:val="18"/>
              </w:rPr>
            </w:pPr>
            <w:r>
              <w:rPr>
                <w:rFonts w:ascii="Wingdings" w:hAnsi="Wingdings"/>
                <w:sz w:val="18"/>
              </w:rPr>
              <w:t></w:t>
            </w:r>
          </w:p>
        </w:tc>
        <w:tc>
          <w:tcPr>
            <w:tcW w:w="3089" w:type="dxa"/>
            <w:shd w:val="clear" w:color="auto" w:fill="C5DFB4"/>
          </w:tcPr>
          <w:p>
            <w:pPr>
              <w:pStyle w:val="TableParagraph"/>
              <w:spacing w:line="244" w:lineRule="auto" w:before="109"/>
              <w:ind w:left="659" w:right="84" w:hanging="545"/>
              <w:rPr>
                <w:b/>
                <w:sz w:val="18"/>
              </w:rPr>
            </w:pPr>
            <w:r>
              <w:rPr>
                <w:b/>
                <w:sz w:val="18"/>
              </w:rPr>
              <w:t>Erika Ellerington Head of Primary Care Transformation</w:t>
            </w:r>
          </w:p>
        </w:tc>
      </w:tr>
      <w:tr>
        <w:trPr>
          <w:trHeight w:val="551" w:hRule="atLeast"/>
        </w:trPr>
        <w:tc>
          <w:tcPr>
            <w:tcW w:w="300" w:type="dxa"/>
            <w:textDirection w:val="tbRl"/>
          </w:tcPr>
          <w:p>
            <w:pPr>
              <w:pStyle w:val="TableParagraph"/>
              <w:spacing w:before="68"/>
              <w:ind w:left="2"/>
              <w:jc w:val="center"/>
              <w:rPr>
                <w:rFonts w:ascii="Wingdings" w:hAnsi="Wingdings"/>
                <w:sz w:val="18"/>
              </w:rPr>
            </w:pPr>
            <w:r>
              <w:rPr>
                <w:rFonts w:ascii="Wingdings" w:hAnsi="Wingdings"/>
                <w:sz w:val="18"/>
              </w:rPr>
              <w:t></w:t>
            </w:r>
          </w:p>
        </w:tc>
        <w:tc>
          <w:tcPr>
            <w:tcW w:w="300" w:type="dxa"/>
            <w:textDirection w:val="tbRl"/>
          </w:tcPr>
          <w:p>
            <w:pPr>
              <w:pStyle w:val="TableParagraph"/>
              <w:spacing w:before="68"/>
              <w:ind w:left="2"/>
              <w:jc w:val="center"/>
              <w:rPr>
                <w:rFonts w:ascii="Wingdings" w:hAnsi="Wingdings"/>
                <w:sz w:val="18"/>
              </w:rPr>
            </w:pPr>
            <w:r>
              <w:rPr>
                <w:rFonts w:ascii="Wingdings" w:hAnsi="Wingdings"/>
                <w:sz w:val="18"/>
              </w:rPr>
              <w:t></w:t>
            </w:r>
          </w:p>
        </w:tc>
        <w:tc>
          <w:tcPr>
            <w:tcW w:w="300" w:type="dxa"/>
            <w:vMerge/>
            <w:tcBorders>
              <w:top w:val="nil"/>
            </w:tcBorders>
            <w:textDirection w:val="tbRl"/>
          </w:tcPr>
          <w:p>
            <w:pPr>
              <w:rPr>
                <w:sz w:val="2"/>
                <w:szCs w:val="2"/>
              </w:rPr>
            </w:pPr>
          </w:p>
        </w:tc>
        <w:tc>
          <w:tcPr>
            <w:tcW w:w="300" w:type="dxa"/>
            <w:textDirection w:val="tbRl"/>
          </w:tcPr>
          <w:p>
            <w:pPr>
              <w:pStyle w:val="TableParagraph"/>
              <w:spacing w:before="68"/>
              <w:ind w:left="2"/>
              <w:jc w:val="center"/>
              <w:rPr>
                <w:rFonts w:ascii="Wingdings" w:hAnsi="Wingdings"/>
                <w:sz w:val="18"/>
              </w:rPr>
            </w:pPr>
            <w:r>
              <w:rPr>
                <w:rFonts w:ascii="Wingdings" w:hAnsi="Wingdings"/>
                <w:sz w:val="18"/>
              </w:rPr>
              <w:t></w:t>
            </w:r>
          </w:p>
        </w:tc>
        <w:tc>
          <w:tcPr>
            <w:tcW w:w="300" w:type="dxa"/>
            <w:textDirection w:val="tbRl"/>
          </w:tcPr>
          <w:p>
            <w:pPr>
              <w:pStyle w:val="TableParagraph"/>
              <w:spacing w:before="68"/>
              <w:ind w:left="2"/>
              <w:jc w:val="center"/>
              <w:rPr>
                <w:rFonts w:ascii="Wingdings" w:hAnsi="Wingdings"/>
                <w:sz w:val="18"/>
              </w:rPr>
            </w:pPr>
            <w:r>
              <w:rPr>
                <w:rFonts w:ascii="Wingdings" w:hAnsi="Wingdings"/>
                <w:sz w:val="18"/>
              </w:rPr>
              <w:t></w:t>
            </w:r>
          </w:p>
        </w:tc>
        <w:tc>
          <w:tcPr>
            <w:tcW w:w="300" w:type="dxa"/>
          </w:tcPr>
          <w:p>
            <w:pPr>
              <w:pStyle w:val="TableParagraph"/>
              <w:rPr>
                <w:rFonts w:ascii="Times New Roman"/>
                <w:sz w:val="18"/>
              </w:rPr>
            </w:pPr>
          </w:p>
        </w:tc>
        <w:tc>
          <w:tcPr>
            <w:tcW w:w="3089" w:type="dxa"/>
            <w:shd w:val="clear" w:color="auto" w:fill="C5DFB4"/>
          </w:tcPr>
          <w:p>
            <w:pPr>
              <w:pStyle w:val="TableParagraph"/>
              <w:spacing w:line="244" w:lineRule="auto" w:before="107"/>
              <w:ind w:left="455" w:right="362" w:hanging="70"/>
              <w:rPr>
                <w:b/>
                <w:sz w:val="18"/>
              </w:rPr>
            </w:pPr>
            <w:r>
              <w:rPr>
                <w:b/>
                <w:sz w:val="18"/>
              </w:rPr>
              <w:t>Adam Ryley - Primary Care Manager - (in attendance)</w:t>
            </w:r>
          </w:p>
        </w:tc>
      </w:tr>
    </w:tbl>
    <w:p>
      <w:pPr>
        <w:rPr>
          <w:sz w:val="2"/>
          <w:szCs w:val="2"/>
        </w:rPr>
      </w:pPr>
      <w:r>
        <w:rPr/>
        <w:pict>
          <v:shape style="position:absolute;margin-left:507.620483pt;margin-top:53.959976pt;width:14.35pt;height:321.3pt;mso-position-horizontal-relative:page;mso-position-vertical-relative:page;z-index:251669504" type="#_x0000_t202" filled="false" stroked="false">
            <v:textbox inset="0,0,0,0" style="layout-flow:vertical">
              <w:txbxContent>
                <w:p>
                  <w:pPr>
                    <w:spacing w:before="13"/>
                    <w:ind w:left="20" w:right="0" w:firstLine="0"/>
                    <w:jc w:val="left"/>
                    <w:rPr>
                      <w:b/>
                      <w:sz w:val="22"/>
                    </w:rPr>
                  </w:pPr>
                  <w:r>
                    <w:rPr>
                      <w:b/>
                      <w:sz w:val="22"/>
                      <w:u w:val="thick"/>
                    </w:rPr>
                    <w:t>Primary Care Commissioning Committee - 01.04.21 - 31.03.22</w:t>
                  </w:r>
                </w:p>
              </w:txbxContent>
            </v:textbox>
            <w10:wrap type="none"/>
          </v:shape>
        </w:pict>
      </w:r>
      <w:r>
        <w:rPr/>
        <w:pict>
          <v:shape style="position:absolute;margin-left:175.160004pt;margin-top:53.959976pt;width:56.85pt;height:357.25pt;mso-position-horizontal-relative:page;mso-position-vertical-relative:page;z-index:251670528" type="#_x0000_t202" filled="false" stroked="false">
            <v:textbox inset="0,0,0,0" style="layout-flow:vertical">
              <w:txbxContent>
                <w:p>
                  <w:pPr>
                    <w:pStyle w:val="BodyText"/>
                    <w:spacing w:line="245" w:lineRule="exact"/>
                    <w:ind w:left="20"/>
                    <w:rPr>
                      <w:rFonts w:ascii="Calibri"/>
                    </w:rPr>
                  </w:pPr>
                  <w:r>
                    <w:rPr>
                      <w:rFonts w:ascii="Calibri"/>
                    </w:rPr>
                    <w:t>Saskia Roberts left LMC 30.04.21 -Simon Barratt to represent LMC wef 01.05.21</w:t>
                  </w:r>
                </w:p>
                <w:p>
                  <w:pPr>
                    <w:pStyle w:val="BodyText"/>
                    <w:spacing w:line="266" w:lineRule="auto" w:before="14"/>
                    <w:ind w:left="20" w:right="1045"/>
                    <w:rPr>
                      <w:rFonts w:ascii="Calibri"/>
                    </w:rPr>
                  </w:pPr>
                  <w:r>
                    <w:rPr>
                      <w:rFonts w:ascii="Calibri"/>
                    </w:rPr>
                    <w:t>Erica Ellerington Head of Primary Care Transformation wef 07.06.21 Chris Clarke - no longer rep after June 2021</w:t>
                  </w:r>
                </w:p>
                <w:p>
                  <w:pPr>
                    <w:pStyle w:val="BodyText"/>
                    <w:spacing w:line="265" w:lineRule="exact"/>
                    <w:ind w:left="20"/>
                    <w:rPr>
                      <w:rFonts w:ascii="Calibri"/>
                    </w:rPr>
                  </w:pPr>
                  <w:r>
                    <w:rPr>
                      <w:rFonts w:ascii="Calibri"/>
                    </w:rPr>
                    <w:t>David Iley - replaced Chris Clarke from August 2021</w:t>
                  </w:r>
                </w:p>
              </w:txbxContent>
            </v:textbox>
            <w10:wrap type="none"/>
          </v:shape>
        </w:pict>
      </w:r>
      <w:r>
        <w:rPr/>
        <w:pict>
          <v:shape style="position:absolute;margin-left:20.852774pt;margin-top:392.599976pt;width:12.1pt;height:35.6pt;mso-position-horizontal-relative:page;mso-position-vertical-relative:page;z-index:251671552" type="#_x0000_t202" filled="false" stroked="false">
            <v:textbox inset="0,0,0,0" style="layout-flow:vertical">
              <w:txbxContent>
                <w:p>
                  <w:pPr>
                    <w:spacing w:before="14"/>
                    <w:ind w:left="20" w:right="0" w:firstLine="0"/>
                    <w:jc w:val="left"/>
                    <w:rPr>
                      <w:sz w:val="18"/>
                    </w:rPr>
                  </w:pPr>
                  <w:r>
                    <w:rPr>
                      <w:sz w:val="18"/>
                    </w:rPr>
                    <w:t>Page 83</w:t>
                  </w:r>
                </w:p>
              </w:txbxContent>
            </v:textbox>
            <w10:wrap type="none"/>
          </v:shape>
        </w:pict>
      </w:r>
    </w:p>
    <w:p>
      <w:pPr>
        <w:spacing w:after="0"/>
        <w:rPr>
          <w:sz w:val="2"/>
          <w:szCs w:val="2"/>
        </w:rPr>
        <w:sectPr>
          <w:footerReference w:type="default" r:id="rId32"/>
          <w:pgSz w:w="11920" w:h="16850"/>
          <w:pgMar w:footer="0" w:header="0" w:top="960" w:bottom="280" w:left="760" w:right="420"/>
        </w:sectPr>
      </w:pPr>
    </w:p>
    <w:p>
      <w:pPr>
        <w:pStyle w:val="BodyText"/>
        <w:spacing w:before="11"/>
        <w:rPr>
          <w:b/>
        </w:rPr>
      </w:pPr>
    </w:p>
    <w:p>
      <w:pPr>
        <w:pStyle w:val="Heading6"/>
        <w:spacing w:before="93"/>
        <w:ind w:left="219"/>
      </w:pPr>
      <w:bookmarkStart w:name="Council of Members - 01.04.21 - 31.03.22" w:id="157"/>
      <w:bookmarkEnd w:id="157"/>
      <w:r>
        <w:rPr>
          <w:b w:val="0"/>
        </w:rPr>
      </w:r>
      <w:r>
        <w:rPr>
          <w:u w:val="thick"/>
        </w:rPr>
        <w:t>Council of Members - 01.04.21 - 31.03.22</w:t>
      </w:r>
    </w:p>
    <w:p>
      <w:pPr>
        <w:pStyle w:val="BodyText"/>
        <w:spacing w:before="6"/>
        <w:rPr>
          <w:b/>
          <w:sz w:val="28"/>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708"/>
        <w:gridCol w:w="715"/>
        <w:gridCol w:w="849"/>
        <w:gridCol w:w="707"/>
        <w:gridCol w:w="846"/>
        <w:gridCol w:w="709"/>
        <w:gridCol w:w="707"/>
        <w:gridCol w:w="709"/>
        <w:gridCol w:w="848"/>
        <w:gridCol w:w="848"/>
        <w:gridCol w:w="704"/>
        <w:gridCol w:w="850"/>
        <w:gridCol w:w="704"/>
        <w:gridCol w:w="706"/>
        <w:gridCol w:w="735"/>
        <w:gridCol w:w="430"/>
        <w:gridCol w:w="528"/>
        <w:gridCol w:w="706"/>
        <w:gridCol w:w="567"/>
      </w:tblGrid>
      <w:tr>
        <w:trPr>
          <w:trHeight w:val="2505" w:hRule="atLeast"/>
        </w:trPr>
        <w:tc>
          <w:tcPr>
            <w:tcW w:w="1272" w:type="dxa"/>
            <w:shd w:val="clear" w:color="auto" w:fill="C5DFB4"/>
            <w:textDirection w:val="btLr"/>
          </w:tcPr>
          <w:p>
            <w:pPr>
              <w:pStyle w:val="TableParagraph"/>
              <w:rPr>
                <w:b/>
                <w:sz w:val="20"/>
              </w:rPr>
            </w:pPr>
          </w:p>
          <w:p>
            <w:pPr>
              <w:pStyle w:val="TableParagraph"/>
              <w:rPr>
                <w:b/>
                <w:sz w:val="20"/>
              </w:rPr>
            </w:pPr>
          </w:p>
          <w:p>
            <w:pPr>
              <w:pStyle w:val="TableParagraph"/>
              <w:rPr>
                <w:b/>
                <w:sz w:val="20"/>
              </w:rPr>
            </w:pPr>
          </w:p>
          <w:p>
            <w:pPr>
              <w:pStyle w:val="TableParagraph"/>
              <w:spacing w:before="10"/>
              <w:rPr>
                <w:b/>
                <w:sz w:val="25"/>
              </w:rPr>
            </w:pPr>
          </w:p>
          <w:p>
            <w:pPr>
              <w:pStyle w:val="TableParagraph"/>
              <w:ind w:left="527"/>
              <w:rPr>
                <w:b/>
                <w:sz w:val="18"/>
              </w:rPr>
            </w:pPr>
            <w:r>
              <w:rPr>
                <w:b/>
                <w:sz w:val="18"/>
              </w:rPr>
              <w:t>Date of meetings</w:t>
            </w:r>
          </w:p>
        </w:tc>
        <w:tc>
          <w:tcPr>
            <w:tcW w:w="708" w:type="dxa"/>
            <w:shd w:val="clear" w:color="auto" w:fill="C5DFB4"/>
            <w:textDirection w:val="btLr"/>
          </w:tcPr>
          <w:p>
            <w:pPr>
              <w:pStyle w:val="TableParagraph"/>
              <w:rPr>
                <w:b/>
                <w:sz w:val="20"/>
              </w:rPr>
            </w:pPr>
          </w:p>
          <w:p>
            <w:pPr>
              <w:pStyle w:val="TableParagraph"/>
              <w:spacing w:before="174"/>
              <w:ind w:left="827" w:right="826"/>
              <w:jc w:val="center"/>
              <w:rPr>
                <w:b/>
                <w:sz w:val="18"/>
              </w:rPr>
            </w:pPr>
            <w:r>
              <w:rPr>
                <w:b/>
                <w:sz w:val="18"/>
              </w:rPr>
              <w:t>Ancora</w:t>
            </w:r>
          </w:p>
        </w:tc>
        <w:tc>
          <w:tcPr>
            <w:tcW w:w="715" w:type="dxa"/>
            <w:shd w:val="clear" w:color="auto" w:fill="C5DFB4"/>
            <w:textDirection w:val="btLr"/>
          </w:tcPr>
          <w:p>
            <w:pPr>
              <w:pStyle w:val="TableParagraph"/>
              <w:rPr>
                <w:b/>
                <w:sz w:val="20"/>
              </w:rPr>
            </w:pPr>
          </w:p>
          <w:p>
            <w:pPr>
              <w:pStyle w:val="TableParagraph"/>
              <w:spacing w:before="9"/>
              <w:rPr>
                <w:b/>
                <w:sz w:val="15"/>
              </w:rPr>
            </w:pPr>
          </w:p>
          <w:p>
            <w:pPr>
              <w:pStyle w:val="TableParagraph"/>
              <w:ind w:left="750"/>
              <w:rPr>
                <w:b/>
                <w:sz w:val="18"/>
              </w:rPr>
            </w:pPr>
            <w:r>
              <w:rPr>
                <w:b/>
                <w:sz w:val="18"/>
              </w:rPr>
              <w:t>Ashby Turn</w:t>
            </w:r>
          </w:p>
        </w:tc>
        <w:tc>
          <w:tcPr>
            <w:tcW w:w="849" w:type="dxa"/>
            <w:shd w:val="clear" w:color="auto" w:fill="C5DFB4"/>
            <w:textDirection w:val="btLr"/>
          </w:tcPr>
          <w:p>
            <w:pPr>
              <w:pStyle w:val="TableParagraph"/>
              <w:rPr>
                <w:b/>
                <w:sz w:val="20"/>
              </w:rPr>
            </w:pPr>
          </w:p>
          <w:p>
            <w:pPr>
              <w:pStyle w:val="TableParagraph"/>
              <w:spacing w:before="1"/>
              <w:rPr>
                <w:b/>
                <w:sz w:val="28"/>
              </w:rPr>
            </w:pPr>
          </w:p>
          <w:p>
            <w:pPr>
              <w:pStyle w:val="TableParagraph"/>
              <w:ind w:left="407"/>
              <w:rPr>
                <w:b/>
                <w:sz w:val="18"/>
              </w:rPr>
            </w:pPr>
            <w:r>
              <w:rPr>
                <w:b/>
                <w:sz w:val="18"/>
              </w:rPr>
              <w:t>Barnetby Dr Ahmed</w:t>
            </w:r>
          </w:p>
        </w:tc>
        <w:tc>
          <w:tcPr>
            <w:tcW w:w="707" w:type="dxa"/>
            <w:shd w:val="clear" w:color="auto" w:fill="C5DFB4"/>
            <w:textDirection w:val="btLr"/>
          </w:tcPr>
          <w:p>
            <w:pPr>
              <w:pStyle w:val="TableParagraph"/>
              <w:rPr>
                <w:b/>
                <w:sz w:val="20"/>
              </w:rPr>
            </w:pPr>
          </w:p>
          <w:p>
            <w:pPr>
              <w:pStyle w:val="TableParagraph"/>
              <w:spacing w:before="175"/>
              <w:ind w:left="826" w:right="826"/>
              <w:jc w:val="center"/>
              <w:rPr>
                <w:b/>
                <w:sz w:val="18"/>
              </w:rPr>
            </w:pPr>
            <w:r>
              <w:rPr>
                <w:b/>
                <w:sz w:val="18"/>
              </w:rPr>
              <w:t>Bridge St</w:t>
            </w:r>
          </w:p>
        </w:tc>
        <w:tc>
          <w:tcPr>
            <w:tcW w:w="846" w:type="dxa"/>
            <w:shd w:val="clear" w:color="auto" w:fill="C5DFB4"/>
            <w:textDirection w:val="btLr"/>
          </w:tcPr>
          <w:p>
            <w:pPr>
              <w:pStyle w:val="TableParagraph"/>
              <w:rPr>
                <w:b/>
                <w:sz w:val="20"/>
              </w:rPr>
            </w:pPr>
          </w:p>
          <w:p>
            <w:pPr>
              <w:pStyle w:val="TableParagraph"/>
              <w:spacing w:before="5"/>
              <w:rPr>
                <w:b/>
                <w:sz w:val="28"/>
              </w:rPr>
            </w:pPr>
          </w:p>
          <w:p>
            <w:pPr>
              <w:pStyle w:val="TableParagraph"/>
              <w:ind w:left="431"/>
              <w:rPr>
                <w:b/>
                <w:sz w:val="18"/>
              </w:rPr>
            </w:pPr>
            <w:r>
              <w:rPr>
                <w:b/>
                <w:sz w:val="18"/>
              </w:rPr>
              <w:t>Cambridge Avenue</w:t>
            </w:r>
          </w:p>
        </w:tc>
        <w:tc>
          <w:tcPr>
            <w:tcW w:w="709" w:type="dxa"/>
            <w:shd w:val="clear" w:color="auto" w:fill="C5DFB4"/>
            <w:textDirection w:val="btLr"/>
          </w:tcPr>
          <w:p>
            <w:pPr>
              <w:pStyle w:val="TableParagraph"/>
              <w:rPr>
                <w:b/>
                <w:sz w:val="20"/>
              </w:rPr>
            </w:pPr>
          </w:p>
          <w:p>
            <w:pPr>
              <w:pStyle w:val="TableParagraph"/>
              <w:spacing w:before="9"/>
              <w:rPr>
                <w:b/>
                <w:sz w:val="15"/>
              </w:rPr>
            </w:pPr>
          </w:p>
          <w:p>
            <w:pPr>
              <w:pStyle w:val="TableParagraph"/>
              <w:spacing w:before="1"/>
              <w:ind w:left="827" w:right="826"/>
              <w:jc w:val="center"/>
              <w:rPr>
                <w:b/>
                <w:sz w:val="18"/>
              </w:rPr>
            </w:pPr>
            <w:r>
              <w:rPr>
                <w:b/>
                <w:sz w:val="18"/>
              </w:rPr>
              <w:t>Cedars</w:t>
            </w:r>
          </w:p>
        </w:tc>
        <w:tc>
          <w:tcPr>
            <w:tcW w:w="707" w:type="dxa"/>
            <w:shd w:val="clear" w:color="auto" w:fill="C5DFB4"/>
            <w:textDirection w:val="btLr"/>
          </w:tcPr>
          <w:p>
            <w:pPr>
              <w:pStyle w:val="TableParagraph"/>
              <w:rPr>
                <w:b/>
                <w:sz w:val="20"/>
              </w:rPr>
            </w:pPr>
          </w:p>
          <w:p>
            <w:pPr>
              <w:pStyle w:val="TableParagraph"/>
              <w:spacing w:before="8"/>
              <w:rPr>
                <w:b/>
                <w:sz w:val="15"/>
              </w:rPr>
            </w:pPr>
          </w:p>
          <w:p>
            <w:pPr>
              <w:pStyle w:val="TableParagraph"/>
              <w:spacing w:before="1"/>
              <w:ind w:left="827" w:right="825"/>
              <w:jc w:val="center"/>
              <w:rPr>
                <w:b/>
                <w:sz w:val="18"/>
              </w:rPr>
            </w:pPr>
            <w:r>
              <w:rPr>
                <w:b/>
                <w:sz w:val="18"/>
              </w:rPr>
              <w:t>Central</w:t>
            </w:r>
          </w:p>
        </w:tc>
        <w:tc>
          <w:tcPr>
            <w:tcW w:w="709" w:type="dxa"/>
            <w:shd w:val="clear" w:color="auto" w:fill="C5DFB4"/>
            <w:textDirection w:val="btLr"/>
          </w:tcPr>
          <w:p>
            <w:pPr>
              <w:pStyle w:val="TableParagraph"/>
              <w:rPr>
                <w:b/>
                <w:sz w:val="20"/>
              </w:rPr>
            </w:pPr>
          </w:p>
          <w:p>
            <w:pPr>
              <w:pStyle w:val="TableParagraph"/>
              <w:spacing w:before="9"/>
              <w:rPr>
                <w:b/>
                <w:sz w:val="15"/>
              </w:rPr>
            </w:pPr>
          </w:p>
          <w:p>
            <w:pPr>
              <w:pStyle w:val="TableParagraph"/>
              <w:spacing w:before="1"/>
              <w:ind w:left="702"/>
              <w:rPr>
                <w:b/>
                <w:sz w:val="18"/>
              </w:rPr>
            </w:pPr>
            <w:r>
              <w:rPr>
                <w:b/>
                <w:sz w:val="18"/>
              </w:rPr>
              <w:t>Church Lane</w:t>
            </w:r>
          </w:p>
        </w:tc>
        <w:tc>
          <w:tcPr>
            <w:tcW w:w="848" w:type="dxa"/>
            <w:shd w:val="clear" w:color="auto" w:fill="C5DFB4"/>
            <w:textDirection w:val="btLr"/>
          </w:tcPr>
          <w:p>
            <w:pPr>
              <w:pStyle w:val="TableParagraph"/>
              <w:rPr>
                <w:b/>
                <w:sz w:val="20"/>
              </w:rPr>
            </w:pPr>
          </w:p>
          <w:p>
            <w:pPr>
              <w:pStyle w:val="TableParagraph"/>
              <w:spacing w:before="10"/>
              <w:rPr>
                <w:b/>
                <w:sz w:val="28"/>
              </w:rPr>
            </w:pPr>
          </w:p>
          <w:p>
            <w:pPr>
              <w:pStyle w:val="TableParagraph"/>
              <w:ind w:left="796"/>
              <w:rPr>
                <w:b/>
                <w:sz w:val="18"/>
              </w:rPr>
            </w:pPr>
            <w:r>
              <w:rPr>
                <w:b/>
                <w:sz w:val="18"/>
              </w:rPr>
              <w:t>Market Hill</w:t>
            </w:r>
          </w:p>
        </w:tc>
        <w:tc>
          <w:tcPr>
            <w:tcW w:w="848" w:type="dxa"/>
            <w:shd w:val="clear" w:color="auto" w:fill="C5DFB4"/>
            <w:textDirection w:val="btLr"/>
          </w:tcPr>
          <w:p>
            <w:pPr>
              <w:pStyle w:val="TableParagraph"/>
              <w:rPr>
                <w:b/>
                <w:sz w:val="20"/>
              </w:rPr>
            </w:pPr>
          </w:p>
          <w:p>
            <w:pPr>
              <w:pStyle w:val="TableParagraph"/>
              <w:spacing w:before="3"/>
              <w:rPr>
                <w:b/>
                <w:sz w:val="29"/>
              </w:rPr>
            </w:pPr>
          </w:p>
          <w:p>
            <w:pPr>
              <w:pStyle w:val="TableParagraph"/>
              <w:ind w:left="786"/>
              <w:rPr>
                <w:b/>
                <w:sz w:val="18"/>
              </w:rPr>
            </w:pPr>
            <w:r>
              <w:rPr>
                <w:b/>
                <w:sz w:val="18"/>
              </w:rPr>
              <w:t>Oswald Rd</w:t>
            </w:r>
          </w:p>
        </w:tc>
        <w:tc>
          <w:tcPr>
            <w:tcW w:w="704" w:type="dxa"/>
            <w:shd w:val="clear" w:color="auto" w:fill="C5DFB4"/>
            <w:textDirection w:val="btLr"/>
          </w:tcPr>
          <w:p>
            <w:pPr>
              <w:pStyle w:val="TableParagraph"/>
              <w:rPr>
                <w:b/>
                <w:sz w:val="20"/>
              </w:rPr>
            </w:pPr>
          </w:p>
          <w:p>
            <w:pPr>
              <w:pStyle w:val="TableParagraph"/>
              <w:spacing w:before="5"/>
              <w:rPr>
                <w:b/>
                <w:sz w:val="16"/>
              </w:rPr>
            </w:pPr>
          </w:p>
          <w:p>
            <w:pPr>
              <w:pStyle w:val="TableParagraph"/>
              <w:ind w:left="827" w:right="826"/>
              <w:jc w:val="center"/>
              <w:rPr>
                <w:b/>
                <w:sz w:val="18"/>
              </w:rPr>
            </w:pPr>
            <w:r>
              <w:rPr>
                <w:b/>
                <w:sz w:val="18"/>
              </w:rPr>
              <w:t>Riverside</w:t>
            </w:r>
          </w:p>
        </w:tc>
        <w:tc>
          <w:tcPr>
            <w:tcW w:w="850" w:type="dxa"/>
            <w:shd w:val="clear" w:color="auto" w:fill="C5DFB4"/>
            <w:textDirection w:val="btLr"/>
          </w:tcPr>
          <w:p>
            <w:pPr>
              <w:pStyle w:val="TableParagraph"/>
              <w:rPr>
                <w:b/>
                <w:sz w:val="20"/>
              </w:rPr>
            </w:pPr>
          </w:p>
          <w:p>
            <w:pPr>
              <w:pStyle w:val="TableParagraph"/>
              <w:spacing w:before="8"/>
              <w:rPr>
                <w:b/>
                <w:sz w:val="29"/>
              </w:rPr>
            </w:pPr>
          </w:p>
          <w:p>
            <w:pPr>
              <w:pStyle w:val="TableParagraph"/>
              <w:ind w:left="592"/>
              <w:rPr>
                <w:b/>
                <w:sz w:val="18"/>
              </w:rPr>
            </w:pPr>
            <w:r>
              <w:rPr>
                <w:b/>
                <w:sz w:val="18"/>
              </w:rPr>
              <w:t>South Axholme</w:t>
            </w:r>
          </w:p>
        </w:tc>
        <w:tc>
          <w:tcPr>
            <w:tcW w:w="704" w:type="dxa"/>
            <w:shd w:val="clear" w:color="auto" w:fill="C5DFB4"/>
            <w:textDirection w:val="btLr"/>
          </w:tcPr>
          <w:p>
            <w:pPr>
              <w:pStyle w:val="TableParagraph"/>
              <w:rPr>
                <w:b/>
                <w:sz w:val="20"/>
              </w:rPr>
            </w:pPr>
          </w:p>
          <w:p>
            <w:pPr>
              <w:pStyle w:val="TableParagraph"/>
              <w:spacing w:before="11"/>
              <w:rPr>
                <w:b/>
                <w:sz w:val="16"/>
              </w:rPr>
            </w:pPr>
          </w:p>
          <w:p>
            <w:pPr>
              <w:pStyle w:val="TableParagraph"/>
              <w:ind w:left="710"/>
              <w:rPr>
                <w:b/>
                <w:sz w:val="18"/>
              </w:rPr>
            </w:pPr>
            <w:r>
              <w:rPr>
                <w:b/>
                <w:sz w:val="18"/>
              </w:rPr>
              <w:t>Killingholme</w:t>
            </w:r>
          </w:p>
        </w:tc>
        <w:tc>
          <w:tcPr>
            <w:tcW w:w="706" w:type="dxa"/>
            <w:shd w:val="clear" w:color="auto" w:fill="C5DFB4"/>
            <w:textDirection w:val="btLr"/>
          </w:tcPr>
          <w:p>
            <w:pPr>
              <w:pStyle w:val="TableParagraph"/>
              <w:rPr>
                <w:b/>
                <w:sz w:val="20"/>
              </w:rPr>
            </w:pPr>
          </w:p>
          <w:p>
            <w:pPr>
              <w:pStyle w:val="TableParagraph"/>
              <w:spacing w:before="3"/>
              <w:rPr>
                <w:b/>
                <w:sz w:val="17"/>
              </w:rPr>
            </w:pPr>
          </w:p>
          <w:p>
            <w:pPr>
              <w:pStyle w:val="TableParagraph"/>
              <w:spacing w:before="1"/>
              <w:ind w:left="736"/>
              <w:rPr>
                <w:b/>
                <w:sz w:val="18"/>
              </w:rPr>
            </w:pPr>
            <w:r>
              <w:rPr>
                <w:b/>
                <w:sz w:val="18"/>
              </w:rPr>
              <w:t>The Birches</w:t>
            </w:r>
          </w:p>
        </w:tc>
        <w:tc>
          <w:tcPr>
            <w:tcW w:w="735" w:type="dxa"/>
            <w:shd w:val="clear" w:color="auto" w:fill="C5DFB4"/>
            <w:textDirection w:val="btLr"/>
          </w:tcPr>
          <w:p>
            <w:pPr>
              <w:pStyle w:val="TableParagraph"/>
              <w:rPr>
                <w:b/>
                <w:sz w:val="20"/>
              </w:rPr>
            </w:pPr>
          </w:p>
          <w:p>
            <w:pPr>
              <w:pStyle w:val="TableParagraph"/>
              <w:spacing w:before="2"/>
              <w:rPr>
                <w:b/>
                <w:sz w:val="20"/>
              </w:rPr>
            </w:pPr>
          </w:p>
          <w:p>
            <w:pPr>
              <w:pStyle w:val="TableParagraph"/>
              <w:ind w:left="465"/>
              <w:rPr>
                <w:b/>
                <w:sz w:val="18"/>
              </w:rPr>
            </w:pPr>
            <w:r>
              <w:rPr>
                <w:b/>
                <w:sz w:val="18"/>
              </w:rPr>
              <w:t>Kirton and Scotter</w:t>
            </w:r>
          </w:p>
        </w:tc>
        <w:tc>
          <w:tcPr>
            <w:tcW w:w="430" w:type="dxa"/>
            <w:shd w:val="clear" w:color="auto" w:fill="C5DFB4"/>
            <w:textDirection w:val="btLr"/>
          </w:tcPr>
          <w:p>
            <w:pPr>
              <w:pStyle w:val="TableParagraph"/>
              <w:spacing w:before="150"/>
              <w:ind w:left="796"/>
              <w:rPr>
                <w:b/>
                <w:sz w:val="18"/>
              </w:rPr>
            </w:pPr>
            <w:r>
              <w:rPr>
                <w:b/>
                <w:sz w:val="18"/>
              </w:rPr>
              <w:t>Trent View</w:t>
            </w:r>
          </w:p>
        </w:tc>
        <w:tc>
          <w:tcPr>
            <w:tcW w:w="528" w:type="dxa"/>
            <w:shd w:val="clear" w:color="auto" w:fill="C5DFB4"/>
            <w:textDirection w:val="btLr"/>
          </w:tcPr>
          <w:p>
            <w:pPr>
              <w:pStyle w:val="TableParagraph"/>
              <w:spacing w:before="4"/>
              <w:rPr>
                <w:b/>
                <w:sz w:val="22"/>
              </w:rPr>
            </w:pPr>
          </w:p>
          <w:p>
            <w:pPr>
              <w:pStyle w:val="TableParagraph"/>
              <w:ind w:left="386"/>
              <w:rPr>
                <w:b/>
                <w:sz w:val="18"/>
              </w:rPr>
            </w:pPr>
            <w:r>
              <w:rPr>
                <w:b/>
                <w:sz w:val="18"/>
              </w:rPr>
              <w:t>West Common Lane</w:t>
            </w:r>
          </w:p>
        </w:tc>
        <w:tc>
          <w:tcPr>
            <w:tcW w:w="706" w:type="dxa"/>
            <w:shd w:val="clear" w:color="auto" w:fill="C5DFB4"/>
            <w:textDirection w:val="btLr"/>
          </w:tcPr>
          <w:p>
            <w:pPr>
              <w:pStyle w:val="TableParagraph"/>
              <w:rPr>
                <w:b/>
                <w:sz w:val="20"/>
              </w:rPr>
            </w:pPr>
          </w:p>
          <w:p>
            <w:pPr>
              <w:pStyle w:val="TableParagraph"/>
              <w:rPr>
                <w:b/>
                <w:sz w:val="18"/>
              </w:rPr>
            </w:pPr>
          </w:p>
          <w:p>
            <w:pPr>
              <w:pStyle w:val="TableParagraph"/>
              <w:ind w:left="777"/>
              <w:rPr>
                <w:b/>
                <w:sz w:val="18"/>
              </w:rPr>
            </w:pPr>
            <w:r>
              <w:rPr>
                <w:b/>
                <w:sz w:val="18"/>
              </w:rPr>
              <w:t>West Town</w:t>
            </w:r>
          </w:p>
        </w:tc>
        <w:tc>
          <w:tcPr>
            <w:tcW w:w="567" w:type="dxa"/>
            <w:shd w:val="clear" w:color="auto" w:fill="C5DFB4"/>
            <w:textDirection w:val="btLr"/>
          </w:tcPr>
          <w:p>
            <w:pPr>
              <w:pStyle w:val="TableParagraph"/>
              <w:spacing w:before="1"/>
              <w:rPr>
                <w:b/>
                <w:sz w:val="26"/>
              </w:rPr>
            </w:pPr>
          </w:p>
          <w:p>
            <w:pPr>
              <w:pStyle w:val="TableParagraph"/>
              <w:ind w:left="832"/>
              <w:rPr>
                <w:b/>
                <w:sz w:val="18"/>
              </w:rPr>
            </w:pPr>
            <w:r>
              <w:rPr>
                <w:b/>
                <w:sz w:val="18"/>
              </w:rPr>
              <w:t>Winterton</w:t>
            </w:r>
          </w:p>
        </w:tc>
      </w:tr>
      <w:tr>
        <w:trPr>
          <w:trHeight w:val="280" w:hRule="atLeast"/>
        </w:trPr>
        <w:tc>
          <w:tcPr>
            <w:tcW w:w="1272" w:type="dxa"/>
          </w:tcPr>
          <w:p>
            <w:pPr>
              <w:pStyle w:val="TableParagraph"/>
              <w:spacing w:before="51"/>
              <w:ind w:left="112"/>
              <w:rPr>
                <w:b/>
                <w:sz w:val="18"/>
              </w:rPr>
            </w:pPr>
            <w:r>
              <w:rPr>
                <w:b/>
                <w:sz w:val="18"/>
              </w:rPr>
              <w:t>22.04.21</w:t>
            </w:r>
          </w:p>
        </w:tc>
        <w:tc>
          <w:tcPr>
            <w:tcW w:w="708" w:type="dxa"/>
          </w:tcPr>
          <w:p>
            <w:pPr>
              <w:pStyle w:val="TableParagraph"/>
              <w:spacing w:line="199" w:lineRule="exact" w:before="61"/>
              <w:ind w:right="264"/>
              <w:jc w:val="right"/>
              <w:rPr>
                <w:rFonts w:ascii="Wingdings" w:hAnsi="Wingdings"/>
                <w:sz w:val="18"/>
              </w:rPr>
            </w:pPr>
            <w:r>
              <w:rPr>
                <w:rFonts w:ascii="Wingdings" w:hAnsi="Wingdings"/>
                <w:sz w:val="18"/>
              </w:rPr>
              <w:t></w:t>
            </w:r>
          </w:p>
        </w:tc>
        <w:tc>
          <w:tcPr>
            <w:tcW w:w="715" w:type="dxa"/>
          </w:tcPr>
          <w:p>
            <w:pPr>
              <w:pStyle w:val="TableParagraph"/>
              <w:spacing w:line="199" w:lineRule="exact" w:before="61"/>
              <w:ind w:left="17"/>
              <w:jc w:val="center"/>
              <w:rPr>
                <w:rFonts w:ascii="Wingdings" w:hAnsi="Wingdings"/>
                <w:sz w:val="18"/>
              </w:rPr>
            </w:pPr>
            <w:r>
              <w:rPr>
                <w:rFonts w:ascii="Wingdings" w:hAnsi="Wingdings"/>
                <w:sz w:val="18"/>
              </w:rPr>
              <w:t></w:t>
            </w:r>
          </w:p>
        </w:tc>
        <w:tc>
          <w:tcPr>
            <w:tcW w:w="849" w:type="dxa"/>
          </w:tcPr>
          <w:p>
            <w:pPr>
              <w:pStyle w:val="TableParagraph"/>
              <w:spacing w:line="199" w:lineRule="exact" w:before="61"/>
              <w:ind w:left="17"/>
              <w:jc w:val="center"/>
              <w:rPr>
                <w:rFonts w:ascii="Wingdings" w:hAnsi="Wingdings"/>
                <w:sz w:val="18"/>
              </w:rPr>
            </w:pPr>
            <w:r>
              <w:rPr>
                <w:rFonts w:ascii="Wingdings" w:hAnsi="Wingdings"/>
                <w:sz w:val="18"/>
              </w:rPr>
              <w:t></w:t>
            </w:r>
          </w:p>
        </w:tc>
        <w:tc>
          <w:tcPr>
            <w:tcW w:w="707" w:type="dxa"/>
          </w:tcPr>
          <w:p>
            <w:pPr>
              <w:pStyle w:val="TableParagraph"/>
              <w:spacing w:line="199" w:lineRule="exact" w:before="61"/>
              <w:ind w:left="288"/>
              <w:rPr>
                <w:rFonts w:ascii="Wingdings" w:hAnsi="Wingdings"/>
                <w:sz w:val="18"/>
              </w:rPr>
            </w:pPr>
            <w:r>
              <w:rPr>
                <w:rFonts w:ascii="Wingdings" w:hAnsi="Wingdings"/>
                <w:sz w:val="18"/>
              </w:rPr>
              <w:t></w:t>
            </w:r>
          </w:p>
        </w:tc>
        <w:tc>
          <w:tcPr>
            <w:tcW w:w="846" w:type="dxa"/>
          </w:tcPr>
          <w:p>
            <w:pPr>
              <w:pStyle w:val="TableParagraph"/>
              <w:spacing w:line="199" w:lineRule="exact" w:before="61"/>
              <w:ind w:left="19"/>
              <w:jc w:val="center"/>
              <w:rPr>
                <w:rFonts w:ascii="Wingdings" w:hAnsi="Wingdings"/>
                <w:sz w:val="18"/>
              </w:rPr>
            </w:pPr>
            <w:r>
              <w:rPr>
                <w:rFonts w:ascii="Wingdings" w:hAnsi="Wingdings"/>
                <w:sz w:val="18"/>
              </w:rPr>
              <w:t></w:t>
            </w:r>
          </w:p>
        </w:tc>
        <w:tc>
          <w:tcPr>
            <w:tcW w:w="709" w:type="dxa"/>
          </w:tcPr>
          <w:p>
            <w:pPr>
              <w:pStyle w:val="TableParagraph"/>
              <w:spacing w:line="199" w:lineRule="exact" w:before="61"/>
              <w:ind w:right="257"/>
              <w:jc w:val="right"/>
              <w:rPr>
                <w:rFonts w:ascii="Wingdings" w:hAnsi="Wingdings"/>
                <w:sz w:val="18"/>
              </w:rPr>
            </w:pPr>
            <w:r>
              <w:rPr>
                <w:rFonts w:ascii="Wingdings" w:hAnsi="Wingdings"/>
                <w:sz w:val="18"/>
              </w:rPr>
              <w:t></w:t>
            </w:r>
          </w:p>
        </w:tc>
        <w:tc>
          <w:tcPr>
            <w:tcW w:w="707" w:type="dxa"/>
          </w:tcPr>
          <w:p>
            <w:pPr>
              <w:pStyle w:val="TableParagraph"/>
              <w:spacing w:line="199" w:lineRule="exact" w:before="61"/>
              <w:ind w:right="258"/>
              <w:jc w:val="right"/>
              <w:rPr>
                <w:rFonts w:ascii="Wingdings" w:hAnsi="Wingdings"/>
                <w:sz w:val="18"/>
              </w:rPr>
            </w:pPr>
            <w:r>
              <w:rPr>
                <w:rFonts w:ascii="Wingdings" w:hAnsi="Wingdings"/>
                <w:sz w:val="18"/>
              </w:rPr>
              <w:t></w:t>
            </w:r>
          </w:p>
        </w:tc>
        <w:tc>
          <w:tcPr>
            <w:tcW w:w="709" w:type="dxa"/>
          </w:tcPr>
          <w:p>
            <w:pPr>
              <w:pStyle w:val="TableParagraph"/>
              <w:spacing w:before="51"/>
              <w:ind w:left="30"/>
              <w:jc w:val="center"/>
              <w:rPr>
                <w:b/>
                <w:sz w:val="18"/>
              </w:rPr>
            </w:pPr>
            <w:r>
              <w:rPr>
                <w:b/>
                <w:sz w:val="18"/>
              </w:rPr>
              <w:t>x</w:t>
            </w:r>
          </w:p>
        </w:tc>
        <w:tc>
          <w:tcPr>
            <w:tcW w:w="848" w:type="dxa"/>
          </w:tcPr>
          <w:p>
            <w:pPr>
              <w:pStyle w:val="TableParagraph"/>
              <w:spacing w:line="199" w:lineRule="exact" w:before="61"/>
              <w:ind w:left="36"/>
              <w:jc w:val="center"/>
              <w:rPr>
                <w:rFonts w:ascii="Wingdings" w:hAnsi="Wingdings"/>
                <w:sz w:val="18"/>
              </w:rPr>
            </w:pPr>
            <w:r>
              <w:rPr>
                <w:rFonts w:ascii="Wingdings" w:hAnsi="Wingdings"/>
                <w:sz w:val="18"/>
              </w:rPr>
              <w:t></w:t>
            </w:r>
          </w:p>
        </w:tc>
        <w:tc>
          <w:tcPr>
            <w:tcW w:w="848" w:type="dxa"/>
          </w:tcPr>
          <w:p>
            <w:pPr>
              <w:pStyle w:val="TableParagraph"/>
              <w:spacing w:line="199" w:lineRule="exact" w:before="61"/>
              <w:ind w:right="323"/>
              <w:jc w:val="right"/>
              <w:rPr>
                <w:rFonts w:ascii="Wingdings" w:hAnsi="Wingdings"/>
                <w:sz w:val="18"/>
              </w:rPr>
            </w:pPr>
            <w:r>
              <w:rPr>
                <w:rFonts w:ascii="Wingdings" w:hAnsi="Wingdings"/>
                <w:sz w:val="18"/>
              </w:rPr>
              <w:t></w:t>
            </w:r>
          </w:p>
        </w:tc>
        <w:tc>
          <w:tcPr>
            <w:tcW w:w="704" w:type="dxa"/>
          </w:tcPr>
          <w:p>
            <w:pPr>
              <w:pStyle w:val="TableParagraph"/>
              <w:spacing w:line="199" w:lineRule="exact" w:before="61"/>
              <w:ind w:left="48"/>
              <w:jc w:val="center"/>
              <w:rPr>
                <w:rFonts w:ascii="Wingdings" w:hAnsi="Wingdings"/>
                <w:sz w:val="18"/>
              </w:rPr>
            </w:pPr>
            <w:r>
              <w:rPr>
                <w:rFonts w:ascii="Wingdings" w:hAnsi="Wingdings"/>
                <w:sz w:val="18"/>
              </w:rPr>
              <w:t></w:t>
            </w:r>
          </w:p>
        </w:tc>
        <w:tc>
          <w:tcPr>
            <w:tcW w:w="850" w:type="dxa"/>
          </w:tcPr>
          <w:p>
            <w:pPr>
              <w:pStyle w:val="TableParagraph"/>
              <w:spacing w:line="199" w:lineRule="exact" w:before="61"/>
              <w:ind w:left="58"/>
              <w:jc w:val="center"/>
              <w:rPr>
                <w:rFonts w:ascii="Wingdings" w:hAnsi="Wingdings"/>
                <w:sz w:val="18"/>
              </w:rPr>
            </w:pPr>
            <w:r>
              <w:rPr>
                <w:rFonts w:ascii="Wingdings" w:hAnsi="Wingdings"/>
                <w:sz w:val="18"/>
              </w:rPr>
              <w:t></w:t>
            </w:r>
          </w:p>
        </w:tc>
        <w:tc>
          <w:tcPr>
            <w:tcW w:w="704" w:type="dxa"/>
          </w:tcPr>
          <w:p>
            <w:pPr>
              <w:pStyle w:val="TableParagraph"/>
              <w:spacing w:line="199" w:lineRule="exact" w:before="61"/>
              <w:ind w:left="60"/>
              <w:jc w:val="center"/>
              <w:rPr>
                <w:rFonts w:ascii="Wingdings" w:hAnsi="Wingdings"/>
                <w:sz w:val="18"/>
              </w:rPr>
            </w:pPr>
            <w:r>
              <w:rPr>
                <w:rFonts w:ascii="Wingdings" w:hAnsi="Wingdings"/>
                <w:sz w:val="18"/>
              </w:rPr>
              <w:t></w:t>
            </w:r>
          </w:p>
        </w:tc>
        <w:tc>
          <w:tcPr>
            <w:tcW w:w="706" w:type="dxa"/>
          </w:tcPr>
          <w:p>
            <w:pPr>
              <w:pStyle w:val="TableParagraph"/>
              <w:spacing w:line="199" w:lineRule="exact" w:before="61"/>
              <w:ind w:right="239"/>
              <w:jc w:val="right"/>
              <w:rPr>
                <w:rFonts w:ascii="Wingdings" w:hAnsi="Wingdings"/>
                <w:sz w:val="18"/>
              </w:rPr>
            </w:pPr>
            <w:r>
              <w:rPr>
                <w:rFonts w:ascii="Wingdings" w:hAnsi="Wingdings"/>
                <w:sz w:val="18"/>
              </w:rPr>
              <w:t></w:t>
            </w:r>
          </w:p>
        </w:tc>
        <w:tc>
          <w:tcPr>
            <w:tcW w:w="735" w:type="dxa"/>
          </w:tcPr>
          <w:p>
            <w:pPr>
              <w:pStyle w:val="TableParagraph"/>
              <w:spacing w:line="199" w:lineRule="exact" w:before="61"/>
              <w:ind w:right="249"/>
              <w:jc w:val="right"/>
              <w:rPr>
                <w:rFonts w:ascii="Wingdings" w:hAnsi="Wingdings"/>
                <w:sz w:val="18"/>
              </w:rPr>
            </w:pPr>
            <w:r>
              <w:rPr>
                <w:rFonts w:ascii="Wingdings" w:hAnsi="Wingdings"/>
                <w:sz w:val="18"/>
              </w:rPr>
              <w:t></w:t>
            </w:r>
          </w:p>
        </w:tc>
        <w:tc>
          <w:tcPr>
            <w:tcW w:w="430" w:type="dxa"/>
          </w:tcPr>
          <w:p>
            <w:pPr>
              <w:pStyle w:val="TableParagraph"/>
              <w:spacing w:before="51"/>
              <w:ind w:left="68"/>
              <w:jc w:val="center"/>
              <w:rPr>
                <w:b/>
                <w:sz w:val="18"/>
              </w:rPr>
            </w:pPr>
            <w:r>
              <w:rPr>
                <w:b/>
                <w:sz w:val="18"/>
              </w:rPr>
              <w:t>x</w:t>
            </w:r>
          </w:p>
        </w:tc>
        <w:tc>
          <w:tcPr>
            <w:tcW w:w="528" w:type="dxa"/>
          </w:tcPr>
          <w:p>
            <w:pPr>
              <w:pStyle w:val="TableParagraph"/>
              <w:spacing w:line="199" w:lineRule="exact" w:before="61"/>
              <w:ind w:left="82"/>
              <w:jc w:val="center"/>
              <w:rPr>
                <w:rFonts w:ascii="Wingdings" w:hAnsi="Wingdings"/>
                <w:sz w:val="18"/>
              </w:rPr>
            </w:pPr>
            <w:r>
              <w:rPr>
                <w:rFonts w:ascii="Wingdings" w:hAnsi="Wingdings"/>
                <w:sz w:val="18"/>
              </w:rPr>
              <w:t></w:t>
            </w:r>
          </w:p>
        </w:tc>
        <w:tc>
          <w:tcPr>
            <w:tcW w:w="706" w:type="dxa"/>
          </w:tcPr>
          <w:p>
            <w:pPr>
              <w:pStyle w:val="TableParagraph"/>
              <w:spacing w:line="199" w:lineRule="exact" w:before="61"/>
              <w:ind w:right="229"/>
              <w:jc w:val="right"/>
              <w:rPr>
                <w:rFonts w:ascii="Wingdings" w:hAnsi="Wingdings"/>
                <w:sz w:val="18"/>
              </w:rPr>
            </w:pPr>
            <w:r>
              <w:rPr>
                <w:rFonts w:ascii="Wingdings" w:hAnsi="Wingdings"/>
                <w:sz w:val="18"/>
              </w:rPr>
              <w:t></w:t>
            </w:r>
          </w:p>
        </w:tc>
        <w:tc>
          <w:tcPr>
            <w:tcW w:w="567" w:type="dxa"/>
          </w:tcPr>
          <w:p>
            <w:pPr>
              <w:pStyle w:val="TableParagraph"/>
              <w:spacing w:line="199" w:lineRule="exact" w:before="61"/>
              <w:ind w:right="157"/>
              <w:jc w:val="right"/>
              <w:rPr>
                <w:rFonts w:ascii="Wingdings" w:hAnsi="Wingdings"/>
                <w:sz w:val="18"/>
              </w:rPr>
            </w:pPr>
            <w:r>
              <w:rPr>
                <w:rFonts w:ascii="Wingdings" w:hAnsi="Wingdings"/>
                <w:sz w:val="18"/>
              </w:rPr>
              <w:t></w:t>
            </w:r>
          </w:p>
        </w:tc>
      </w:tr>
      <w:tr>
        <w:trPr>
          <w:trHeight w:val="280" w:hRule="atLeast"/>
        </w:trPr>
        <w:tc>
          <w:tcPr>
            <w:tcW w:w="1272" w:type="dxa"/>
          </w:tcPr>
          <w:p>
            <w:pPr>
              <w:pStyle w:val="TableParagraph"/>
              <w:spacing w:before="51"/>
              <w:ind w:left="112"/>
              <w:rPr>
                <w:b/>
                <w:sz w:val="18"/>
              </w:rPr>
            </w:pPr>
            <w:r>
              <w:rPr>
                <w:b/>
                <w:sz w:val="18"/>
              </w:rPr>
              <w:t>27.05.21</w:t>
            </w:r>
          </w:p>
        </w:tc>
        <w:tc>
          <w:tcPr>
            <w:tcW w:w="708" w:type="dxa"/>
          </w:tcPr>
          <w:p>
            <w:pPr>
              <w:pStyle w:val="TableParagraph"/>
              <w:spacing w:line="199" w:lineRule="exact" w:before="61"/>
              <w:ind w:right="264"/>
              <w:jc w:val="right"/>
              <w:rPr>
                <w:rFonts w:ascii="Wingdings" w:hAnsi="Wingdings"/>
                <w:sz w:val="18"/>
              </w:rPr>
            </w:pPr>
            <w:r>
              <w:rPr>
                <w:rFonts w:ascii="Wingdings" w:hAnsi="Wingdings"/>
                <w:sz w:val="18"/>
              </w:rPr>
              <w:t></w:t>
            </w:r>
          </w:p>
        </w:tc>
        <w:tc>
          <w:tcPr>
            <w:tcW w:w="715" w:type="dxa"/>
          </w:tcPr>
          <w:p>
            <w:pPr>
              <w:pStyle w:val="TableParagraph"/>
              <w:spacing w:line="199" w:lineRule="exact" w:before="61"/>
              <w:ind w:left="17"/>
              <w:jc w:val="center"/>
              <w:rPr>
                <w:rFonts w:ascii="Wingdings" w:hAnsi="Wingdings"/>
                <w:sz w:val="18"/>
              </w:rPr>
            </w:pPr>
            <w:r>
              <w:rPr>
                <w:rFonts w:ascii="Wingdings" w:hAnsi="Wingdings"/>
                <w:sz w:val="18"/>
              </w:rPr>
              <w:t></w:t>
            </w:r>
          </w:p>
        </w:tc>
        <w:tc>
          <w:tcPr>
            <w:tcW w:w="849" w:type="dxa"/>
          </w:tcPr>
          <w:p>
            <w:pPr>
              <w:pStyle w:val="TableParagraph"/>
              <w:spacing w:line="199" w:lineRule="exact" w:before="61"/>
              <w:ind w:left="17"/>
              <w:jc w:val="center"/>
              <w:rPr>
                <w:rFonts w:ascii="Wingdings" w:hAnsi="Wingdings"/>
                <w:sz w:val="18"/>
              </w:rPr>
            </w:pPr>
            <w:r>
              <w:rPr>
                <w:rFonts w:ascii="Wingdings" w:hAnsi="Wingdings"/>
                <w:sz w:val="18"/>
              </w:rPr>
              <w:t></w:t>
            </w:r>
          </w:p>
        </w:tc>
        <w:tc>
          <w:tcPr>
            <w:tcW w:w="707" w:type="dxa"/>
          </w:tcPr>
          <w:p>
            <w:pPr>
              <w:pStyle w:val="TableParagraph"/>
              <w:spacing w:line="199" w:lineRule="exact" w:before="61"/>
              <w:ind w:left="288"/>
              <w:rPr>
                <w:rFonts w:ascii="Wingdings" w:hAnsi="Wingdings"/>
                <w:sz w:val="18"/>
              </w:rPr>
            </w:pPr>
            <w:r>
              <w:rPr>
                <w:rFonts w:ascii="Wingdings" w:hAnsi="Wingdings"/>
                <w:sz w:val="18"/>
              </w:rPr>
              <w:t></w:t>
            </w:r>
          </w:p>
        </w:tc>
        <w:tc>
          <w:tcPr>
            <w:tcW w:w="846" w:type="dxa"/>
          </w:tcPr>
          <w:p>
            <w:pPr>
              <w:pStyle w:val="TableParagraph"/>
              <w:spacing w:line="199" w:lineRule="exact" w:before="61"/>
              <w:ind w:left="19"/>
              <w:jc w:val="center"/>
              <w:rPr>
                <w:rFonts w:ascii="Wingdings" w:hAnsi="Wingdings"/>
                <w:sz w:val="18"/>
              </w:rPr>
            </w:pPr>
            <w:r>
              <w:rPr>
                <w:rFonts w:ascii="Wingdings" w:hAnsi="Wingdings"/>
                <w:sz w:val="18"/>
              </w:rPr>
              <w:t></w:t>
            </w:r>
          </w:p>
        </w:tc>
        <w:tc>
          <w:tcPr>
            <w:tcW w:w="709" w:type="dxa"/>
          </w:tcPr>
          <w:p>
            <w:pPr>
              <w:pStyle w:val="TableParagraph"/>
              <w:spacing w:line="199" w:lineRule="exact" w:before="61"/>
              <w:ind w:right="257"/>
              <w:jc w:val="right"/>
              <w:rPr>
                <w:rFonts w:ascii="Wingdings" w:hAnsi="Wingdings"/>
                <w:sz w:val="18"/>
              </w:rPr>
            </w:pPr>
            <w:r>
              <w:rPr>
                <w:rFonts w:ascii="Wingdings" w:hAnsi="Wingdings"/>
                <w:sz w:val="18"/>
              </w:rPr>
              <w:t></w:t>
            </w:r>
          </w:p>
        </w:tc>
        <w:tc>
          <w:tcPr>
            <w:tcW w:w="707" w:type="dxa"/>
          </w:tcPr>
          <w:p>
            <w:pPr>
              <w:pStyle w:val="TableParagraph"/>
              <w:spacing w:line="199" w:lineRule="exact" w:before="61"/>
              <w:ind w:right="258"/>
              <w:jc w:val="right"/>
              <w:rPr>
                <w:rFonts w:ascii="Wingdings" w:hAnsi="Wingdings"/>
                <w:sz w:val="18"/>
              </w:rPr>
            </w:pPr>
            <w:r>
              <w:rPr>
                <w:rFonts w:ascii="Wingdings" w:hAnsi="Wingdings"/>
                <w:sz w:val="18"/>
              </w:rPr>
              <w:t></w:t>
            </w:r>
          </w:p>
        </w:tc>
        <w:tc>
          <w:tcPr>
            <w:tcW w:w="709" w:type="dxa"/>
          </w:tcPr>
          <w:p>
            <w:pPr>
              <w:pStyle w:val="TableParagraph"/>
              <w:spacing w:line="199" w:lineRule="exact" w:before="61"/>
              <w:ind w:left="34"/>
              <w:jc w:val="center"/>
              <w:rPr>
                <w:rFonts w:ascii="Wingdings" w:hAnsi="Wingdings"/>
                <w:sz w:val="18"/>
              </w:rPr>
            </w:pPr>
            <w:r>
              <w:rPr>
                <w:rFonts w:ascii="Wingdings" w:hAnsi="Wingdings"/>
                <w:sz w:val="18"/>
              </w:rPr>
              <w:t></w:t>
            </w:r>
          </w:p>
        </w:tc>
        <w:tc>
          <w:tcPr>
            <w:tcW w:w="848" w:type="dxa"/>
          </w:tcPr>
          <w:p>
            <w:pPr>
              <w:pStyle w:val="TableParagraph"/>
              <w:spacing w:line="199" w:lineRule="exact" w:before="61"/>
              <w:ind w:left="38"/>
              <w:jc w:val="center"/>
              <w:rPr>
                <w:rFonts w:ascii="Wingdings" w:hAnsi="Wingdings"/>
                <w:sz w:val="18"/>
              </w:rPr>
            </w:pPr>
            <w:r>
              <w:rPr>
                <w:rFonts w:ascii="Wingdings" w:hAnsi="Wingdings"/>
                <w:sz w:val="18"/>
              </w:rPr>
              <w:t></w:t>
            </w:r>
          </w:p>
        </w:tc>
        <w:tc>
          <w:tcPr>
            <w:tcW w:w="848" w:type="dxa"/>
          </w:tcPr>
          <w:p>
            <w:pPr>
              <w:pStyle w:val="TableParagraph"/>
              <w:spacing w:line="199" w:lineRule="exact" w:before="61"/>
              <w:ind w:right="323"/>
              <w:jc w:val="right"/>
              <w:rPr>
                <w:rFonts w:ascii="Wingdings" w:hAnsi="Wingdings"/>
                <w:sz w:val="18"/>
              </w:rPr>
            </w:pPr>
            <w:r>
              <w:rPr>
                <w:rFonts w:ascii="Wingdings" w:hAnsi="Wingdings"/>
                <w:sz w:val="18"/>
              </w:rPr>
              <w:t></w:t>
            </w:r>
          </w:p>
        </w:tc>
        <w:tc>
          <w:tcPr>
            <w:tcW w:w="704" w:type="dxa"/>
          </w:tcPr>
          <w:p>
            <w:pPr>
              <w:pStyle w:val="TableParagraph"/>
              <w:spacing w:line="199" w:lineRule="exact" w:before="61"/>
              <w:ind w:left="49"/>
              <w:jc w:val="center"/>
              <w:rPr>
                <w:rFonts w:ascii="Wingdings" w:hAnsi="Wingdings"/>
                <w:sz w:val="18"/>
              </w:rPr>
            </w:pPr>
            <w:r>
              <w:rPr>
                <w:rFonts w:ascii="Wingdings" w:hAnsi="Wingdings"/>
                <w:sz w:val="18"/>
              </w:rPr>
              <w:t></w:t>
            </w:r>
          </w:p>
        </w:tc>
        <w:tc>
          <w:tcPr>
            <w:tcW w:w="850" w:type="dxa"/>
          </w:tcPr>
          <w:p>
            <w:pPr>
              <w:pStyle w:val="TableParagraph"/>
              <w:spacing w:before="51"/>
              <w:ind w:left="55"/>
              <w:jc w:val="center"/>
              <w:rPr>
                <w:b/>
                <w:sz w:val="18"/>
              </w:rPr>
            </w:pPr>
            <w:r>
              <w:rPr>
                <w:b/>
                <w:sz w:val="18"/>
              </w:rPr>
              <w:t>x</w:t>
            </w:r>
          </w:p>
        </w:tc>
        <w:tc>
          <w:tcPr>
            <w:tcW w:w="704" w:type="dxa"/>
          </w:tcPr>
          <w:p>
            <w:pPr>
              <w:pStyle w:val="TableParagraph"/>
              <w:spacing w:line="199" w:lineRule="exact" w:before="61"/>
              <w:ind w:left="59"/>
              <w:jc w:val="center"/>
              <w:rPr>
                <w:rFonts w:ascii="Wingdings" w:hAnsi="Wingdings"/>
                <w:sz w:val="18"/>
              </w:rPr>
            </w:pPr>
            <w:r>
              <w:rPr>
                <w:rFonts w:ascii="Wingdings" w:hAnsi="Wingdings"/>
                <w:sz w:val="18"/>
              </w:rPr>
              <w:t></w:t>
            </w:r>
          </w:p>
        </w:tc>
        <w:tc>
          <w:tcPr>
            <w:tcW w:w="706" w:type="dxa"/>
          </w:tcPr>
          <w:p>
            <w:pPr>
              <w:pStyle w:val="TableParagraph"/>
              <w:spacing w:line="199" w:lineRule="exact" w:before="61"/>
              <w:ind w:right="239"/>
              <w:jc w:val="right"/>
              <w:rPr>
                <w:rFonts w:ascii="Wingdings" w:hAnsi="Wingdings"/>
                <w:sz w:val="18"/>
              </w:rPr>
            </w:pPr>
            <w:r>
              <w:rPr>
                <w:rFonts w:ascii="Wingdings" w:hAnsi="Wingdings"/>
                <w:sz w:val="18"/>
              </w:rPr>
              <w:t></w:t>
            </w:r>
          </w:p>
        </w:tc>
        <w:tc>
          <w:tcPr>
            <w:tcW w:w="735" w:type="dxa"/>
          </w:tcPr>
          <w:p>
            <w:pPr>
              <w:pStyle w:val="TableParagraph"/>
              <w:spacing w:line="199" w:lineRule="exact" w:before="61"/>
              <w:ind w:right="250"/>
              <w:jc w:val="right"/>
              <w:rPr>
                <w:rFonts w:ascii="Wingdings" w:hAnsi="Wingdings"/>
                <w:sz w:val="18"/>
              </w:rPr>
            </w:pPr>
            <w:r>
              <w:rPr>
                <w:rFonts w:ascii="Wingdings" w:hAnsi="Wingdings"/>
                <w:sz w:val="18"/>
              </w:rPr>
              <w:t></w:t>
            </w:r>
          </w:p>
        </w:tc>
        <w:tc>
          <w:tcPr>
            <w:tcW w:w="430" w:type="dxa"/>
          </w:tcPr>
          <w:p>
            <w:pPr>
              <w:pStyle w:val="TableParagraph"/>
              <w:spacing w:line="199" w:lineRule="exact" w:before="61"/>
              <w:ind w:left="75"/>
              <w:jc w:val="center"/>
              <w:rPr>
                <w:rFonts w:ascii="Wingdings" w:hAnsi="Wingdings"/>
                <w:sz w:val="18"/>
              </w:rPr>
            </w:pPr>
            <w:r>
              <w:rPr>
                <w:rFonts w:ascii="Wingdings" w:hAnsi="Wingdings"/>
                <w:sz w:val="18"/>
              </w:rPr>
              <w:t></w:t>
            </w:r>
          </w:p>
        </w:tc>
        <w:tc>
          <w:tcPr>
            <w:tcW w:w="528" w:type="dxa"/>
          </w:tcPr>
          <w:p>
            <w:pPr>
              <w:pStyle w:val="TableParagraph"/>
              <w:spacing w:line="199" w:lineRule="exact" w:before="61"/>
              <w:ind w:left="82"/>
              <w:jc w:val="center"/>
              <w:rPr>
                <w:rFonts w:ascii="Wingdings" w:hAnsi="Wingdings"/>
                <w:sz w:val="18"/>
              </w:rPr>
            </w:pPr>
            <w:r>
              <w:rPr>
                <w:rFonts w:ascii="Wingdings" w:hAnsi="Wingdings"/>
                <w:sz w:val="18"/>
              </w:rPr>
              <w:t></w:t>
            </w:r>
          </w:p>
        </w:tc>
        <w:tc>
          <w:tcPr>
            <w:tcW w:w="706" w:type="dxa"/>
          </w:tcPr>
          <w:p>
            <w:pPr>
              <w:pStyle w:val="TableParagraph"/>
              <w:spacing w:line="199" w:lineRule="exact" w:before="61"/>
              <w:ind w:right="229"/>
              <w:jc w:val="right"/>
              <w:rPr>
                <w:rFonts w:ascii="Wingdings" w:hAnsi="Wingdings"/>
                <w:sz w:val="18"/>
              </w:rPr>
            </w:pPr>
            <w:r>
              <w:rPr>
                <w:rFonts w:ascii="Wingdings" w:hAnsi="Wingdings"/>
                <w:sz w:val="18"/>
              </w:rPr>
              <w:t></w:t>
            </w:r>
          </w:p>
        </w:tc>
        <w:tc>
          <w:tcPr>
            <w:tcW w:w="567" w:type="dxa"/>
          </w:tcPr>
          <w:p>
            <w:pPr>
              <w:pStyle w:val="TableParagraph"/>
              <w:spacing w:line="199" w:lineRule="exact" w:before="61"/>
              <w:ind w:right="157"/>
              <w:jc w:val="right"/>
              <w:rPr>
                <w:rFonts w:ascii="Wingdings" w:hAnsi="Wingdings"/>
                <w:sz w:val="18"/>
              </w:rPr>
            </w:pPr>
            <w:r>
              <w:rPr>
                <w:rFonts w:ascii="Wingdings" w:hAnsi="Wingdings"/>
                <w:sz w:val="18"/>
              </w:rPr>
              <w:t></w:t>
            </w:r>
          </w:p>
        </w:tc>
      </w:tr>
      <w:tr>
        <w:trPr>
          <w:trHeight w:val="280" w:hRule="atLeast"/>
        </w:trPr>
        <w:tc>
          <w:tcPr>
            <w:tcW w:w="1272" w:type="dxa"/>
          </w:tcPr>
          <w:p>
            <w:pPr>
              <w:pStyle w:val="TableParagraph"/>
              <w:spacing w:before="51"/>
              <w:ind w:left="112"/>
              <w:rPr>
                <w:b/>
                <w:sz w:val="18"/>
              </w:rPr>
            </w:pPr>
            <w:r>
              <w:rPr>
                <w:b/>
                <w:sz w:val="18"/>
              </w:rPr>
              <w:t>24.06.21</w:t>
            </w:r>
          </w:p>
        </w:tc>
        <w:tc>
          <w:tcPr>
            <w:tcW w:w="708" w:type="dxa"/>
          </w:tcPr>
          <w:p>
            <w:pPr>
              <w:pStyle w:val="TableParagraph"/>
              <w:spacing w:line="199" w:lineRule="exact" w:before="61"/>
              <w:ind w:right="264"/>
              <w:jc w:val="right"/>
              <w:rPr>
                <w:rFonts w:ascii="Wingdings" w:hAnsi="Wingdings"/>
                <w:sz w:val="18"/>
              </w:rPr>
            </w:pPr>
            <w:r>
              <w:rPr>
                <w:rFonts w:ascii="Wingdings" w:hAnsi="Wingdings"/>
                <w:sz w:val="18"/>
              </w:rPr>
              <w:t></w:t>
            </w:r>
          </w:p>
        </w:tc>
        <w:tc>
          <w:tcPr>
            <w:tcW w:w="715" w:type="dxa"/>
          </w:tcPr>
          <w:p>
            <w:pPr>
              <w:pStyle w:val="TableParagraph"/>
              <w:spacing w:line="199" w:lineRule="exact" w:before="61"/>
              <w:ind w:left="17"/>
              <w:jc w:val="center"/>
              <w:rPr>
                <w:rFonts w:ascii="Wingdings" w:hAnsi="Wingdings"/>
                <w:sz w:val="18"/>
              </w:rPr>
            </w:pPr>
            <w:r>
              <w:rPr>
                <w:rFonts w:ascii="Wingdings" w:hAnsi="Wingdings"/>
                <w:sz w:val="18"/>
              </w:rPr>
              <w:t></w:t>
            </w:r>
          </w:p>
        </w:tc>
        <w:tc>
          <w:tcPr>
            <w:tcW w:w="849" w:type="dxa"/>
          </w:tcPr>
          <w:p>
            <w:pPr>
              <w:pStyle w:val="TableParagraph"/>
              <w:spacing w:before="51"/>
              <w:ind w:left="19"/>
              <w:jc w:val="center"/>
              <w:rPr>
                <w:b/>
                <w:sz w:val="18"/>
              </w:rPr>
            </w:pPr>
            <w:r>
              <w:rPr>
                <w:b/>
                <w:sz w:val="18"/>
              </w:rPr>
              <w:t>x</w:t>
            </w:r>
          </w:p>
        </w:tc>
        <w:tc>
          <w:tcPr>
            <w:tcW w:w="707" w:type="dxa"/>
          </w:tcPr>
          <w:p>
            <w:pPr>
              <w:pStyle w:val="TableParagraph"/>
              <w:spacing w:before="51"/>
              <w:ind w:left="307"/>
              <w:rPr>
                <w:b/>
                <w:sz w:val="18"/>
              </w:rPr>
            </w:pPr>
            <w:r>
              <w:rPr>
                <w:b/>
                <w:sz w:val="18"/>
              </w:rPr>
              <w:t>x</w:t>
            </w:r>
          </w:p>
        </w:tc>
        <w:tc>
          <w:tcPr>
            <w:tcW w:w="846" w:type="dxa"/>
          </w:tcPr>
          <w:p>
            <w:pPr>
              <w:pStyle w:val="TableParagraph"/>
              <w:spacing w:line="199" w:lineRule="exact" w:before="61"/>
              <w:ind w:left="19"/>
              <w:jc w:val="center"/>
              <w:rPr>
                <w:rFonts w:ascii="Wingdings" w:hAnsi="Wingdings"/>
                <w:sz w:val="18"/>
              </w:rPr>
            </w:pPr>
            <w:r>
              <w:rPr>
                <w:rFonts w:ascii="Wingdings" w:hAnsi="Wingdings"/>
                <w:sz w:val="18"/>
              </w:rPr>
              <w:t></w:t>
            </w:r>
          </w:p>
        </w:tc>
        <w:tc>
          <w:tcPr>
            <w:tcW w:w="709" w:type="dxa"/>
          </w:tcPr>
          <w:p>
            <w:pPr>
              <w:pStyle w:val="TableParagraph"/>
              <w:spacing w:line="199" w:lineRule="exact" w:before="61"/>
              <w:ind w:right="257"/>
              <w:jc w:val="right"/>
              <w:rPr>
                <w:rFonts w:ascii="Wingdings" w:hAnsi="Wingdings"/>
                <w:sz w:val="18"/>
              </w:rPr>
            </w:pPr>
            <w:r>
              <w:rPr>
                <w:rFonts w:ascii="Wingdings" w:hAnsi="Wingdings"/>
                <w:sz w:val="18"/>
              </w:rPr>
              <w:t></w:t>
            </w:r>
          </w:p>
        </w:tc>
        <w:tc>
          <w:tcPr>
            <w:tcW w:w="707" w:type="dxa"/>
          </w:tcPr>
          <w:p>
            <w:pPr>
              <w:pStyle w:val="TableParagraph"/>
              <w:spacing w:line="199" w:lineRule="exact" w:before="61"/>
              <w:ind w:right="258"/>
              <w:jc w:val="right"/>
              <w:rPr>
                <w:rFonts w:ascii="Wingdings" w:hAnsi="Wingdings"/>
                <w:sz w:val="18"/>
              </w:rPr>
            </w:pPr>
            <w:r>
              <w:rPr>
                <w:rFonts w:ascii="Wingdings" w:hAnsi="Wingdings"/>
                <w:sz w:val="18"/>
              </w:rPr>
              <w:t></w:t>
            </w:r>
          </w:p>
        </w:tc>
        <w:tc>
          <w:tcPr>
            <w:tcW w:w="709" w:type="dxa"/>
          </w:tcPr>
          <w:p>
            <w:pPr>
              <w:pStyle w:val="TableParagraph"/>
              <w:spacing w:line="199" w:lineRule="exact" w:before="61"/>
              <w:ind w:left="34"/>
              <w:jc w:val="center"/>
              <w:rPr>
                <w:rFonts w:ascii="Wingdings" w:hAnsi="Wingdings"/>
                <w:sz w:val="18"/>
              </w:rPr>
            </w:pPr>
            <w:r>
              <w:rPr>
                <w:rFonts w:ascii="Wingdings" w:hAnsi="Wingdings"/>
                <w:sz w:val="18"/>
              </w:rPr>
              <w:t></w:t>
            </w:r>
          </w:p>
        </w:tc>
        <w:tc>
          <w:tcPr>
            <w:tcW w:w="848" w:type="dxa"/>
          </w:tcPr>
          <w:p>
            <w:pPr>
              <w:pStyle w:val="TableParagraph"/>
              <w:spacing w:before="51"/>
              <w:ind w:left="38"/>
              <w:jc w:val="center"/>
              <w:rPr>
                <w:b/>
                <w:sz w:val="18"/>
              </w:rPr>
            </w:pPr>
            <w:r>
              <w:rPr>
                <w:b/>
                <w:sz w:val="18"/>
              </w:rPr>
              <w:t>x</w:t>
            </w:r>
          </w:p>
        </w:tc>
        <w:tc>
          <w:tcPr>
            <w:tcW w:w="848" w:type="dxa"/>
          </w:tcPr>
          <w:p>
            <w:pPr>
              <w:pStyle w:val="TableParagraph"/>
              <w:spacing w:line="199" w:lineRule="exact" w:before="61"/>
              <w:ind w:right="323"/>
              <w:jc w:val="right"/>
              <w:rPr>
                <w:rFonts w:ascii="Wingdings" w:hAnsi="Wingdings"/>
                <w:sz w:val="18"/>
              </w:rPr>
            </w:pPr>
            <w:r>
              <w:rPr>
                <w:rFonts w:ascii="Wingdings" w:hAnsi="Wingdings"/>
                <w:sz w:val="18"/>
              </w:rPr>
              <w:t></w:t>
            </w:r>
          </w:p>
        </w:tc>
        <w:tc>
          <w:tcPr>
            <w:tcW w:w="704" w:type="dxa"/>
          </w:tcPr>
          <w:p>
            <w:pPr>
              <w:pStyle w:val="TableParagraph"/>
              <w:spacing w:line="199" w:lineRule="exact" w:before="61"/>
              <w:ind w:left="47"/>
              <w:jc w:val="center"/>
              <w:rPr>
                <w:rFonts w:ascii="Wingdings" w:hAnsi="Wingdings"/>
                <w:sz w:val="18"/>
              </w:rPr>
            </w:pPr>
            <w:r>
              <w:rPr>
                <w:rFonts w:ascii="Wingdings" w:hAnsi="Wingdings"/>
                <w:sz w:val="18"/>
              </w:rPr>
              <w:t></w:t>
            </w:r>
          </w:p>
        </w:tc>
        <w:tc>
          <w:tcPr>
            <w:tcW w:w="850" w:type="dxa"/>
          </w:tcPr>
          <w:p>
            <w:pPr>
              <w:pStyle w:val="TableParagraph"/>
              <w:spacing w:line="199" w:lineRule="exact" w:before="61"/>
              <w:ind w:left="58"/>
              <w:jc w:val="center"/>
              <w:rPr>
                <w:rFonts w:ascii="Wingdings" w:hAnsi="Wingdings"/>
                <w:sz w:val="18"/>
              </w:rPr>
            </w:pPr>
            <w:r>
              <w:rPr>
                <w:rFonts w:ascii="Wingdings" w:hAnsi="Wingdings"/>
                <w:sz w:val="18"/>
              </w:rPr>
              <w:t></w:t>
            </w:r>
          </w:p>
        </w:tc>
        <w:tc>
          <w:tcPr>
            <w:tcW w:w="704" w:type="dxa"/>
          </w:tcPr>
          <w:p>
            <w:pPr>
              <w:pStyle w:val="TableParagraph"/>
              <w:spacing w:line="199" w:lineRule="exact" w:before="61"/>
              <w:ind w:left="59"/>
              <w:jc w:val="center"/>
              <w:rPr>
                <w:rFonts w:ascii="Wingdings" w:hAnsi="Wingdings"/>
                <w:sz w:val="18"/>
              </w:rPr>
            </w:pPr>
            <w:r>
              <w:rPr>
                <w:rFonts w:ascii="Wingdings" w:hAnsi="Wingdings"/>
                <w:sz w:val="18"/>
              </w:rPr>
              <w:t></w:t>
            </w:r>
          </w:p>
        </w:tc>
        <w:tc>
          <w:tcPr>
            <w:tcW w:w="706" w:type="dxa"/>
          </w:tcPr>
          <w:p>
            <w:pPr>
              <w:pStyle w:val="TableParagraph"/>
              <w:spacing w:before="51"/>
              <w:ind w:right="264"/>
              <w:jc w:val="right"/>
              <w:rPr>
                <w:b/>
                <w:sz w:val="18"/>
              </w:rPr>
            </w:pPr>
            <w:r>
              <w:rPr>
                <w:b/>
                <w:sz w:val="18"/>
              </w:rPr>
              <w:t>x</w:t>
            </w:r>
          </w:p>
        </w:tc>
        <w:tc>
          <w:tcPr>
            <w:tcW w:w="735" w:type="dxa"/>
          </w:tcPr>
          <w:p>
            <w:pPr>
              <w:pStyle w:val="TableParagraph"/>
              <w:spacing w:line="199" w:lineRule="exact" w:before="61"/>
              <w:ind w:right="250"/>
              <w:jc w:val="right"/>
              <w:rPr>
                <w:rFonts w:ascii="Wingdings" w:hAnsi="Wingdings"/>
                <w:sz w:val="18"/>
              </w:rPr>
            </w:pPr>
            <w:r>
              <w:rPr>
                <w:rFonts w:ascii="Wingdings" w:hAnsi="Wingdings"/>
                <w:sz w:val="18"/>
              </w:rPr>
              <w:t></w:t>
            </w:r>
          </w:p>
        </w:tc>
        <w:tc>
          <w:tcPr>
            <w:tcW w:w="430" w:type="dxa"/>
          </w:tcPr>
          <w:p>
            <w:pPr>
              <w:pStyle w:val="TableParagraph"/>
              <w:spacing w:line="199" w:lineRule="exact" w:before="61"/>
              <w:ind w:left="75"/>
              <w:jc w:val="center"/>
              <w:rPr>
                <w:rFonts w:ascii="Wingdings" w:hAnsi="Wingdings"/>
                <w:sz w:val="18"/>
              </w:rPr>
            </w:pPr>
            <w:r>
              <w:rPr>
                <w:rFonts w:ascii="Wingdings" w:hAnsi="Wingdings"/>
                <w:sz w:val="18"/>
              </w:rPr>
              <w:t></w:t>
            </w:r>
          </w:p>
        </w:tc>
        <w:tc>
          <w:tcPr>
            <w:tcW w:w="528" w:type="dxa"/>
          </w:tcPr>
          <w:p>
            <w:pPr>
              <w:pStyle w:val="TableParagraph"/>
              <w:spacing w:line="199" w:lineRule="exact" w:before="61"/>
              <w:ind w:left="82"/>
              <w:jc w:val="center"/>
              <w:rPr>
                <w:rFonts w:ascii="Wingdings" w:hAnsi="Wingdings"/>
                <w:sz w:val="18"/>
              </w:rPr>
            </w:pPr>
            <w:r>
              <w:rPr>
                <w:rFonts w:ascii="Wingdings" w:hAnsi="Wingdings"/>
                <w:sz w:val="18"/>
              </w:rPr>
              <w:t></w:t>
            </w:r>
          </w:p>
        </w:tc>
        <w:tc>
          <w:tcPr>
            <w:tcW w:w="706" w:type="dxa"/>
          </w:tcPr>
          <w:p>
            <w:pPr>
              <w:pStyle w:val="TableParagraph"/>
              <w:spacing w:line="199" w:lineRule="exact" w:before="61"/>
              <w:ind w:right="229"/>
              <w:jc w:val="right"/>
              <w:rPr>
                <w:rFonts w:ascii="Wingdings" w:hAnsi="Wingdings"/>
                <w:sz w:val="18"/>
              </w:rPr>
            </w:pPr>
            <w:r>
              <w:rPr>
                <w:rFonts w:ascii="Wingdings" w:hAnsi="Wingdings"/>
                <w:sz w:val="18"/>
              </w:rPr>
              <w:t></w:t>
            </w:r>
          </w:p>
        </w:tc>
        <w:tc>
          <w:tcPr>
            <w:tcW w:w="567" w:type="dxa"/>
          </w:tcPr>
          <w:p>
            <w:pPr>
              <w:pStyle w:val="TableParagraph"/>
              <w:spacing w:line="199" w:lineRule="exact" w:before="61"/>
              <w:ind w:right="157"/>
              <w:jc w:val="right"/>
              <w:rPr>
                <w:rFonts w:ascii="Wingdings" w:hAnsi="Wingdings"/>
                <w:sz w:val="18"/>
              </w:rPr>
            </w:pPr>
            <w:r>
              <w:rPr>
                <w:rFonts w:ascii="Wingdings" w:hAnsi="Wingdings"/>
                <w:sz w:val="18"/>
              </w:rPr>
              <w:t></w:t>
            </w:r>
          </w:p>
        </w:tc>
      </w:tr>
      <w:tr>
        <w:trPr>
          <w:trHeight w:val="277" w:hRule="atLeast"/>
        </w:trPr>
        <w:tc>
          <w:tcPr>
            <w:tcW w:w="1272" w:type="dxa"/>
          </w:tcPr>
          <w:p>
            <w:pPr>
              <w:pStyle w:val="TableParagraph"/>
              <w:spacing w:line="206" w:lineRule="exact" w:before="51"/>
              <w:ind w:left="112"/>
              <w:rPr>
                <w:b/>
                <w:sz w:val="18"/>
              </w:rPr>
            </w:pPr>
            <w:r>
              <w:rPr>
                <w:b/>
                <w:sz w:val="18"/>
              </w:rPr>
              <w:t>22.07.21</w:t>
            </w:r>
          </w:p>
        </w:tc>
        <w:tc>
          <w:tcPr>
            <w:tcW w:w="708" w:type="dxa"/>
          </w:tcPr>
          <w:p>
            <w:pPr>
              <w:pStyle w:val="TableParagraph"/>
              <w:spacing w:line="197" w:lineRule="exact" w:before="61"/>
              <w:ind w:right="264"/>
              <w:jc w:val="right"/>
              <w:rPr>
                <w:rFonts w:ascii="Wingdings" w:hAnsi="Wingdings"/>
                <w:sz w:val="18"/>
              </w:rPr>
            </w:pPr>
            <w:r>
              <w:rPr>
                <w:rFonts w:ascii="Wingdings" w:hAnsi="Wingdings"/>
                <w:sz w:val="18"/>
              </w:rPr>
              <w:t></w:t>
            </w:r>
          </w:p>
        </w:tc>
        <w:tc>
          <w:tcPr>
            <w:tcW w:w="715" w:type="dxa"/>
          </w:tcPr>
          <w:p>
            <w:pPr>
              <w:pStyle w:val="TableParagraph"/>
              <w:spacing w:line="197" w:lineRule="exact" w:before="61"/>
              <w:ind w:left="17"/>
              <w:jc w:val="center"/>
              <w:rPr>
                <w:rFonts w:ascii="Wingdings" w:hAnsi="Wingdings"/>
                <w:sz w:val="18"/>
              </w:rPr>
            </w:pPr>
            <w:r>
              <w:rPr>
                <w:rFonts w:ascii="Wingdings" w:hAnsi="Wingdings"/>
                <w:sz w:val="18"/>
              </w:rPr>
              <w:t></w:t>
            </w:r>
          </w:p>
        </w:tc>
        <w:tc>
          <w:tcPr>
            <w:tcW w:w="849" w:type="dxa"/>
          </w:tcPr>
          <w:p>
            <w:pPr>
              <w:pStyle w:val="TableParagraph"/>
              <w:spacing w:line="197" w:lineRule="exact" w:before="61"/>
              <w:ind w:left="17"/>
              <w:jc w:val="center"/>
              <w:rPr>
                <w:rFonts w:ascii="Wingdings" w:hAnsi="Wingdings"/>
                <w:sz w:val="18"/>
              </w:rPr>
            </w:pPr>
            <w:r>
              <w:rPr>
                <w:rFonts w:ascii="Wingdings" w:hAnsi="Wingdings"/>
                <w:sz w:val="18"/>
              </w:rPr>
              <w:t></w:t>
            </w:r>
          </w:p>
        </w:tc>
        <w:tc>
          <w:tcPr>
            <w:tcW w:w="707" w:type="dxa"/>
          </w:tcPr>
          <w:p>
            <w:pPr>
              <w:pStyle w:val="TableParagraph"/>
              <w:spacing w:line="197" w:lineRule="exact" w:before="61"/>
              <w:ind w:left="288"/>
              <w:rPr>
                <w:rFonts w:ascii="Wingdings" w:hAnsi="Wingdings"/>
                <w:sz w:val="18"/>
              </w:rPr>
            </w:pPr>
            <w:r>
              <w:rPr>
                <w:rFonts w:ascii="Wingdings" w:hAnsi="Wingdings"/>
                <w:sz w:val="18"/>
              </w:rPr>
              <w:t></w:t>
            </w:r>
          </w:p>
        </w:tc>
        <w:tc>
          <w:tcPr>
            <w:tcW w:w="846" w:type="dxa"/>
          </w:tcPr>
          <w:p>
            <w:pPr>
              <w:pStyle w:val="TableParagraph"/>
              <w:spacing w:line="197" w:lineRule="exact" w:before="61"/>
              <w:ind w:left="19"/>
              <w:jc w:val="center"/>
              <w:rPr>
                <w:rFonts w:ascii="Wingdings" w:hAnsi="Wingdings"/>
                <w:sz w:val="18"/>
              </w:rPr>
            </w:pPr>
            <w:r>
              <w:rPr>
                <w:rFonts w:ascii="Wingdings" w:hAnsi="Wingdings"/>
                <w:sz w:val="18"/>
              </w:rPr>
              <w:t></w:t>
            </w:r>
          </w:p>
        </w:tc>
        <w:tc>
          <w:tcPr>
            <w:tcW w:w="709" w:type="dxa"/>
          </w:tcPr>
          <w:p>
            <w:pPr>
              <w:pStyle w:val="TableParagraph"/>
              <w:spacing w:line="197" w:lineRule="exact" w:before="61"/>
              <w:ind w:right="257"/>
              <w:jc w:val="right"/>
              <w:rPr>
                <w:rFonts w:ascii="Wingdings" w:hAnsi="Wingdings"/>
                <w:sz w:val="18"/>
              </w:rPr>
            </w:pPr>
            <w:r>
              <w:rPr>
                <w:rFonts w:ascii="Wingdings" w:hAnsi="Wingdings"/>
                <w:sz w:val="18"/>
              </w:rPr>
              <w:t></w:t>
            </w:r>
          </w:p>
        </w:tc>
        <w:tc>
          <w:tcPr>
            <w:tcW w:w="707" w:type="dxa"/>
          </w:tcPr>
          <w:p>
            <w:pPr>
              <w:pStyle w:val="TableParagraph"/>
              <w:spacing w:line="197" w:lineRule="exact" w:before="61"/>
              <w:ind w:right="258"/>
              <w:jc w:val="right"/>
              <w:rPr>
                <w:rFonts w:ascii="Wingdings" w:hAnsi="Wingdings"/>
                <w:sz w:val="18"/>
              </w:rPr>
            </w:pPr>
            <w:r>
              <w:rPr>
                <w:rFonts w:ascii="Wingdings" w:hAnsi="Wingdings"/>
                <w:sz w:val="18"/>
              </w:rPr>
              <w:t></w:t>
            </w:r>
          </w:p>
        </w:tc>
        <w:tc>
          <w:tcPr>
            <w:tcW w:w="709" w:type="dxa"/>
          </w:tcPr>
          <w:p>
            <w:pPr>
              <w:pStyle w:val="TableParagraph"/>
              <w:spacing w:line="197" w:lineRule="exact" w:before="61"/>
              <w:ind w:left="34"/>
              <w:jc w:val="center"/>
              <w:rPr>
                <w:rFonts w:ascii="Wingdings" w:hAnsi="Wingdings"/>
                <w:sz w:val="18"/>
              </w:rPr>
            </w:pPr>
            <w:r>
              <w:rPr>
                <w:rFonts w:ascii="Wingdings" w:hAnsi="Wingdings"/>
                <w:sz w:val="18"/>
              </w:rPr>
              <w:t></w:t>
            </w:r>
          </w:p>
        </w:tc>
        <w:tc>
          <w:tcPr>
            <w:tcW w:w="848" w:type="dxa"/>
          </w:tcPr>
          <w:p>
            <w:pPr>
              <w:pStyle w:val="TableParagraph"/>
              <w:spacing w:line="197" w:lineRule="exact" w:before="61"/>
              <w:ind w:left="38"/>
              <w:jc w:val="center"/>
              <w:rPr>
                <w:rFonts w:ascii="Wingdings" w:hAnsi="Wingdings"/>
                <w:sz w:val="18"/>
              </w:rPr>
            </w:pPr>
            <w:r>
              <w:rPr>
                <w:rFonts w:ascii="Wingdings" w:hAnsi="Wingdings"/>
                <w:sz w:val="18"/>
              </w:rPr>
              <w:t></w:t>
            </w:r>
          </w:p>
        </w:tc>
        <w:tc>
          <w:tcPr>
            <w:tcW w:w="848" w:type="dxa"/>
          </w:tcPr>
          <w:p>
            <w:pPr>
              <w:pStyle w:val="TableParagraph"/>
              <w:spacing w:line="197" w:lineRule="exact" w:before="61"/>
              <w:ind w:right="323"/>
              <w:jc w:val="right"/>
              <w:rPr>
                <w:rFonts w:ascii="Wingdings" w:hAnsi="Wingdings"/>
                <w:sz w:val="18"/>
              </w:rPr>
            </w:pPr>
            <w:r>
              <w:rPr>
                <w:rFonts w:ascii="Wingdings" w:hAnsi="Wingdings"/>
                <w:sz w:val="18"/>
              </w:rPr>
              <w:t></w:t>
            </w:r>
          </w:p>
        </w:tc>
        <w:tc>
          <w:tcPr>
            <w:tcW w:w="704" w:type="dxa"/>
          </w:tcPr>
          <w:p>
            <w:pPr>
              <w:pStyle w:val="TableParagraph"/>
              <w:spacing w:line="197" w:lineRule="exact" w:before="61"/>
              <w:ind w:left="49"/>
              <w:jc w:val="center"/>
              <w:rPr>
                <w:rFonts w:ascii="Wingdings" w:hAnsi="Wingdings"/>
                <w:sz w:val="18"/>
              </w:rPr>
            </w:pPr>
            <w:r>
              <w:rPr>
                <w:rFonts w:ascii="Wingdings" w:hAnsi="Wingdings"/>
                <w:sz w:val="18"/>
              </w:rPr>
              <w:t></w:t>
            </w:r>
          </w:p>
        </w:tc>
        <w:tc>
          <w:tcPr>
            <w:tcW w:w="850" w:type="dxa"/>
          </w:tcPr>
          <w:p>
            <w:pPr>
              <w:pStyle w:val="TableParagraph"/>
              <w:spacing w:line="197" w:lineRule="exact" w:before="61"/>
              <w:ind w:left="60"/>
              <w:jc w:val="center"/>
              <w:rPr>
                <w:rFonts w:ascii="Wingdings" w:hAnsi="Wingdings"/>
                <w:sz w:val="18"/>
              </w:rPr>
            </w:pPr>
            <w:r>
              <w:rPr>
                <w:rFonts w:ascii="Wingdings" w:hAnsi="Wingdings"/>
                <w:sz w:val="18"/>
              </w:rPr>
              <w:t></w:t>
            </w:r>
          </w:p>
        </w:tc>
        <w:tc>
          <w:tcPr>
            <w:tcW w:w="704" w:type="dxa"/>
          </w:tcPr>
          <w:p>
            <w:pPr>
              <w:pStyle w:val="TableParagraph"/>
              <w:spacing w:line="197" w:lineRule="exact" w:before="61"/>
              <w:ind w:left="61"/>
              <w:jc w:val="center"/>
              <w:rPr>
                <w:rFonts w:ascii="Wingdings" w:hAnsi="Wingdings"/>
                <w:sz w:val="18"/>
              </w:rPr>
            </w:pPr>
            <w:r>
              <w:rPr>
                <w:rFonts w:ascii="Wingdings" w:hAnsi="Wingdings"/>
                <w:sz w:val="18"/>
              </w:rPr>
              <w:t></w:t>
            </w:r>
          </w:p>
        </w:tc>
        <w:tc>
          <w:tcPr>
            <w:tcW w:w="706" w:type="dxa"/>
          </w:tcPr>
          <w:p>
            <w:pPr>
              <w:pStyle w:val="TableParagraph"/>
              <w:spacing w:line="197" w:lineRule="exact" w:before="61"/>
              <w:ind w:right="239"/>
              <w:jc w:val="right"/>
              <w:rPr>
                <w:rFonts w:ascii="Wingdings" w:hAnsi="Wingdings"/>
                <w:sz w:val="18"/>
              </w:rPr>
            </w:pPr>
            <w:r>
              <w:rPr>
                <w:rFonts w:ascii="Wingdings" w:hAnsi="Wingdings"/>
                <w:sz w:val="18"/>
              </w:rPr>
              <w:t></w:t>
            </w:r>
          </w:p>
        </w:tc>
        <w:tc>
          <w:tcPr>
            <w:tcW w:w="735" w:type="dxa"/>
          </w:tcPr>
          <w:p>
            <w:pPr>
              <w:pStyle w:val="TableParagraph"/>
              <w:spacing w:line="197" w:lineRule="exact" w:before="61"/>
              <w:ind w:right="249"/>
              <w:jc w:val="right"/>
              <w:rPr>
                <w:rFonts w:ascii="Wingdings" w:hAnsi="Wingdings"/>
                <w:sz w:val="18"/>
              </w:rPr>
            </w:pPr>
            <w:r>
              <w:rPr>
                <w:rFonts w:ascii="Wingdings" w:hAnsi="Wingdings"/>
                <w:sz w:val="18"/>
              </w:rPr>
              <w:t></w:t>
            </w:r>
          </w:p>
        </w:tc>
        <w:tc>
          <w:tcPr>
            <w:tcW w:w="430" w:type="dxa"/>
          </w:tcPr>
          <w:p>
            <w:pPr>
              <w:pStyle w:val="TableParagraph"/>
              <w:spacing w:line="197" w:lineRule="exact" w:before="61"/>
              <w:ind w:left="75"/>
              <w:jc w:val="center"/>
              <w:rPr>
                <w:rFonts w:ascii="Wingdings" w:hAnsi="Wingdings"/>
                <w:sz w:val="18"/>
              </w:rPr>
            </w:pPr>
            <w:r>
              <w:rPr>
                <w:rFonts w:ascii="Wingdings" w:hAnsi="Wingdings"/>
                <w:sz w:val="18"/>
              </w:rPr>
              <w:t></w:t>
            </w:r>
          </w:p>
        </w:tc>
        <w:tc>
          <w:tcPr>
            <w:tcW w:w="528" w:type="dxa"/>
          </w:tcPr>
          <w:p>
            <w:pPr>
              <w:pStyle w:val="TableParagraph"/>
              <w:spacing w:line="206" w:lineRule="exact" w:before="51"/>
              <w:ind w:left="79"/>
              <w:jc w:val="center"/>
              <w:rPr>
                <w:b/>
                <w:sz w:val="18"/>
              </w:rPr>
            </w:pPr>
            <w:r>
              <w:rPr>
                <w:b/>
                <w:sz w:val="18"/>
              </w:rPr>
              <w:t>x</w:t>
            </w:r>
          </w:p>
        </w:tc>
        <w:tc>
          <w:tcPr>
            <w:tcW w:w="706" w:type="dxa"/>
          </w:tcPr>
          <w:p>
            <w:pPr>
              <w:pStyle w:val="TableParagraph"/>
              <w:spacing w:line="197" w:lineRule="exact" w:before="61"/>
              <w:ind w:right="229"/>
              <w:jc w:val="right"/>
              <w:rPr>
                <w:rFonts w:ascii="Wingdings" w:hAnsi="Wingdings"/>
                <w:sz w:val="18"/>
              </w:rPr>
            </w:pPr>
            <w:r>
              <w:rPr>
                <w:rFonts w:ascii="Wingdings" w:hAnsi="Wingdings"/>
                <w:sz w:val="18"/>
              </w:rPr>
              <w:t></w:t>
            </w:r>
          </w:p>
        </w:tc>
        <w:tc>
          <w:tcPr>
            <w:tcW w:w="567" w:type="dxa"/>
          </w:tcPr>
          <w:p>
            <w:pPr>
              <w:pStyle w:val="TableParagraph"/>
              <w:spacing w:line="197" w:lineRule="exact" w:before="61"/>
              <w:ind w:right="157"/>
              <w:jc w:val="right"/>
              <w:rPr>
                <w:rFonts w:ascii="Wingdings" w:hAnsi="Wingdings"/>
                <w:sz w:val="18"/>
              </w:rPr>
            </w:pPr>
            <w:r>
              <w:rPr>
                <w:rFonts w:ascii="Wingdings" w:hAnsi="Wingdings"/>
                <w:sz w:val="18"/>
              </w:rPr>
              <w:t></w:t>
            </w:r>
          </w:p>
        </w:tc>
      </w:tr>
      <w:tr>
        <w:trPr>
          <w:trHeight w:val="280" w:hRule="atLeast"/>
        </w:trPr>
        <w:tc>
          <w:tcPr>
            <w:tcW w:w="1272" w:type="dxa"/>
          </w:tcPr>
          <w:p>
            <w:pPr>
              <w:pStyle w:val="TableParagraph"/>
              <w:spacing w:line="206" w:lineRule="exact" w:before="54"/>
              <w:ind w:left="112"/>
              <w:rPr>
                <w:b/>
                <w:sz w:val="18"/>
              </w:rPr>
            </w:pPr>
            <w:r>
              <w:rPr>
                <w:b/>
                <w:sz w:val="18"/>
              </w:rPr>
              <w:t>26.08.21</w:t>
            </w:r>
          </w:p>
        </w:tc>
        <w:tc>
          <w:tcPr>
            <w:tcW w:w="708" w:type="dxa"/>
          </w:tcPr>
          <w:p>
            <w:pPr>
              <w:pStyle w:val="TableParagraph"/>
              <w:spacing w:line="197" w:lineRule="exact" w:before="63"/>
              <w:ind w:right="264"/>
              <w:jc w:val="right"/>
              <w:rPr>
                <w:rFonts w:ascii="Wingdings" w:hAnsi="Wingdings"/>
                <w:sz w:val="18"/>
              </w:rPr>
            </w:pPr>
            <w:r>
              <w:rPr>
                <w:rFonts w:ascii="Wingdings" w:hAnsi="Wingdings"/>
                <w:sz w:val="18"/>
              </w:rPr>
              <w:t></w:t>
            </w:r>
          </w:p>
        </w:tc>
        <w:tc>
          <w:tcPr>
            <w:tcW w:w="715" w:type="dxa"/>
          </w:tcPr>
          <w:p>
            <w:pPr>
              <w:pStyle w:val="TableParagraph"/>
              <w:spacing w:line="197" w:lineRule="exact" w:before="63"/>
              <w:ind w:left="17"/>
              <w:jc w:val="center"/>
              <w:rPr>
                <w:rFonts w:ascii="Wingdings" w:hAnsi="Wingdings"/>
                <w:sz w:val="18"/>
              </w:rPr>
            </w:pPr>
            <w:r>
              <w:rPr>
                <w:rFonts w:ascii="Wingdings" w:hAnsi="Wingdings"/>
                <w:sz w:val="18"/>
              </w:rPr>
              <w:t></w:t>
            </w:r>
          </w:p>
        </w:tc>
        <w:tc>
          <w:tcPr>
            <w:tcW w:w="849" w:type="dxa"/>
          </w:tcPr>
          <w:p>
            <w:pPr>
              <w:pStyle w:val="TableParagraph"/>
              <w:spacing w:line="197" w:lineRule="exact" w:before="63"/>
              <w:ind w:left="17"/>
              <w:jc w:val="center"/>
              <w:rPr>
                <w:rFonts w:ascii="Wingdings" w:hAnsi="Wingdings"/>
                <w:sz w:val="18"/>
              </w:rPr>
            </w:pPr>
            <w:r>
              <w:rPr>
                <w:rFonts w:ascii="Wingdings" w:hAnsi="Wingdings"/>
                <w:sz w:val="18"/>
              </w:rPr>
              <w:t></w:t>
            </w:r>
          </w:p>
        </w:tc>
        <w:tc>
          <w:tcPr>
            <w:tcW w:w="707" w:type="dxa"/>
          </w:tcPr>
          <w:p>
            <w:pPr>
              <w:pStyle w:val="TableParagraph"/>
              <w:spacing w:line="197" w:lineRule="exact" w:before="63"/>
              <w:ind w:left="288"/>
              <w:rPr>
                <w:rFonts w:ascii="Wingdings" w:hAnsi="Wingdings"/>
                <w:sz w:val="18"/>
              </w:rPr>
            </w:pPr>
            <w:r>
              <w:rPr>
                <w:rFonts w:ascii="Wingdings" w:hAnsi="Wingdings"/>
                <w:sz w:val="18"/>
              </w:rPr>
              <w:t></w:t>
            </w:r>
          </w:p>
        </w:tc>
        <w:tc>
          <w:tcPr>
            <w:tcW w:w="846" w:type="dxa"/>
          </w:tcPr>
          <w:p>
            <w:pPr>
              <w:pStyle w:val="TableParagraph"/>
              <w:spacing w:line="197" w:lineRule="exact" w:before="63"/>
              <w:ind w:left="19"/>
              <w:jc w:val="center"/>
              <w:rPr>
                <w:rFonts w:ascii="Wingdings" w:hAnsi="Wingdings"/>
                <w:sz w:val="18"/>
              </w:rPr>
            </w:pPr>
            <w:r>
              <w:rPr>
                <w:rFonts w:ascii="Wingdings" w:hAnsi="Wingdings"/>
                <w:sz w:val="18"/>
              </w:rPr>
              <w:t></w:t>
            </w:r>
          </w:p>
        </w:tc>
        <w:tc>
          <w:tcPr>
            <w:tcW w:w="709" w:type="dxa"/>
          </w:tcPr>
          <w:p>
            <w:pPr>
              <w:pStyle w:val="TableParagraph"/>
              <w:spacing w:line="197" w:lineRule="exact" w:before="63"/>
              <w:ind w:right="257"/>
              <w:jc w:val="right"/>
              <w:rPr>
                <w:rFonts w:ascii="Wingdings" w:hAnsi="Wingdings"/>
                <w:sz w:val="18"/>
              </w:rPr>
            </w:pPr>
            <w:r>
              <w:rPr>
                <w:rFonts w:ascii="Wingdings" w:hAnsi="Wingdings"/>
                <w:sz w:val="18"/>
              </w:rPr>
              <w:t></w:t>
            </w:r>
          </w:p>
        </w:tc>
        <w:tc>
          <w:tcPr>
            <w:tcW w:w="707" w:type="dxa"/>
          </w:tcPr>
          <w:p>
            <w:pPr>
              <w:pStyle w:val="TableParagraph"/>
              <w:spacing w:line="197" w:lineRule="exact" w:before="63"/>
              <w:ind w:right="258"/>
              <w:jc w:val="right"/>
              <w:rPr>
                <w:rFonts w:ascii="Wingdings" w:hAnsi="Wingdings"/>
                <w:sz w:val="18"/>
              </w:rPr>
            </w:pPr>
            <w:r>
              <w:rPr>
                <w:rFonts w:ascii="Wingdings" w:hAnsi="Wingdings"/>
                <w:sz w:val="18"/>
              </w:rPr>
              <w:t></w:t>
            </w:r>
          </w:p>
        </w:tc>
        <w:tc>
          <w:tcPr>
            <w:tcW w:w="709" w:type="dxa"/>
          </w:tcPr>
          <w:p>
            <w:pPr>
              <w:pStyle w:val="TableParagraph"/>
              <w:spacing w:line="197" w:lineRule="exact" w:before="63"/>
              <w:ind w:left="34"/>
              <w:jc w:val="center"/>
              <w:rPr>
                <w:rFonts w:ascii="Wingdings" w:hAnsi="Wingdings"/>
                <w:sz w:val="18"/>
              </w:rPr>
            </w:pPr>
            <w:r>
              <w:rPr>
                <w:rFonts w:ascii="Wingdings" w:hAnsi="Wingdings"/>
                <w:sz w:val="18"/>
              </w:rPr>
              <w:t></w:t>
            </w:r>
          </w:p>
        </w:tc>
        <w:tc>
          <w:tcPr>
            <w:tcW w:w="848" w:type="dxa"/>
          </w:tcPr>
          <w:p>
            <w:pPr>
              <w:pStyle w:val="TableParagraph"/>
              <w:spacing w:line="197" w:lineRule="exact" w:before="63"/>
              <w:ind w:left="38"/>
              <w:jc w:val="center"/>
              <w:rPr>
                <w:rFonts w:ascii="Wingdings" w:hAnsi="Wingdings"/>
                <w:sz w:val="18"/>
              </w:rPr>
            </w:pPr>
            <w:r>
              <w:rPr>
                <w:rFonts w:ascii="Wingdings" w:hAnsi="Wingdings"/>
                <w:sz w:val="18"/>
              </w:rPr>
              <w:t></w:t>
            </w:r>
          </w:p>
        </w:tc>
        <w:tc>
          <w:tcPr>
            <w:tcW w:w="848" w:type="dxa"/>
          </w:tcPr>
          <w:p>
            <w:pPr>
              <w:pStyle w:val="TableParagraph"/>
              <w:spacing w:line="197" w:lineRule="exact" w:before="63"/>
              <w:ind w:right="323"/>
              <w:jc w:val="right"/>
              <w:rPr>
                <w:rFonts w:ascii="Wingdings" w:hAnsi="Wingdings"/>
                <w:sz w:val="18"/>
              </w:rPr>
            </w:pPr>
            <w:r>
              <w:rPr>
                <w:rFonts w:ascii="Wingdings" w:hAnsi="Wingdings"/>
                <w:sz w:val="18"/>
              </w:rPr>
              <w:t></w:t>
            </w:r>
          </w:p>
        </w:tc>
        <w:tc>
          <w:tcPr>
            <w:tcW w:w="704" w:type="dxa"/>
          </w:tcPr>
          <w:p>
            <w:pPr>
              <w:pStyle w:val="TableParagraph"/>
              <w:spacing w:line="197" w:lineRule="exact" w:before="63"/>
              <w:ind w:left="49"/>
              <w:jc w:val="center"/>
              <w:rPr>
                <w:rFonts w:ascii="Wingdings" w:hAnsi="Wingdings"/>
                <w:sz w:val="18"/>
              </w:rPr>
            </w:pPr>
            <w:r>
              <w:rPr>
                <w:rFonts w:ascii="Wingdings" w:hAnsi="Wingdings"/>
                <w:sz w:val="18"/>
              </w:rPr>
              <w:t></w:t>
            </w:r>
          </w:p>
        </w:tc>
        <w:tc>
          <w:tcPr>
            <w:tcW w:w="850" w:type="dxa"/>
          </w:tcPr>
          <w:p>
            <w:pPr>
              <w:pStyle w:val="TableParagraph"/>
              <w:spacing w:line="206" w:lineRule="exact" w:before="54"/>
              <w:ind w:left="55"/>
              <w:jc w:val="center"/>
              <w:rPr>
                <w:b/>
                <w:sz w:val="18"/>
              </w:rPr>
            </w:pPr>
            <w:r>
              <w:rPr>
                <w:b/>
                <w:sz w:val="18"/>
              </w:rPr>
              <w:t>x</w:t>
            </w:r>
          </w:p>
        </w:tc>
        <w:tc>
          <w:tcPr>
            <w:tcW w:w="704" w:type="dxa"/>
          </w:tcPr>
          <w:p>
            <w:pPr>
              <w:pStyle w:val="TableParagraph"/>
              <w:spacing w:line="197" w:lineRule="exact" w:before="63"/>
              <w:ind w:left="59"/>
              <w:jc w:val="center"/>
              <w:rPr>
                <w:rFonts w:ascii="Wingdings" w:hAnsi="Wingdings"/>
                <w:sz w:val="18"/>
              </w:rPr>
            </w:pPr>
            <w:r>
              <w:rPr>
                <w:rFonts w:ascii="Wingdings" w:hAnsi="Wingdings"/>
                <w:sz w:val="18"/>
              </w:rPr>
              <w:t></w:t>
            </w:r>
          </w:p>
        </w:tc>
        <w:tc>
          <w:tcPr>
            <w:tcW w:w="706" w:type="dxa"/>
          </w:tcPr>
          <w:p>
            <w:pPr>
              <w:pStyle w:val="TableParagraph"/>
              <w:spacing w:line="197" w:lineRule="exact" w:before="63"/>
              <w:ind w:right="239"/>
              <w:jc w:val="right"/>
              <w:rPr>
                <w:rFonts w:ascii="Wingdings" w:hAnsi="Wingdings"/>
                <w:sz w:val="18"/>
              </w:rPr>
            </w:pPr>
            <w:r>
              <w:rPr>
                <w:rFonts w:ascii="Wingdings" w:hAnsi="Wingdings"/>
                <w:sz w:val="18"/>
              </w:rPr>
              <w:t></w:t>
            </w:r>
          </w:p>
        </w:tc>
        <w:tc>
          <w:tcPr>
            <w:tcW w:w="735" w:type="dxa"/>
          </w:tcPr>
          <w:p>
            <w:pPr>
              <w:pStyle w:val="TableParagraph"/>
              <w:spacing w:line="197" w:lineRule="exact" w:before="63"/>
              <w:ind w:right="250"/>
              <w:jc w:val="right"/>
              <w:rPr>
                <w:rFonts w:ascii="Wingdings" w:hAnsi="Wingdings"/>
                <w:sz w:val="18"/>
              </w:rPr>
            </w:pPr>
            <w:r>
              <w:rPr>
                <w:rFonts w:ascii="Wingdings" w:hAnsi="Wingdings"/>
                <w:sz w:val="18"/>
              </w:rPr>
              <w:t></w:t>
            </w:r>
          </w:p>
        </w:tc>
        <w:tc>
          <w:tcPr>
            <w:tcW w:w="430" w:type="dxa"/>
          </w:tcPr>
          <w:p>
            <w:pPr>
              <w:pStyle w:val="TableParagraph"/>
              <w:spacing w:line="197" w:lineRule="exact" w:before="63"/>
              <w:ind w:left="75"/>
              <w:jc w:val="center"/>
              <w:rPr>
                <w:rFonts w:ascii="Wingdings" w:hAnsi="Wingdings"/>
                <w:sz w:val="18"/>
              </w:rPr>
            </w:pPr>
            <w:r>
              <w:rPr>
                <w:rFonts w:ascii="Wingdings" w:hAnsi="Wingdings"/>
                <w:sz w:val="18"/>
              </w:rPr>
              <w:t></w:t>
            </w:r>
          </w:p>
        </w:tc>
        <w:tc>
          <w:tcPr>
            <w:tcW w:w="528" w:type="dxa"/>
          </w:tcPr>
          <w:p>
            <w:pPr>
              <w:pStyle w:val="TableParagraph"/>
              <w:spacing w:line="197" w:lineRule="exact" w:before="63"/>
              <w:ind w:left="82"/>
              <w:jc w:val="center"/>
              <w:rPr>
                <w:rFonts w:ascii="Wingdings" w:hAnsi="Wingdings"/>
                <w:sz w:val="18"/>
              </w:rPr>
            </w:pPr>
            <w:r>
              <w:rPr>
                <w:rFonts w:ascii="Wingdings" w:hAnsi="Wingdings"/>
                <w:sz w:val="18"/>
              </w:rPr>
              <w:t></w:t>
            </w:r>
          </w:p>
        </w:tc>
        <w:tc>
          <w:tcPr>
            <w:tcW w:w="706" w:type="dxa"/>
          </w:tcPr>
          <w:p>
            <w:pPr>
              <w:pStyle w:val="TableParagraph"/>
              <w:spacing w:line="197" w:lineRule="exact" w:before="63"/>
              <w:ind w:right="229"/>
              <w:jc w:val="right"/>
              <w:rPr>
                <w:rFonts w:ascii="Wingdings" w:hAnsi="Wingdings"/>
                <w:sz w:val="18"/>
              </w:rPr>
            </w:pPr>
            <w:r>
              <w:rPr>
                <w:rFonts w:ascii="Wingdings" w:hAnsi="Wingdings"/>
                <w:sz w:val="18"/>
              </w:rPr>
              <w:t></w:t>
            </w:r>
          </w:p>
        </w:tc>
        <w:tc>
          <w:tcPr>
            <w:tcW w:w="567" w:type="dxa"/>
          </w:tcPr>
          <w:p>
            <w:pPr>
              <w:pStyle w:val="TableParagraph"/>
              <w:spacing w:line="197" w:lineRule="exact" w:before="63"/>
              <w:ind w:right="157"/>
              <w:jc w:val="right"/>
              <w:rPr>
                <w:rFonts w:ascii="Wingdings" w:hAnsi="Wingdings"/>
                <w:sz w:val="18"/>
              </w:rPr>
            </w:pPr>
            <w:r>
              <w:rPr>
                <w:rFonts w:ascii="Wingdings" w:hAnsi="Wingdings"/>
                <w:sz w:val="18"/>
              </w:rPr>
              <w:t></w:t>
            </w:r>
          </w:p>
        </w:tc>
      </w:tr>
      <w:tr>
        <w:trPr>
          <w:trHeight w:val="278" w:hRule="atLeast"/>
        </w:trPr>
        <w:tc>
          <w:tcPr>
            <w:tcW w:w="1272" w:type="dxa"/>
          </w:tcPr>
          <w:p>
            <w:pPr>
              <w:pStyle w:val="TableParagraph"/>
              <w:spacing w:line="206" w:lineRule="exact" w:before="51"/>
              <w:ind w:left="112"/>
              <w:rPr>
                <w:b/>
                <w:sz w:val="18"/>
              </w:rPr>
            </w:pPr>
            <w:r>
              <w:rPr>
                <w:b/>
                <w:sz w:val="18"/>
              </w:rPr>
              <w:t>23.09.21</w:t>
            </w:r>
          </w:p>
        </w:tc>
        <w:tc>
          <w:tcPr>
            <w:tcW w:w="708" w:type="dxa"/>
          </w:tcPr>
          <w:p>
            <w:pPr>
              <w:pStyle w:val="TableParagraph"/>
              <w:spacing w:line="199" w:lineRule="exact" w:before="58"/>
              <w:ind w:right="264"/>
              <w:jc w:val="right"/>
              <w:rPr>
                <w:rFonts w:ascii="Wingdings" w:hAnsi="Wingdings"/>
                <w:sz w:val="18"/>
              </w:rPr>
            </w:pPr>
            <w:r>
              <w:rPr>
                <w:rFonts w:ascii="Wingdings" w:hAnsi="Wingdings"/>
                <w:sz w:val="18"/>
              </w:rPr>
              <w:t></w:t>
            </w:r>
          </w:p>
        </w:tc>
        <w:tc>
          <w:tcPr>
            <w:tcW w:w="715" w:type="dxa"/>
          </w:tcPr>
          <w:p>
            <w:pPr>
              <w:pStyle w:val="TableParagraph"/>
              <w:spacing w:line="199" w:lineRule="exact" w:before="58"/>
              <w:ind w:left="17"/>
              <w:jc w:val="center"/>
              <w:rPr>
                <w:rFonts w:ascii="Wingdings" w:hAnsi="Wingdings"/>
                <w:sz w:val="18"/>
              </w:rPr>
            </w:pPr>
            <w:r>
              <w:rPr>
                <w:rFonts w:ascii="Wingdings" w:hAnsi="Wingdings"/>
                <w:sz w:val="18"/>
              </w:rPr>
              <w:t></w:t>
            </w:r>
          </w:p>
        </w:tc>
        <w:tc>
          <w:tcPr>
            <w:tcW w:w="849" w:type="dxa"/>
          </w:tcPr>
          <w:p>
            <w:pPr>
              <w:pStyle w:val="TableParagraph"/>
              <w:spacing w:line="199" w:lineRule="exact" w:before="58"/>
              <w:ind w:left="17"/>
              <w:jc w:val="center"/>
              <w:rPr>
                <w:rFonts w:ascii="Wingdings" w:hAnsi="Wingdings"/>
                <w:sz w:val="18"/>
              </w:rPr>
            </w:pPr>
            <w:r>
              <w:rPr>
                <w:rFonts w:ascii="Wingdings" w:hAnsi="Wingdings"/>
                <w:sz w:val="18"/>
              </w:rPr>
              <w:t></w:t>
            </w:r>
          </w:p>
        </w:tc>
        <w:tc>
          <w:tcPr>
            <w:tcW w:w="707" w:type="dxa"/>
          </w:tcPr>
          <w:p>
            <w:pPr>
              <w:pStyle w:val="TableParagraph"/>
              <w:spacing w:line="206" w:lineRule="exact" w:before="51"/>
              <w:ind w:left="307"/>
              <w:rPr>
                <w:b/>
                <w:sz w:val="18"/>
              </w:rPr>
            </w:pPr>
            <w:r>
              <w:rPr>
                <w:b/>
                <w:sz w:val="18"/>
              </w:rPr>
              <w:t>x</w:t>
            </w:r>
          </w:p>
        </w:tc>
        <w:tc>
          <w:tcPr>
            <w:tcW w:w="846" w:type="dxa"/>
          </w:tcPr>
          <w:p>
            <w:pPr>
              <w:pStyle w:val="TableParagraph"/>
              <w:spacing w:line="199" w:lineRule="exact" w:before="58"/>
              <w:ind w:left="19"/>
              <w:jc w:val="center"/>
              <w:rPr>
                <w:rFonts w:ascii="Wingdings" w:hAnsi="Wingdings"/>
                <w:sz w:val="18"/>
              </w:rPr>
            </w:pPr>
            <w:r>
              <w:rPr>
                <w:rFonts w:ascii="Wingdings" w:hAnsi="Wingdings"/>
                <w:sz w:val="18"/>
              </w:rPr>
              <w:t></w:t>
            </w:r>
          </w:p>
        </w:tc>
        <w:tc>
          <w:tcPr>
            <w:tcW w:w="709" w:type="dxa"/>
          </w:tcPr>
          <w:p>
            <w:pPr>
              <w:pStyle w:val="TableParagraph"/>
              <w:spacing w:line="199" w:lineRule="exact" w:before="58"/>
              <w:ind w:right="257"/>
              <w:jc w:val="right"/>
              <w:rPr>
                <w:rFonts w:ascii="Wingdings" w:hAnsi="Wingdings"/>
                <w:sz w:val="18"/>
              </w:rPr>
            </w:pPr>
            <w:r>
              <w:rPr>
                <w:rFonts w:ascii="Wingdings" w:hAnsi="Wingdings"/>
                <w:sz w:val="18"/>
              </w:rPr>
              <w:t></w:t>
            </w:r>
          </w:p>
        </w:tc>
        <w:tc>
          <w:tcPr>
            <w:tcW w:w="707" w:type="dxa"/>
          </w:tcPr>
          <w:p>
            <w:pPr>
              <w:pStyle w:val="TableParagraph"/>
              <w:spacing w:line="199" w:lineRule="exact" w:before="58"/>
              <w:ind w:right="258"/>
              <w:jc w:val="right"/>
              <w:rPr>
                <w:rFonts w:ascii="Wingdings" w:hAnsi="Wingdings"/>
                <w:sz w:val="18"/>
              </w:rPr>
            </w:pPr>
            <w:r>
              <w:rPr>
                <w:rFonts w:ascii="Wingdings" w:hAnsi="Wingdings"/>
                <w:sz w:val="18"/>
              </w:rPr>
              <w:t></w:t>
            </w:r>
          </w:p>
        </w:tc>
        <w:tc>
          <w:tcPr>
            <w:tcW w:w="709" w:type="dxa"/>
          </w:tcPr>
          <w:p>
            <w:pPr>
              <w:pStyle w:val="TableParagraph"/>
              <w:spacing w:line="199" w:lineRule="exact" w:before="58"/>
              <w:ind w:left="34"/>
              <w:jc w:val="center"/>
              <w:rPr>
                <w:rFonts w:ascii="Wingdings" w:hAnsi="Wingdings"/>
                <w:sz w:val="18"/>
              </w:rPr>
            </w:pPr>
            <w:r>
              <w:rPr>
                <w:rFonts w:ascii="Wingdings" w:hAnsi="Wingdings"/>
                <w:sz w:val="18"/>
              </w:rPr>
              <w:t></w:t>
            </w:r>
          </w:p>
        </w:tc>
        <w:tc>
          <w:tcPr>
            <w:tcW w:w="848" w:type="dxa"/>
          </w:tcPr>
          <w:p>
            <w:pPr>
              <w:pStyle w:val="TableParagraph"/>
              <w:spacing w:line="199" w:lineRule="exact" w:before="58"/>
              <w:ind w:left="37"/>
              <w:jc w:val="center"/>
              <w:rPr>
                <w:rFonts w:ascii="Wingdings" w:hAnsi="Wingdings"/>
                <w:sz w:val="18"/>
              </w:rPr>
            </w:pPr>
            <w:r>
              <w:rPr>
                <w:rFonts w:ascii="Wingdings" w:hAnsi="Wingdings"/>
                <w:sz w:val="18"/>
              </w:rPr>
              <w:t></w:t>
            </w:r>
          </w:p>
        </w:tc>
        <w:tc>
          <w:tcPr>
            <w:tcW w:w="848" w:type="dxa"/>
          </w:tcPr>
          <w:p>
            <w:pPr>
              <w:pStyle w:val="TableParagraph"/>
              <w:spacing w:line="199" w:lineRule="exact" w:before="58"/>
              <w:ind w:right="323"/>
              <w:jc w:val="right"/>
              <w:rPr>
                <w:rFonts w:ascii="Wingdings" w:hAnsi="Wingdings"/>
                <w:sz w:val="18"/>
              </w:rPr>
            </w:pPr>
            <w:r>
              <w:rPr>
                <w:rFonts w:ascii="Wingdings" w:hAnsi="Wingdings"/>
                <w:sz w:val="18"/>
              </w:rPr>
              <w:t></w:t>
            </w:r>
          </w:p>
        </w:tc>
        <w:tc>
          <w:tcPr>
            <w:tcW w:w="704" w:type="dxa"/>
          </w:tcPr>
          <w:p>
            <w:pPr>
              <w:pStyle w:val="TableParagraph"/>
              <w:spacing w:line="206" w:lineRule="exact" w:before="51"/>
              <w:ind w:left="44"/>
              <w:jc w:val="center"/>
              <w:rPr>
                <w:b/>
                <w:sz w:val="18"/>
              </w:rPr>
            </w:pPr>
            <w:r>
              <w:rPr>
                <w:b/>
                <w:sz w:val="18"/>
              </w:rPr>
              <w:t>x</w:t>
            </w:r>
          </w:p>
        </w:tc>
        <w:tc>
          <w:tcPr>
            <w:tcW w:w="850" w:type="dxa"/>
          </w:tcPr>
          <w:p>
            <w:pPr>
              <w:pStyle w:val="TableParagraph"/>
              <w:spacing w:line="199" w:lineRule="exact" w:before="58"/>
              <w:ind w:left="58"/>
              <w:jc w:val="center"/>
              <w:rPr>
                <w:rFonts w:ascii="Wingdings" w:hAnsi="Wingdings"/>
                <w:sz w:val="18"/>
              </w:rPr>
            </w:pPr>
            <w:r>
              <w:rPr>
                <w:rFonts w:ascii="Wingdings" w:hAnsi="Wingdings"/>
                <w:sz w:val="18"/>
              </w:rPr>
              <w:t></w:t>
            </w:r>
          </w:p>
        </w:tc>
        <w:tc>
          <w:tcPr>
            <w:tcW w:w="704" w:type="dxa"/>
          </w:tcPr>
          <w:p>
            <w:pPr>
              <w:pStyle w:val="TableParagraph"/>
              <w:spacing w:line="199" w:lineRule="exact" w:before="58"/>
              <w:ind w:left="59"/>
              <w:jc w:val="center"/>
              <w:rPr>
                <w:rFonts w:ascii="Wingdings" w:hAnsi="Wingdings"/>
                <w:sz w:val="18"/>
              </w:rPr>
            </w:pPr>
            <w:r>
              <w:rPr>
                <w:rFonts w:ascii="Wingdings" w:hAnsi="Wingdings"/>
                <w:sz w:val="18"/>
              </w:rPr>
              <w:t></w:t>
            </w:r>
          </w:p>
        </w:tc>
        <w:tc>
          <w:tcPr>
            <w:tcW w:w="706" w:type="dxa"/>
          </w:tcPr>
          <w:p>
            <w:pPr>
              <w:pStyle w:val="TableParagraph"/>
              <w:spacing w:line="199" w:lineRule="exact" w:before="58"/>
              <w:ind w:right="239"/>
              <w:jc w:val="right"/>
              <w:rPr>
                <w:rFonts w:ascii="Wingdings" w:hAnsi="Wingdings"/>
                <w:sz w:val="18"/>
              </w:rPr>
            </w:pPr>
            <w:r>
              <w:rPr>
                <w:rFonts w:ascii="Wingdings" w:hAnsi="Wingdings"/>
                <w:sz w:val="18"/>
              </w:rPr>
              <w:t></w:t>
            </w:r>
          </w:p>
        </w:tc>
        <w:tc>
          <w:tcPr>
            <w:tcW w:w="735" w:type="dxa"/>
          </w:tcPr>
          <w:p>
            <w:pPr>
              <w:pStyle w:val="TableParagraph"/>
              <w:spacing w:line="199" w:lineRule="exact" w:before="58"/>
              <w:ind w:right="250"/>
              <w:jc w:val="right"/>
              <w:rPr>
                <w:rFonts w:ascii="Wingdings" w:hAnsi="Wingdings"/>
                <w:sz w:val="18"/>
              </w:rPr>
            </w:pPr>
            <w:r>
              <w:rPr>
                <w:rFonts w:ascii="Wingdings" w:hAnsi="Wingdings"/>
                <w:sz w:val="18"/>
              </w:rPr>
              <w:t></w:t>
            </w:r>
          </w:p>
        </w:tc>
        <w:tc>
          <w:tcPr>
            <w:tcW w:w="430" w:type="dxa"/>
          </w:tcPr>
          <w:p>
            <w:pPr>
              <w:pStyle w:val="TableParagraph"/>
              <w:spacing w:line="199" w:lineRule="exact" w:before="58"/>
              <w:ind w:left="75"/>
              <w:jc w:val="center"/>
              <w:rPr>
                <w:rFonts w:ascii="Wingdings" w:hAnsi="Wingdings"/>
                <w:sz w:val="18"/>
              </w:rPr>
            </w:pPr>
            <w:r>
              <w:rPr>
                <w:rFonts w:ascii="Wingdings" w:hAnsi="Wingdings"/>
                <w:sz w:val="18"/>
              </w:rPr>
              <w:t></w:t>
            </w:r>
          </w:p>
        </w:tc>
        <w:tc>
          <w:tcPr>
            <w:tcW w:w="528" w:type="dxa"/>
          </w:tcPr>
          <w:p>
            <w:pPr>
              <w:pStyle w:val="TableParagraph"/>
              <w:spacing w:line="199" w:lineRule="exact" w:before="58"/>
              <w:ind w:left="82"/>
              <w:jc w:val="center"/>
              <w:rPr>
                <w:rFonts w:ascii="Wingdings" w:hAnsi="Wingdings"/>
                <w:sz w:val="18"/>
              </w:rPr>
            </w:pPr>
            <w:r>
              <w:rPr>
                <w:rFonts w:ascii="Wingdings" w:hAnsi="Wingdings"/>
                <w:sz w:val="18"/>
              </w:rPr>
              <w:t></w:t>
            </w:r>
          </w:p>
        </w:tc>
        <w:tc>
          <w:tcPr>
            <w:tcW w:w="706" w:type="dxa"/>
          </w:tcPr>
          <w:p>
            <w:pPr>
              <w:pStyle w:val="TableParagraph"/>
              <w:spacing w:line="199" w:lineRule="exact" w:before="58"/>
              <w:ind w:right="229"/>
              <w:jc w:val="right"/>
              <w:rPr>
                <w:rFonts w:ascii="Wingdings" w:hAnsi="Wingdings"/>
                <w:sz w:val="18"/>
              </w:rPr>
            </w:pPr>
            <w:r>
              <w:rPr>
                <w:rFonts w:ascii="Wingdings" w:hAnsi="Wingdings"/>
                <w:sz w:val="18"/>
              </w:rPr>
              <w:t></w:t>
            </w:r>
          </w:p>
        </w:tc>
        <w:tc>
          <w:tcPr>
            <w:tcW w:w="567" w:type="dxa"/>
          </w:tcPr>
          <w:p>
            <w:pPr>
              <w:pStyle w:val="TableParagraph"/>
              <w:spacing w:line="199" w:lineRule="exact" w:before="58"/>
              <w:ind w:right="157"/>
              <w:jc w:val="right"/>
              <w:rPr>
                <w:rFonts w:ascii="Wingdings" w:hAnsi="Wingdings"/>
                <w:sz w:val="18"/>
              </w:rPr>
            </w:pPr>
            <w:r>
              <w:rPr>
                <w:rFonts w:ascii="Wingdings" w:hAnsi="Wingdings"/>
                <w:sz w:val="18"/>
              </w:rPr>
              <w:t></w:t>
            </w:r>
          </w:p>
        </w:tc>
      </w:tr>
      <w:tr>
        <w:trPr>
          <w:trHeight w:val="280" w:hRule="atLeast"/>
        </w:trPr>
        <w:tc>
          <w:tcPr>
            <w:tcW w:w="1272" w:type="dxa"/>
          </w:tcPr>
          <w:p>
            <w:pPr>
              <w:pStyle w:val="TableParagraph"/>
              <w:spacing w:before="51"/>
              <w:ind w:left="112"/>
              <w:rPr>
                <w:b/>
                <w:sz w:val="18"/>
              </w:rPr>
            </w:pPr>
            <w:r>
              <w:rPr>
                <w:b/>
                <w:sz w:val="18"/>
              </w:rPr>
              <w:t>28.10.21</w:t>
            </w:r>
          </w:p>
        </w:tc>
        <w:tc>
          <w:tcPr>
            <w:tcW w:w="708" w:type="dxa"/>
          </w:tcPr>
          <w:p>
            <w:pPr>
              <w:pStyle w:val="TableParagraph"/>
              <w:spacing w:line="199" w:lineRule="exact" w:before="61"/>
              <w:ind w:right="264"/>
              <w:jc w:val="right"/>
              <w:rPr>
                <w:rFonts w:ascii="Wingdings" w:hAnsi="Wingdings"/>
                <w:sz w:val="18"/>
              </w:rPr>
            </w:pPr>
            <w:r>
              <w:rPr>
                <w:rFonts w:ascii="Wingdings" w:hAnsi="Wingdings"/>
                <w:sz w:val="18"/>
              </w:rPr>
              <w:t></w:t>
            </w:r>
          </w:p>
        </w:tc>
        <w:tc>
          <w:tcPr>
            <w:tcW w:w="715" w:type="dxa"/>
          </w:tcPr>
          <w:p>
            <w:pPr>
              <w:pStyle w:val="TableParagraph"/>
              <w:spacing w:before="51"/>
              <w:ind w:left="18"/>
              <w:jc w:val="center"/>
              <w:rPr>
                <w:b/>
                <w:sz w:val="18"/>
              </w:rPr>
            </w:pPr>
            <w:r>
              <w:rPr>
                <w:b/>
                <w:sz w:val="18"/>
              </w:rPr>
              <w:t>x</w:t>
            </w:r>
          </w:p>
        </w:tc>
        <w:tc>
          <w:tcPr>
            <w:tcW w:w="849" w:type="dxa"/>
          </w:tcPr>
          <w:p>
            <w:pPr>
              <w:pStyle w:val="TableParagraph"/>
              <w:spacing w:line="199" w:lineRule="exact" w:before="61"/>
              <w:ind w:left="17"/>
              <w:jc w:val="center"/>
              <w:rPr>
                <w:rFonts w:ascii="Wingdings" w:hAnsi="Wingdings"/>
                <w:sz w:val="18"/>
              </w:rPr>
            </w:pPr>
            <w:r>
              <w:rPr>
                <w:rFonts w:ascii="Wingdings" w:hAnsi="Wingdings"/>
                <w:sz w:val="18"/>
              </w:rPr>
              <w:t></w:t>
            </w:r>
          </w:p>
        </w:tc>
        <w:tc>
          <w:tcPr>
            <w:tcW w:w="707" w:type="dxa"/>
          </w:tcPr>
          <w:p>
            <w:pPr>
              <w:pStyle w:val="TableParagraph"/>
              <w:spacing w:line="199" w:lineRule="exact" w:before="61"/>
              <w:ind w:left="288"/>
              <w:rPr>
                <w:rFonts w:ascii="Wingdings" w:hAnsi="Wingdings"/>
                <w:sz w:val="18"/>
              </w:rPr>
            </w:pPr>
            <w:r>
              <w:rPr>
                <w:rFonts w:ascii="Wingdings" w:hAnsi="Wingdings"/>
                <w:sz w:val="18"/>
              </w:rPr>
              <w:t></w:t>
            </w:r>
          </w:p>
        </w:tc>
        <w:tc>
          <w:tcPr>
            <w:tcW w:w="846" w:type="dxa"/>
          </w:tcPr>
          <w:p>
            <w:pPr>
              <w:pStyle w:val="TableParagraph"/>
              <w:spacing w:line="199" w:lineRule="exact" w:before="61"/>
              <w:ind w:left="19"/>
              <w:jc w:val="center"/>
              <w:rPr>
                <w:rFonts w:ascii="Wingdings" w:hAnsi="Wingdings"/>
                <w:sz w:val="18"/>
              </w:rPr>
            </w:pPr>
            <w:r>
              <w:rPr>
                <w:rFonts w:ascii="Wingdings" w:hAnsi="Wingdings"/>
                <w:sz w:val="18"/>
              </w:rPr>
              <w:t></w:t>
            </w:r>
          </w:p>
        </w:tc>
        <w:tc>
          <w:tcPr>
            <w:tcW w:w="709" w:type="dxa"/>
          </w:tcPr>
          <w:p>
            <w:pPr>
              <w:pStyle w:val="TableParagraph"/>
              <w:spacing w:line="199" w:lineRule="exact" w:before="61"/>
              <w:ind w:right="257"/>
              <w:jc w:val="right"/>
              <w:rPr>
                <w:rFonts w:ascii="Wingdings" w:hAnsi="Wingdings"/>
                <w:sz w:val="18"/>
              </w:rPr>
            </w:pPr>
            <w:r>
              <w:rPr>
                <w:rFonts w:ascii="Wingdings" w:hAnsi="Wingdings"/>
                <w:sz w:val="18"/>
              </w:rPr>
              <w:t></w:t>
            </w:r>
          </w:p>
        </w:tc>
        <w:tc>
          <w:tcPr>
            <w:tcW w:w="707" w:type="dxa"/>
          </w:tcPr>
          <w:p>
            <w:pPr>
              <w:pStyle w:val="TableParagraph"/>
              <w:spacing w:line="199" w:lineRule="exact" w:before="61"/>
              <w:ind w:right="258"/>
              <w:jc w:val="right"/>
              <w:rPr>
                <w:rFonts w:ascii="Wingdings" w:hAnsi="Wingdings"/>
                <w:sz w:val="18"/>
              </w:rPr>
            </w:pPr>
            <w:r>
              <w:rPr>
                <w:rFonts w:ascii="Wingdings" w:hAnsi="Wingdings"/>
                <w:sz w:val="18"/>
              </w:rPr>
              <w:t></w:t>
            </w:r>
          </w:p>
        </w:tc>
        <w:tc>
          <w:tcPr>
            <w:tcW w:w="709" w:type="dxa"/>
          </w:tcPr>
          <w:p>
            <w:pPr>
              <w:pStyle w:val="TableParagraph"/>
              <w:spacing w:before="51"/>
              <w:ind w:left="30"/>
              <w:jc w:val="center"/>
              <w:rPr>
                <w:b/>
                <w:sz w:val="18"/>
              </w:rPr>
            </w:pPr>
            <w:r>
              <w:rPr>
                <w:b/>
                <w:sz w:val="18"/>
              </w:rPr>
              <w:t>x</w:t>
            </w:r>
          </w:p>
        </w:tc>
        <w:tc>
          <w:tcPr>
            <w:tcW w:w="848" w:type="dxa"/>
          </w:tcPr>
          <w:p>
            <w:pPr>
              <w:pStyle w:val="TableParagraph"/>
              <w:spacing w:line="199" w:lineRule="exact" w:before="61"/>
              <w:ind w:left="36"/>
              <w:jc w:val="center"/>
              <w:rPr>
                <w:rFonts w:ascii="Wingdings" w:hAnsi="Wingdings"/>
                <w:sz w:val="18"/>
              </w:rPr>
            </w:pPr>
            <w:r>
              <w:rPr>
                <w:rFonts w:ascii="Wingdings" w:hAnsi="Wingdings"/>
                <w:sz w:val="18"/>
              </w:rPr>
              <w:t></w:t>
            </w:r>
          </w:p>
        </w:tc>
        <w:tc>
          <w:tcPr>
            <w:tcW w:w="848" w:type="dxa"/>
          </w:tcPr>
          <w:p>
            <w:pPr>
              <w:pStyle w:val="TableParagraph"/>
              <w:spacing w:before="51"/>
              <w:ind w:right="346"/>
              <w:jc w:val="right"/>
              <w:rPr>
                <w:b/>
                <w:sz w:val="18"/>
              </w:rPr>
            </w:pPr>
            <w:r>
              <w:rPr>
                <w:b/>
                <w:sz w:val="18"/>
              </w:rPr>
              <w:t>x</w:t>
            </w:r>
          </w:p>
        </w:tc>
        <w:tc>
          <w:tcPr>
            <w:tcW w:w="704" w:type="dxa"/>
          </w:tcPr>
          <w:p>
            <w:pPr>
              <w:pStyle w:val="TableParagraph"/>
              <w:spacing w:line="199" w:lineRule="exact" w:before="61"/>
              <w:ind w:left="47"/>
              <w:jc w:val="center"/>
              <w:rPr>
                <w:rFonts w:ascii="Wingdings" w:hAnsi="Wingdings"/>
                <w:sz w:val="18"/>
              </w:rPr>
            </w:pPr>
            <w:r>
              <w:rPr>
                <w:rFonts w:ascii="Wingdings" w:hAnsi="Wingdings"/>
                <w:sz w:val="18"/>
              </w:rPr>
              <w:t></w:t>
            </w:r>
          </w:p>
        </w:tc>
        <w:tc>
          <w:tcPr>
            <w:tcW w:w="850" w:type="dxa"/>
          </w:tcPr>
          <w:p>
            <w:pPr>
              <w:pStyle w:val="TableParagraph"/>
              <w:spacing w:line="199" w:lineRule="exact" w:before="61"/>
              <w:ind w:left="58"/>
              <w:jc w:val="center"/>
              <w:rPr>
                <w:rFonts w:ascii="Wingdings" w:hAnsi="Wingdings"/>
                <w:sz w:val="18"/>
              </w:rPr>
            </w:pPr>
            <w:r>
              <w:rPr>
                <w:rFonts w:ascii="Wingdings" w:hAnsi="Wingdings"/>
                <w:sz w:val="18"/>
              </w:rPr>
              <w:t></w:t>
            </w:r>
          </w:p>
        </w:tc>
        <w:tc>
          <w:tcPr>
            <w:tcW w:w="704" w:type="dxa"/>
          </w:tcPr>
          <w:p>
            <w:pPr>
              <w:pStyle w:val="TableParagraph"/>
              <w:spacing w:line="199" w:lineRule="exact" w:before="61"/>
              <w:ind w:left="59"/>
              <w:jc w:val="center"/>
              <w:rPr>
                <w:rFonts w:ascii="Wingdings" w:hAnsi="Wingdings"/>
                <w:sz w:val="18"/>
              </w:rPr>
            </w:pPr>
            <w:r>
              <w:rPr>
                <w:rFonts w:ascii="Wingdings" w:hAnsi="Wingdings"/>
                <w:sz w:val="18"/>
              </w:rPr>
              <w:t></w:t>
            </w:r>
          </w:p>
        </w:tc>
        <w:tc>
          <w:tcPr>
            <w:tcW w:w="706" w:type="dxa"/>
          </w:tcPr>
          <w:p>
            <w:pPr>
              <w:pStyle w:val="TableParagraph"/>
              <w:spacing w:line="199" w:lineRule="exact" w:before="61"/>
              <w:ind w:right="239"/>
              <w:jc w:val="right"/>
              <w:rPr>
                <w:rFonts w:ascii="Wingdings" w:hAnsi="Wingdings"/>
                <w:sz w:val="18"/>
              </w:rPr>
            </w:pPr>
            <w:r>
              <w:rPr>
                <w:rFonts w:ascii="Wingdings" w:hAnsi="Wingdings"/>
                <w:sz w:val="18"/>
              </w:rPr>
              <w:t></w:t>
            </w:r>
          </w:p>
        </w:tc>
        <w:tc>
          <w:tcPr>
            <w:tcW w:w="735" w:type="dxa"/>
          </w:tcPr>
          <w:p>
            <w:pPr>
              <w:pStyle w:val="TableParagraph"/>
              <w:spacing w:line="199" w:lineRule="exact" w:before="61"/>
              <w:ind w:right="250"/>
              <w:jc w:val="right"/>
              <w:rPr>
                <w:rFonts w:ascii="Wingdings" w:hAnsi="Wingdings"/>
                <w:sz w:val="18"/>
              </w:rPr>
            </w:pPr>
            <w:r>
              <w:rPr>
                <w:rFonts w:ascii="Wingdings" w:hAnsi="Wingdings"/>
                <w:sz w:val="18"/>
              </w:rPr>
              <w:t></w:t>
            </w:r>
          </w:p>
        </w:tc>
        <w:tc>
          <w:tcPr>
            <w:tcW w:w="430" w:type="dxa"/>
          </w:tcPr>
          <w:p>
            <w:pPr>
              <w:pStyle w:val="TableParagraph"/>
              <w:spacing w:before="51"/>
              <w:ind w:left="68"/>
              <w:jc w:val="center"/>
              <w:rPr>
                <w:b/>
                <w:sz w:val="18"/>
              </w:rPr>
            </w:pPr>
            <w:r>
              <w:rPr>
                <w:b/>
                <w:sz w:val="18"/>
              </w:rPr>
              <w:t>x</w:t>
            </w:r>
          </w:p>
        </w:tc>
        <w:tc>
          <w:tcPr>
            <w:tcW w:w="528" w:type="dxa"/>
          </w:tcPr>
          <w:p>
            <w:pPr>
              <w:pStyle w:val="TableParagraph"/>
              <w:spacing w:line="199" w:lineRule="exact" w:before="61"/>
              <w:ind w:left="82"/>
              <w:jc w:val="center"/>
              <w:rPr>
                <w:rFonts w:ascii="Wingdings" w:hAnsi="Wingdings"/>
                <w:sz w:val="18"/>
              </w:rPr>
            </w:pPr>
            <w:r>
              <w:rPr>
                <w:rFonts w:ascii="Wingdings" w:hAnsi="Wingdings"/>
                <w:sz w:val="18"/>
              </w:rPr>
              <w:t></w:t>
            </w:r>
          </w:p>
        </w:tc>
        <w:tc>
          <w:tcPr>
            <w:tcW w:w="706" w:type="dxa"/>
          </w:tcPr>
          <w:p>
            <w:pPr>
              <w:pStyle w:val="TableParagraph"/>
              <w:spacing w:before="51"/>
              <w:ind w:right="251"/>
              <w:jc w:val="right"/>
              <w:rPr>
                <w:b/>
                <w:sz w:val="18"/>
              </w:rPr>
            </w:pPr>
            <w:r>
              <w:rPr>
                <w:b/>
                <w:sz w:val="18"/>
              </w:rPr>
              <w:t>x</w:t>
            </w:r>
          </w:p>
        </w:tc>
        <w:tc>
          <w:tcPr>
            <w:tcW w:w="567" w:type="dxa"/>
          </w:tcPr>
          <w:p>
            <w:pPr>
              <w:pStyle w:val="TableParagraph"/>
              <w:spacing w:before="51"/>
              <w:ind w:right="177"/>
              <w:jc w:val="right"/>
              <w:rPr>
                <w:b/>
                <w:sz w:val="18"/>
              </w:rPr>
            </w:pPr>
            <w:r>
              <w:rPr>
                <w:b/>
                <w:sz w:val="18"/>
              </w:rPr>
              <w:t>x</w:t>
            </w:r>
          </w:p>
        </w:tc>
      </w:tr>
      <w:tr>
        <w:trPr>
          <w:trHeight w:val="278" w:hRule="atLeast"/>
        </w:trPr>
        <w:tc>
          <w:tcPr>
            <w:tcW w:w="1272" w:type="dxa"/>
          </w:tcPr>
          <w:p>
            <w:pPr>
              <w:pStyle w:val="TableParagraph"/>
              <w:spacing w:line="206" w:lineRule="exact" w:before="51"/>
              <w:ind w:left="112"/>
              <w:rPr>
                <w:b/>
                <w:sz w:val="18"/>
              </w:rPr>
            </w:pPr>
            <w:r>
              <w:rPr>
                <w:b/>
                <w:sz w:val="18"/>
              </w:rPr>
              <w:t>25.11.21</w:t>
            </w:r>
          </w:p>
        </w:tc>
        <w:tc>
          <w:tcPr>
            <w:tcW w:w="708" w:type="dxa"/>
          </w:tcPr>
          <w:p>
            <w:pPr>
              <w:pStyle w:val="TableParagraph"/>
              <w:spacing w:line="197" w:lineRule="exact" w:before="61"/>
              <w:ind w:right="264"/>
              <w:jc w:val="right"/>
              <w:rPr>
                <w:rFonts w:ascii="Wingdings" w:hAnsi="Wingdings"/>
                <w:sz w:val="18"/>
              </w:rPr>
            </w:pPr>
            <w:r>
              <w:rPr>
                <w:rFonts w:ascii="Wingdings" w:hAnsi="Wingdings"/>
                <w:sz w:val="18"/>
              </w:rPr>
              <w:t></w:t>
            </w:r>
          </w:p>
        </w:tc>
        <w:tc>
          <w:tcPr>
            <w:tcW w:w="715" w:type="dxa"/>
          </w:tcPr>
          <w:p>
            <w:pPr>
              <w:pStyle w:val="TableParagraph"/>
              <w:spacing w:line="206" w:lineRule="exact" w:before="51"/>
              <w:ind w:left="18"/>
              <w:jc w:val="center"/>
              <w:rPr>
                <w:b/>
                <w:sz w:val="18"/>
              </w:rPr>
            </w:pPr>
            <w:r>
              <w:rPr>
                <w:b/>
                <w:sz w:val="18"/>
              </w:rPr>
              <w:t>x</w:t>
            </w:r>
          </w:p>
        </w:tc>
        <w:tc>
          <w:tcPr>
            <w:tcW w:w="849" w:type="dxa"/>
          </w:tcPr>
          <w:p>
            <w:pPr>
              <w:pStyle w:val="TableParagraph"/>
              <w:spacing w:line="197" w:lineRule="exact" w:before="61"/>
              <w:ind w:left="17"/>
              <w:jc w:val="center"/>
              <w:rPr>
                <w:rFonts w:ascii="Wingdings" w:hAnsi="Wingdings"/>
                <w:sz w:val="18"/>
              </w:rPr>
            </w:pPr>
            <w:r>
              <w:rPr>
                <w:rFonts w:ascii="Wingdings" w:hAnsi="Wingdings"/>
                <w:sz w:val="18"/>
              </w:rPr>
              <w:t></w:t>
            </w:r>
          </w:p>
        </w:tc>
        <w:tc>
          <w:tcPr>
            <w:tcW w:w="707" w:type="dxa"/>
          </w:tcPr>
          <w:p>
            <w:pPr>
              <w:pStyle w:val="TableParagraph"/>
              <w:spacing w:line="197" w:lineRule="exact" w:before="61"/>
              <w:ind w:left="288"/>
              <w:rPr>
                <w:rFonts w:ascii="Wingdings" w:hAnsi="Wingdings"/>
                <w:sz w:val="18"/>
              </w:rPr>
            </w:pPr>
            <w:r>
              <w:rPr>
                <w:rFonts w:ascii="Wingdings" w:hAnsi="Wingdings"/>
                <w:sz w:val="18"/>
              </w:rPr>
              <w:t></w:t>
            </w:r>
          </w:p>
        </w:tc>
        <w:tc>
          <w:tcPr>
            <w:tcW w:w="846" w:type="dxa"/>
          </w:tcPr>
          <w:p>
            <w:pPr>
              <w:pStyle w:val="TableParagraph"/>
              <w:spacing w:line="206" w:lineRule="exact" w:before="51"/>
              <w:ind w:left="20"/>
              <w:jc w:val="center"/>
              <w:rPr>
                <w:b/>
                <w:sz w:val="18"/>
              </w:rPr>
            </w:pPr>
            <w:r>
              <w:rPr>
                <w:b/>
                <w:sz w:val="18"/>
              </w:rPr>
              <w:t>x</w:t>
            </w:r>
          </w:p>
        </w:tc>
        <w:tc>
          <w:tcPr>
            <w:tcW w:w="709" w:type="dxa"/>
          </w:tcPr>
          <w:p>
            <w:pPr>
              <w:pStyle w:val="TableParagraph"/>
              <w:spacing w:line="197" w:lineRule="exact" w:before="61"/>
              <w:ind w:right="257"/>
              <w:jc w:val="right"/>
              <w:rPr>
                <w:rFonts w:ascii="Wingdings" w:hAnsi="Wingdings"/>
                <w:sz w:val="18"/>
              </w:rPr>
            </w:pPr>
            <w:r>
              <w:rPr>
                <w:rFonts w:ascii="Wingdings" w:hAnsi="Wingdings"/>
                <w:sz w:val="18"/>
              </w:rPr>
              <w:t></w:t>
            </w:r>
          </w:p>
        </w:tc>
        <w:tc>
          <w:tcPr>
            <w:tcW w:w="707" w:type="dxa"/>
          </w:tcPr>
          <w:p>
            <w:pPr>
              <w:pStyle w:val="TableParagraph"/>
              <w:spacing w:line="197" w:lineRule="exact" w:before="61"/>
              <w:ind w:right="258"/>
              <w:jc w:val="right"/>
              <w:rPr>
                <w:rFonts w:ascii="Wingdings" w:hAnsi="Wingdings"/>
                <w:sz w:val="18"/>
              </w:rPr>
            </w:pPr>
            <w:r>
              <w:rPr>
                <w:rFonts w:ascii="Wingdings" w:hAnsi="Wingdings"/>
                <w:sz w:val="18"/>
              </w:rPr>
              <w:t></w:t>
            </w:r>
          </w:p>
        </w:tc>
        <w:tc>
          <w:tcPr>
            <w:tcW w:w="709" w:type="dxa"/>
          </w:tcPr>
          <w:p>
            <w:pPr>
              <w:pStyle w:val="TableParagraph"/>
              <w:spacing w:line="197" w:lineRule="exact" w:before="61"/>
              <w:ind w:left="33"/>
              <w:jc w:val="center"/>
              <w:rPr>
                <w:rFonts w:ascii="Wingdings" w:hAnsi="Wingdings"/>
                <w:sz w:val="18"/>
              </w:rPr>
            </w:pPr>
            <w:r>
              <w:rPr>
                <w:rFonts w:ascii="Wingdings" w:hAnsi="Wingdings"/>
                <w:sz w:val="18"/>
              </w:rPr>
              <w:t></w:t>
            </w:r>
          </w:p>
        </w:tc>
        <w:tc>
          <w:tcPr>
            <w:tcW w:w="848" w:type="dxa"/>
          </w:tcPr>
          <w:p>
            <w:pPr>
              <w:pStyle w:val="TableParagraph"/>
              <w:spacing w:line="197" w:lineRule="exact" w:before="61"/>
              <w:ind w:left="37"/>
              <w:jc w:val="center"/>
              <w:rPr>
                <w:rFonts w:ascii="Wingdings" w:hAnsi="Wingdings"/>
                <w:sz w:val="18"/>
              </w:rPr>
            </w:pPr>
            <w:r>
              <w:rPr>
                <w:rFonts w:ascii="Wingdings" w:hAnsi="Wingdings"/>
                <w:sz w:val="18"/>
              </w:rPr>
              <w:t></w:t>
            </w:r>
          </w:p>
        </w:tc>
        <w:tc>
          <w:tcPr>
            <w:tcW w:w="848" w:type="dxa"/>
          </w:tcPr>
          <w:p>
            <w:pPr>
              <w:pStyle w:val="TableParagraph"/>
              <w:spacing w:line="197" w:lineRule="exact" w:before="61"/>
              <w:ind w:right="323"/>
              <w:jc w:val="right"/>
              <w:rPr>
                <w:rFonts w:ascii="Wingdings" w:hAnsi="Wingdings"/>
                <w:sz w:val="18"/>
              </w:rPr>
            </w:pPr>
            <w:r>
              <w:rPr>
                <w:rFonts w:ascii="Wingdings" w:hAnsi="Wingdings"/>
                <w:sz w:val="18"/>
              </w:rPr>
              <w:t></w:t>
            </w:r>
          </w:p>
        </w:tc>
        <w:tc>
          <w:tcPr>
            <w:tcW w:w="704" w:type="dxa"/>
          </w:tcPr>
          <w:p>
            <w:pPr>
              <w:pStyle w:val="TableParagraph"/>
              <w:spacing w:line="206" w:lineRule="exact" w:before="51"/>
              <w:ind w:left="44"/>
              <w:jc w:val="center"/>
              <w:rPr>
                <w:b/>
                <w:sz w:val="18"/>
              </w:rPr>
            </w:pPr>
            <w:r>
              <w:rPr>
                <w:b/>
                <w:sz w:val="18"/>
              </w:rPr>
              <w:t>x</w:t>
            </w:r>
          </w:p>
        </w:tc>
        <w:tc>
          <w:tcPr>
            <w:tcW w:w="850" w:type="dxa"/>
          </w:tcPr>
          <w:p>
            <w:pPr>
              <w:pStyle w:val="TableParagraph"/>
              <w:spacing w:line="206" w:lineRule="exact" w:before="51"/>
              <w:ind w:left="55"/>
              <w:jc w:val="center"/>
              <w:rPr>
                <w:b/>
                <w:sz w:val="18"/>
              </w:rPr>
            </w:pPr>
            <w:r>
              <w:rPr>
                <w:b/>
                <w:sz w:val="18"/>
              </w:rPr>
              <w:t>x</w:t>
            </w:r>
          </w:p>
        </w:tc>
        <w:tc>
          <w:tcPr>
            <w:tcW w:w="704" w:type="dxa"/>
          </w:tcPr>
          <w:p>
            <w:pPr>
              <w:pStyle w:val="TableParagraph"/>
              <w:spacing w:line="197" w:lineRule="exact" w:before="61"/>
              <w:ind w:left="59"/>
              <w:jc w:val="center"/>
              <w:rPr>
                <w:rFonts w:ascii="Wingdings" w:hAnsi="Wingdings"/>
                <w:sz w:val="18"/>
              </w:rPr>
            </w:pPr>
            <w:r>
              <w:rPr>
                <w:rFonts w:ascii="Wingdings" w:hAnsi="Wingdings"/>
                <w:sz w:val="18"/>
              </w:rPr>
              <w:t></w:t>
            </w:r>
          </w:p>
        </w:tc>
        <w:tc>
          <w:tcPr>
            <w:tcW w:w="706" w:type="dxa"/>
          </w:tcPr>
          <w:p>
            <w:pPr>
              <w:pStyle w:val="TableParagraph"/>
              <w:spacing w:line="197" w:lineRule="exact" w:before="61"/>
              <w:ind w:right="239"/>
              <w:jc w:val="right"/>
              <w:rPr>
                <w:rFonts w:ascii="Wingdings" w:hAnsi="Wingdings"/>
                <w:sz w:val="18"/>
              </w:rPr>
            </w:pPr>
            <w:r>
              <w:rPr>
                <w:rFonts w:ascii="Wingdings" w:hAnsi="Wingdings"/>
                <w:sz w:val="18"/>
              </w:rPr>
              <w:t></w:t>
            </w:r>
          </w:p>
        </w:tc>
        <w:tc>
          <w:tcPr>
            <w:tcW w:w="735" w:type="dxa"/>
          </w:tcPr>
          <w:p>
            <w:pPr>
              <w:pStyle w:val="TableParagraph"/>
              <w:spacing w:line="197" w:lineRule="exact" w:before="61"/>
              <w:ind w:right="250"/>
              <w:jc w:val="right"/>
              <w:rPr>
                <w:rFonts w:ascii="Wingdings" w:hAnsi="Wingdings"/>
                <w:sz w:val="18"/>
              </w:rPr>
            </w:pPr>
            <w:r>
              <w:rPr>
                <w:rFonts w:ascii="Wingdings" w:hAnsi="Wingdings"/>
                <w:sz w:val="18"/>
              </w:rPr>
              <w:t></w:t>
            </w:r>
          </w:p>
        </w:tc>
        <w:tc>
          <w:tcPr>
            <w:tcW w:w="430" w:type="dxa"/>
          </w:tcPr>
          <w:p>
            <w:pPr>
              <w:pStyle w:val="TableParagraph"/>
              <w:spacing w:line="206" w:lineRule="exact" w:before="51"/>
              <w:ind w:left="68"/>
              <w:jc w:val="center"/>
              <w:rPr>
                <w:b/>
                <w:sz w:val="18"/>
              </w:rPr>
            </w:pPr>
            <w:r>
              <w:rPr>
                <w:b/>
                <w:sz w:val="18"/>
              </w:rPr>
              <w:t>x</w:t>
            </w:r>
          </w:p>
        </w:tc>
        <w:tc>
          <w:tcPr>
            <w:tcW w:w="528" w:type="dxa"/>
          </w:tcPr>
          <w:p>
            <w:pPr>
              <w:pStyle w:val="TableParagraph"/>
              <w:spacing w:line="197" w:lineRule="exact" w:before="61"/>
              <w:ind w:left="82"/>
              <w:jc w:val="center"/>
              <w:rPr>
                <w:rFonts w:ascii="Wingdings" w:hAnsi="Wingdings"/>
                <w:sz w:val="18"/>
              </w:rPr>
            </w:pPr>
            <w:r>
              <w:rPr>
                <w:rFonts w:ascii="Wingdings" w:hAnsi="Wingdings"/>
                <w:sz w:val="18"/>
              </w:rPr>
              <w:t></w:t>
            </w:r>
          </w:p>
        </w:tc>
        <w:tc>
          <w:tcPr>
            <w:tcW w:w="706" w:type="dxa"/>
          </w:tcPr>
          <w:p>
            <w:pPr>
              <w:pStyle w:val="TableParagraph"/>
              <w:spacing w:line="197" w:lineRule="exact" w:before="61"/>
              <w:ind w:right="229"/>
              <w:jc w:val="right"/>
              <w:rPr>
                <w:rFonts w:ascii="Wingdings" w:hAnsi="Wingdings"/>
                <w:sz w:val="18"/>
              </w:rPr>
            </w:pPr>
            <w:r>
              <w:rPr>
                <w:rFonts w:ascii="Wingdings" w:hAnsi="Wingdings"/>
                <w:sz w:val="18"/>
              </w:rPr>
              <w:t></w:t>
            </w:r>
          </w:p>
        </w:tc>
        <w:tc>
          <w:tcPr>
            <w:tcW w:w="567" w:type="dxa"/>
          </w:tcPr>
          <w:p>
            <w:pPr>
              <w:pStyle w:val="TableParagraph"/>
              <w:spacing w:line="197" w:lineRule="exact" w:before="61"/>
              <w:ind w:right="157"/>
              <w:jc w:val="right"/>
              <w:rPr>
                <w:rFonts w:ascii="Wingdings" w:hAnsi="Wingdings"/>
                <w:sz w:val="18"/>
              </w:rPr>
            </w:pPr>
            <w:r>
              <w:rPr>
                <w:rFonts w:ascii="Wingdings" w:hAnsi="Wingdings"/>
                <w:sz w:val="18"/>
              </w:rPr>
              <w:t></w:t>
            </w:r>
          </w:p>
        </w:tc>
      </w:tr>
      <w:tr>
        <w:trPr>
          <w:trHeight w:val="280" w:hRule="atLeast"/>
        </w:trPr>
        <w:tc>
          <w:tcPr>
            <w:tcW w:w="1272" w:type="dxa"/>
          </w:tcPr>
          <w:p>
            <w:pPr>
              <w:pStyle w:val="TableParagraph"/>
              <w:spacing w:line="206" w:lineRule="exact" w:before="54"/>
              <w:ind w:left="112"/>
              <w:rPr>
                <w:b/>
                <w:sz w:val="18"/>
              </w:rPr>
            </w:pPr>
            <w:r>
              <w:rPr>
                <w:b/>
                <w:sz w:val="18"/>
              </w:rPr>
              <w:t>23.12.21</w:t>
            </w:r>
          </w:p>
        </w:tc>
        <w:tc>
          <w:tcPr>
            <w:tcW w:w="13576" w:type="dxa"/>
            <w:gridSpan w:val="19"/>
          </w:tcPr>
          <w:p>
            <w:pPr>
              <w:pStyle w:val="TableParagraph"/>
              <w:spacing w:line="206" w:lineRule="exact" w:before="54"/>
              <w:ind w:left="5961" w:right="5904"/>
              <w:jc w:val="center"/>
              <w:rPr>
                <w:b/>
                <w:sz w:val="18"/>
              </w:rPr>
            </w:pPr>
            <w:r>
              <w:rPr>
                <w:b/>
                <w:sz w:val="18"/>
              </w:rPr>
              <w:t>Meeting Postponed</w:t>
            </w:r>
          </w:p>
        </w:tc>
      </w:tr>
      <w:tr>
        <w:trPr>
          <w:trHeight w:val="280" w:hRule="atLeast"/>
        </w:trPr>
        <w:tc>
          <w:tcPr>
            <w:tcW w:w="1272" w:type="dxa"/>
          </w:tcPr>
          <w:p>
            <w:pPr>
              <w:pStyle w:val="TableParagraph"/>
              <w:spacing w:before="51"/>
              <w:ind w:left="112"/>
              <w:rPr>
                <w:b/>
                <w:sz w:val="18"/>
              </w:rPr>
            </w:pPr>
            <w:r>
              <w:rPr>
                <w:b/>
                <w:sz w:val="18"/>
              </w:rPr>
              <w:t>27.01.22</w:t>
            </w:r>
          </w:p>
        </w:tc>
        <w:tc>
          <w:tcPr>
            <w:tcW w:w="708" w:type="dxa"/>
          </w:tcPr>
          <w:p>
            <w:pPr>
              <w:pStyle w:val="TableParagraph"/>
              <w:spacing w:line="199" w:lineRule="exact" w:before="61"/>
              <w:ind w:right="264"/>
              <w:jc w:val="right"/>
              <w:rPr>
                <w:rFonts w:ascii="Wingdings" w:hAnsi="Wingdings"/>
                <w:sz w:val="18"/>
              </w:rPr>
            </w:pPr>
            <w:r>
              <w:rPr>
                <w:rFonts w:ascii="Wingdings" w:hAnsi="Wingdings"/>
                <w:sz w:val="18"/>
              </w:rPr>
              <w:t></w:t>
            </w:r>
          </w:p>
        </w:tc>
        <w:tc>
          <w:tcPr>
            <w:tcW w:w="715" w:type="dxa"/>
          </w:tcPr>
          <w:p>
            <w:pPr>
              <w:pStyle w:val="TableParagraph"/>
              <w:spacing w:line="199" w:lineRule="exact" w:before="61"/>
              <w:ind w:left="17"/>
              <w:jc w:val="center"/>
              <w:rPr>
                <w:rFonts w:ascii="Wingdings" w:hAnsi="Wingdings"/>
                <w:sz w:val="18"/>
              </w:rPr>
            </w:pPr>
            <w:r>
              <w:rPr>
                <w:rFonts w:ascii="Wingdings" w:hAnsi="Wingdings"/>
                <w:sz w:val="18"/>
              </w:rPr>
              <w:t></w:t>
            </w:r>
          </w:p>
        </w:tc>
        <w:tc>
          <w:tcPr>
            <w:tcW w:w="849" w:type="dxa"/>
          </w:tcPr>
          <w:p>
            <w:pPr>
              <w:pStyle w:val="TableParagraph"/>
              <w:spacing w:line="199" w:lineRule="exact" w:before="61"/>
              <w:ind w:left="17"/>
              <w:jc w:val="center"/>
              <w:rPr>
                <w:rFonts w:ascii="Wingdings" w:hAnsi="Wingdings"/>
                <w:sz w:val="18"/>
              </w:rPr>
            </w:pPr>
            <w:r>
              <w:rPr>
                <w:rFonts w:ascii="Wingdings" w:hAnsi="Wingdings"/>
                <w:sz w:val="18"/>
              </w:rPr>
              <w:t></w:t>
            </w:r>
          </w:p>
        </w:tc>
        <w:tc>
          <w:tcPr>
            <w:tcW w:w="707" w:type="dxa"/>
          </w:tcPr>
          <w:p>
            <w:pPr>
              <w:pStyle w:val="TableParagraph"/>
              <w:spacing w:line="199" w:lineRule="exact" w:before="61"/>
              <w:ind w:left="288"/>
              <w:rPr>
                <w:rFonts w:ascii="Wingdings" w:hAnsi="Wingdings"/>
                <w:sz w:val="18"/>
              </w:rPr>
            </w:pPr>
            <w:r>
              <w:rPr>
                <w:rFonts w:ascii="Wingdings" w:hAnsi="Wingdings"/>
                <w:sz w:val="18"/>
              </w:rPr>
              <w:t></w:t>
            </w:r>
          </w:p>
        </w:tc>
        <w:tc>
          <w:tcPr>
            <w:tcW w:w="846" w:type="dxa"/>
          </w:tcPr>
          <w:p>
            <w:pPr>
              <w:pStyle w:val="TableParagraph"/>
              <w:spacing w:line="199" w:lineRule="exact" w:before="61"/>
              <w:ind w:left="19"/>
              <w:jc w:val="center"/>
              <w:rPr>
                <w:rFonts w:ascii="Wingdings" w:hAnsi="Wingdings"/>
                <w:sz w:val="18"/>
              </w:rPr>
            </w:pPr>
            <w:r>
              <w:rPr>
                <w:rFonts w:ascii="Wingdings" w:hAnsi="Wingdings"/>
                <w:sz w:val="18"/>
              </w:rPr>
              <w:t></w:t>
            </w:r>
          </w:p>
        </w:tc>
        <w:tc>
          <w:tcPr>
            <w:tcW w:w="709" w:type="dxa"/>
          </w:tcPr>
          <w:p>
            <w:pPr>
              <w:pStyle w:val="TableParagraph"/>
              <w:spacing w:line="199" w:lineRule="exact" w:before="61"/>
              <w:ind w:right="257"/>
              <w:jc w:val="right"/>
              <w:rPr>
                <w:rFonts w:ascii="Wingdings" w:hAnsi="Wingdings"/>
                <w:sz w:val="18"/>
              </w:rPr>
            </w:pPr>
            <w:r>
              <w:rPr>
                <w:rFonts w:ascii="Wingdings" w:hAnsi="Wingdings"/>
                <w:sz w:val="18"/>
              </w:rPr>
              <w:t></w:t>
            </w:r>
          </w:p>
        </w:tc>
        <w:tc>
          <w:tcPr>
            <w:tcW w:w="707" w:type="dxa"/>
          </w:tcPr>
          <w:p>
            <w:pPr>
              <w:pStyle w:val="TableParagraph"/>
              <w:spacing w:line="199" w:lineRule="exact" w:before="61"/>
              <w:ind w:right="258"/>
              <w:jc w:val="right"/>
              <w:rPr>
                <w:rFonts w:ascii="Wingdings" w:hAnsi="Wingdings"/>
                <w:sz w:val="18"/>
              </w:rPr>
            </w:pPr>
            <w:r>
              <w:rPr>
                <w:rFonts w:ascii="Wingdings" w:hAnsi="Wingdings"/>
                <w:sz w:val="18"/>
              </w:rPr>
              <w:t></w:t>
            </w:r>
          </w:p>
        </w:tc>
        <w:tc>
          <w:tcPr>
            <w:tcW w:w="709" w:type="dxa"/>
          </w:tcPr>
          <w:p>
            <w:pPr>
              <w:pStyle w:val="TableParagraph"/>
              <w:spacing w:line="199" w:lineRule="exact" w:before="61"/>
              <w:ind w:left="34"/>
              <w:jc w:val="center"/>
              <w:rPr>
                <w:rFonts w:ascii="Wingdings" w:hAnsi="Wingdings"/>
                <w:sz w:val="18"/>
              </w:rPr>
            </w:pPr>
            <w:r>
              <w:rPr>
                <w:rFonts w:ascii="Wingdings" w:hAnsi="Wingdings"/>
                <w:sz w:val="18"/>
              </w:rPr>
              <w:t></w:t>
            </w:r>
          </w:p>
        </w:tc>
        <w:tc>
          <w:tcPr>
            <w:tcW w:w="848" w:type="dxa"/>
          </w:tcPr>
          <w:p>
            <w:pPr>
              <w:pStyle w:val="TableParagraph"/>
              <w:spacing w:line="199" w:lineRule="exact" w:before="61"/>
              <w:ind w:left="38"/>
              <w:jc w:val="center"/>
              <w:rPr>
                <w:rFonts w:ascii="Wingdings" w:hAnsi="Wingdings"/>
                <w:sz w:val="18"/>
              </w:rPr>
            </w:pPr>
            <w:r>
              <w:rPr>
                <w:rFonts w:ascii="Wingdings" w:hAnsi="Wingdings"/>
                <w:sz w:val="18"/>
              </w:rPr>
              <w:t></w:t>
            </w:r>
          </w:p>
        </w:tc>
        <w:tc>
          <w:tcPr>
            <w:tcW w:w="848" w:type="dxa"/>
          </w:tcPr>
          <w:p>
            <w:pPr>
              <w:pStyle w:val="TableParagraph"/>
              <w:spacing w:line="199" w:lineRule="exact" w:before="61"/>
              <w:ind w:right="323"/>
              <w:jc w:val="right"/>
              <w:rPr>
                <w:rFonts w:ascii="Wingdings" w:hAnsi="Wingdings"/>
                <w:sz w:val="18"/>
              </w:rPr>
            </w:pPr>
            <w:r>
              <w:rPr>
                <w:rFonts w:ascii="Wingdings" w:hAnsi="Wingdings"/>
                <w:sz w:val="18"/>
              </w:rPr>
              <w:t></w:t>
            </w:r>
          </w:p>
        </w:tc>
        <w:tc>
          <w:tcPr>
            <w:tcW w:w="704" w:type="dxa"/>
          </w:tcPr>
          <w:p>
            <w:pPr>
              <w:pStyle w:val="TableParagraph"/>
              <w:spacing w:line="199" w:lineRule="exact" w:before="61"/>
              <w:ind w:left="49"/>
              <w:jc w:val="center"/>
              <w:rPr>
                <w:rFonts w:ascii="Wingdings" w:hAnsi="Wingdings"/>
                <w:sz w:val="18"/>
              </w:rPr>
            </w:pPr>
            <w:r>
              <w:rPr>
                <w:rFonts w:ascii="Wingdings" w:hAnsi="Wingdings"/>
                <w:sz w:val="18"/>
              </w:rPr>
              <w:t></w:t>
            </w:r>
          </w:p>
        </w:tc>
        <w:tc>
          <w:tcPr>
            <w:tcW w:w="850" w:type="dxa"/>
          </w:tcPr>
          <w:p>
            <w:pPr>
              <w:pStyle w:val="TableParagraph"/>
              <w:spacing w:line="199" w:lineRule="exact" w:before="61"/>
              <w:ind w:left="60"/>
              <w:jc w:val="center"/>
              <w:rPr>
                <w:rFonts w:ascii="Wingdings" w:hAnsi="Wingdings"/>
                <w:sz w:val="18"/>
              </w:rPr>
            </w:pPr>
            <w:r>
              <w:rPr>
                <w:rFonts w:ascii="Wingdings" w:hAnsi="Wingdings"/>
                <w:sz w:val="18"/>
              </w:rPr>
              <w:t></w:t>
            </w:r>
          </w:p>
        </w:tc>
        <w:tc>
          <w:tcPr>
            <w:tcW w:w="704" w:type="dxa"/>
          </w:tcPr>
          <w:p>
            <w:pPr>
              <w:pStyle w:val="TableParagraph"/>
              <w:spacing w:line="199" w:lineRule="exact" w:before="61"/>
              <w:ind w:left="61"/>
              <w:jc w:val="center"/>
              <w:rPr>
                <w:rFonts w:ascii="Wingdings" w:hAnsi="Wingdings"/>
                <w:sz w:val="18"/>
              </w:rPr>
            </w:pPr>
            <w:r>
              <w:rPr>
                <w:rFonts w:ascii="Wingdings" w:hAnsi="Wingdings"/>
                <w:sz w:val="18"/>
              </w:rPr>
              <w:t></w:t>
            </w:r>
          </w:p>
        </w:tc>
        <w:tc>
          <w:tcPr>
            <w:tcW w:w="706" w:type="dxa"/>
          </w:tcPr>
          <w:p>
            <w:pPr>
              <w:pStyle w:val="TableParagraph"/>
              <w:spacing w:line="199" w:lineRule="exact" w:before="61"/>
              <w:ind w:right="239"/>
              <w:jc w:val="right"/>
              <w:rPr>
                <w:rFonts w:ascii="Wingdings" w:hAnsi="Wingdings"/>
                <w:sz w:val="18"/>
              </w:rPr>
            </w:pPr>
            <w:r>
              <w:rPr>
                <w:rFonts w:ascii="Wingdings" w:hAnsi="Wingdings"/>
                <w:sz w:val="18"/>
              </w:rPr>
              <w:t></w:t>
            </w:r>
          </w:p>
        </w:tc>
        <w:tc>
          <w:tcPr>
            <w:tcW w:w="735" w:type="dxa"/>
          </w:tcPr>
          <w:p>
            <w:pPr>
              <w:pStyle w:val="TableParagraph"/>
              <w:spacing w:line="199" w:lineRule="exact" w:before="61"/>
              <w:ind w:right="249"/>
              <w:jc w:val="right"/>
              <w:rPr>
                <w:rFonts w:ascii="Wingdings" w:hAnsi="Wingdings"/>
                <w:sz w:val="18"/>
              </w:rPr>
            </w:pPr>
            <w:r>
              <w:rPr>
                <w:rFonts w:ascii="Wingdings" w:hAnsi="Wingdings"/>
                <w:sz w:val="18"/>
              </w:rPr>
              <w:t></w:t>
            </w:r>
          </w:p>
        </w:tc>
        <w:tc>
          <w:tcPr>
            <w:tcW w:w="430" w:type="dxa"/>
            <w:shd w:val="clear" w:color="auto" w:fill="C5DFB4"/>
          </w:tcPr>
          <w:p>
            <w:pPr>
              <w:pStyle w:val="TableParagraph"/>
              <w:rPr>
                <w:rFonts w:ascii="Times New Roman"/>
                <w:sz w:val="18"/>
              </w:rPr>
            </w:pPr>
          </w:p>
        </w:tc>
        <w:tc>
          <w:tcPr>
            <w:tcW w:w="528" w:type="dxa"/>
          </w:tcPr>
          <w:p>
            <w:pPr>
              <w:pStyle w:val="TableParagraph"/>
              <w:spacing w:line="199" w:lineRule="exact" w:before="61"/>
              <w:ind w:left="82"/>
              <w:jc w:val="center"/>
              <w:rPr>
                <w:rFonts w:ascii="Wingdings" w:hAnsi="Wingdings"/>
                <w:sz w:val="18"/>
              </w:rPr>
            </w:pPr>
            <w:r>
              <w:rPr>
                <w:rFonts w:ascii="Wingdings" w:hAnsi="Wingdings"/>
                <w:sz w:val="18"/>
              </w:rPr>
              <w:t></w:t>
            </w:r>
          </w:p>
        </w:tc>
        <w:tc>
          <w:tcPr>
            <w:tcW w:w="706" w:type="dxa"/>
          </w:tcPr>
          <w:p>
            <w:pPr>
              <w:pStyle w:val="TableParagraph"/>
              <w:spacing w:line="199" w:lineRule="exact" w:before="61"/>
              <w:ind w:right="229"/>
              <w:jc w:val="right"/>
              <w:rPr>
                <w:rFonts w:ascii="Wingdings" w:hAnsi="Wingdings"/>
                <w:sz w:val="18"/>
              </w:rPr>
            </w:pPr>
            <w:r>
              <w:rPr>
                <w:rFonts w:ascii="Wingdings" w:hAnsi="Wingdings"/>
                <w:sz w:val="18"/>
              </w:rPr>
              <w:t></w:t>
            </w:r>
          </w:p>
        </w:tc>
        <w:tc>
          <w:tcPr>
            <w:tcW w:w="567" w:type="dxa"/>
          </w:tcPr>
          <w:p>
            <w:pPr>
              <w:pStyle w:val="TableParagraph"/>
              <w:spacing w:line="199" w:lineRule="exact" w:before="61"/>
              <w:ind w:right="157"/>
              <w:jc w:val="right"/>
              <w:rPr>
                <w:rFonts w:ascii="Wingdings" w:hAnsi="Wingdings"/>
                <w:sz w:val="18"/>
              </w:rPr>
            </w:pPr>
            <w:r>
              <w:rPr>
                <w:rFonts w:ascii="Wingdings" w:hAnsi="Wingdings"/>
                <w:sz w:val="18"/>
              </w:rPr>
              <w:t></w:t>
            </w:r>
          </w:p>
        </w:tc>
      </w:tr>
      <w:tr>
        <w:trPr>
          <w:trHeight w:val="280" w:hRule="atLeast"/>
        </w:trPr>
        <w:tc>
          <w:tcPr>
            <w:tcW w:w="1272" w:type="dxa"/>
          </w:tcPr>
          <w:p>
            <w:pPr>
              <w:pStyle w:val="TableParagraph"/>
              <w:spacing w:before="51"/>
              <w:ind w:left="112"/>
              <w:rPr>
                <w:b/>
                <w:sz w:val="18"/>
              </w:rPr>
            </w:pPr>
            <w:r>
              <w:rPr>
                <w:b/>
                <w:sz w:val="18"/>
              </w:rPr>
              <w:t>24.02.22</w:t>
            </w:r>
          </w:p>
        </w:tc>
        <w:tc>
          <w:tcPr>
            <w:tcW w:w="708" w:type="dxa"/>
          </w:tcPr>
          <w:p>
            <w:pPr>
              <w:pStyle w:val="TableParagraph"/>
              <w:spacing w:line="199" w:lineRule="exact" w:before="61"/>
              <w:ind w:right="264"/>
              <w:jc w:val="right"/>
              <w:rPr>
                <w:rFonts w:ascii="Wingdings" w:hAnsi="Wingdings"/>
                <w:sz w:val="18"/>
              </w:rPr>
            </w:pPr>
            <w:r>
              <w:rPr>
                <w:rFonts w:ascii="Wingdings" w:hAnsi="Wingdings"/>
                <w:sz w:val="18"/>
              </w:rPr>
              <w:t></w:t>
            </w:r>
          </w:p>
        </w:tc>
        <w:tc>
          <w:tcPr>
            <w:tcW w:w="715" w:type="dxa"/>
          </w:tcPr>
          <w:p>
            <w:pPr>
              <w:pStyle w:val="TableParagraph"/>
              <w:spacing w:line="199" w:lineRule="exact" w:before="61"/>
              <w:ind w:left="17"/>
              <w:jc w:val="center"/>
              <w:rPr>
                <w:rFonts w:ascii="Wingdings" w:hAnsi="Wingdings"/>
                <w:sz w:val="18"/>
              </w:rPr>
            </w:pPr>
            <w:r>
              <w:rPr>
                <w:rFonts w:ascii="Wingdings" w:hAnsi="Wingdings"/>
                <w:sz w:val="18"/>
              </w:rPr>
              <w:t></w:t>
            </w:r>
          </w:p>
        </w:tc>
        <w:tc>
          <w:tcPr>
            <w:tcW w:w="849" w:type="dxa"/>
          </w:tcPr>
          <w:p>
            <w:pPr>
              <w:pStyle w:val="TableParagraph"/>
              <w:spacing w:line="199" w:lineRule="exact" w:before="61"/>
              <w:ind w:left="17"/>
              <w:jc w:val="center"/>
              <w:rPr>
                <w:rFonts w:ascii="Wingdings" w:hAnsi="Wingdings"/>
                <w:sz w:val="18"/>
              </w:rPr>
            </w:pPr>
            <w:r>
              <w:rPr>
                <w:rFonts w:ascii="Wingdings" w:hAnsi="Wingdings"/>
                <w:sz w:val="18"/>
              </w:rPr>
              <w:t></w:t>
            </w:r>
          </w:p>
        </w:tc>
        <w:tc>
          <w:tcPr>
            <w:tcW w:w="707" w:type="dxa"/>
          </w:tcPr>
          <w:p>
            <w:pPr>
              <w:pStyle w:val="TableParagraph"/>
              <w:spacing w:line="199" w:lineRule="exact" w:before="61"/>
              <w:ind w:left="288"/>
              <w:rPr>
                <w:rFonts w:ascii="Wingdings" w:hAnsi="Wingdings"/>
                <w:sz w:val="18"/>
              </w:rPr>
            </w:pPr>
            <w:r>
              <w:rPr>
                <w:rFonts w:ascii="Wingdings" w:hAnsi="Wingdings"/>
                <w:sz w:val="18"/>
              </w:rPr>
              <w:t></w:t>
            </w:r>
          </w:p>
        </w:tc>
        <w:tc>
          <w:tcPr>
            <w:tcW w:w="846" w:type="dxa"/>
          </w:tcPr>
          <w:p>
            <w:pPr>
              <w:pStyle w:val="TableParagraph"/>
              <w:spacing w:line="199" w:lineRule="exact" w:before="61"/>
              <w:ind w:left="19"/>
              <w:jc w:val="center"/>
              <w:rPr>
                <w:rFonts w:ascii="Wingdings" w:hAnsi="Wingdings"/>
                <w:sz w:val="18"/>
              </w:rPr>
            </w:pPr>
            <w:r>
              <w:rPr>
                <w:rFonts w:ascii="Wingdings" w:hAnsi="Wingdings"/>
                <w:sz w:val="18"/>
              </w:rPr>
              <w:t></w:t>
            </w:r>
          </w:p>
        </w:tc>
        <w:tc>
          <w:tcPr>
            <w:tcW w:w="709" w:type="dxa"/>
          </w:tcPr>
          <w:p>
            <w:pPr>
              <w:pStyle w:val="TableParagraph"/>
              <w:spacing w:line="199" w:lineRule="exact" w:before="61"/>
              <w:ind w:right="257"/>
              <w:jc w:val="right"/>
              <w:rPr>
                <w:rFonts w:ascii="Wingdings" w:hAnsi="Wingdings"/>
                <w:sz w:val="18"/>
              </w:rPr>
            </w:pPr>
            <w:r>
              <w:rPr>
                <w:rFonts w:ascii="Wingdings" w:hAnsi="Wingdings"/>
                <w:sz w:val="18"/>
              </w:rPr>
              <w:t></w:t>
            </w:r>
          </w:p>
        </w:tc>
        <w:tc>
          <w:tcPr>
            <w:tcW w:w="707" w:type="dxa"/>
          </w:tcPr>
          <w:p>
            <w:pPr>
              <w:pStyle w:val="TableParagraph"/>
              <w:spacing w:line="199" w:lineRule="exact" w:before="61"/>
              <w:ind w:right="258"/>
              <w:jc w:val="right"/>
              <w:rPr>
                <w:rFonts w:ascii="Wingdings" w:hAnsi="Wingdings"/>
                <w:sz w:val="18"/>
              </w:rPr>
            </w:pPr>
            <w:r>
              <w:rPr>
                <w:rFonts w:ascii="Wingdings" w:hAnsi="Wingdings"/>
                <w:sz w:val="18"/>
              </w:rPr>
              <w:t></w:t>
            </w:r>
          </w:p>
        </w:tc>
        <w:tc>
          <w:tcPr>
            <w:tcW w:w="709" w:type="dxa"/>
          </w:tcPr>
          <w:p>
            <w:pPr>
              <w:pStyle w:val="TableParagraph"/>
              <w:spacing w:line="199" w:lineRule="exact" w:before="61"/>
              <w:ind w:left="34"/>
              <w:jc w:val="center"/>
              <w:rPr>
                <w:rFonts w:ascii="Wingdings" w:hAnsi="Wingdings"/>
                <w:sz w:val="18"/>
              </w:rPr>
            </w:pPr>
            <w:r>
              <w:rPr>
                <w:rFonts w:ascii="Wingdings" w:hAnsi="Wingdings"/>
                <w:sz w:val="18"/>
              </w:rPr>
              <w:t></w:t>
            </w:r>
          </w:p>
        </w:tc>
        <w:tc>
          <w:tcPr>
            <w:tcW w:w="848" w:type="dxa"/>
          </w:tcPr>
          <w:p>
            <w:pPr>
              <w:pStyle w:val="TableParagraph"/>
              <w:spacing w:line="199" w:lineRule="exact" w:before="61"/>
              <w:ind w:left="38"/>
              <w:jc w:val="center"/>
              <w:rPr>
                <w:rFonts w:ascii="Wingdings" w:hAnsi="Wingdings"/>
                <w:sz w:val="18"/>
              </w:rPr>
            </w:pPr>
            <w:r>
              <w:rPr>
                <w:rFonts w:ascii="Wingdings" w:hAnsi="Wingdings"/>
                <w:sz w:val="18"/>
              </w:rPr>
              <w:t></w:t>
            </w:r>
          </w:p>
        </w:tc>
        <w:tc>
          <w:tcPr>
            <w:tcW w:w="848" w:type="dxa"/>
          </w:tcPr>
          <w:p>
            <w:pPr>
              <w:pStyle w:val="TableParagraph"/>
              <w:spacing w:line="199" w:lineRule="exact" w:before="61"/>
              <w:ind w:right="323"/>
              <w:jc w:val="right"/>
              <w:rPr>
                <w:rFonts w:ascii="Wingdings" w:hAnsi="Wingdings"/>
                <w:sz w:val="18"/>
              </w:rPr>
            </w:pPr>
            <w:r>
              <w:rPr>
                <w:rFonts w:ascii="Wingdings" w:hAnsi="Wingdings"/>
                <w:sz w:val="18"/>
              </w:rPr>
              <w:t></w:t>
            </w:r>
          </w:p>
        </w:tc>
        <w:tc>
          <w:tcPr>
            <w:tcW w:w="704" w:type="dxa"/>
          </w:tcPr>
          <w:p>
            <w:pPr>
              <w:pStyle w:val="TableParagraph"/>
              <w:spacing w:line="199" w:lineRule="exact" w:before="61"/>
              <w:ind w:left="49"/>
              <w:jc w:val="center"/>
              <w:rPr>
                <w:rFonts w:ascii="Wingdings" w:hAnsi="Wingdings"/>
                <w:sz w:val="18"/>
              </w:rPr>
            </w:pPr>
            <w:r>
              <w:rPr>
                <w:rFonts w:ascii="Wingdings" w:hAnsi="Wingdings"/>
                <w:sz w:val="18"/>
              </w:rPr>
              <w:t></w:t>
            </w:r>
          </w:p>
        </w:tc>
        <w:tc>
          <w:tcPr>
            <w:tcW w:w="850" w:type="dxa"/>
          </w:tcPr>
          <w:p>
            <w:pPr>
              <w:pStyle w:val="TableParagraph"/>
              <w:spacing w:line="199" w:lineRule="exact" w:before="61"/>
              <w:ind w:left="60"/>
              <w:jc w:val="center"/>
              <w:rPr>
                <w:rFonts w:ascii="Wingdings" w:hAnsi="Wingdings"/>
                <w:sz w:val="18"/>
              </w:rPr>
            </w:pPr>
            <w:r>
              <w:rPr>
                <w:rFonts w:ascii="Wingdings" w:hAnsi="Wingdings"/>
                <w:sz w:val="18"/>
              </w:rPr>
              <w:t></w:t>
            </w:r>
          </w:p>
        </w:tc>
        <w:tc>
          <w:tcPr>
            <w:tcW w:w="704" w:type="dxa"/>
          </w:tcPr>
          <w:p>
            <w:pPr>
              <w:pStyle w:val="TableParagraph"/>
              <w:spacing w:line="199" w:lineRule="exact" w:before="61"/>
              <w:ind w:left="61"/>
              <w:jc w:val="center"/>
              <w:rPr>
                <w:rFonts w:ascii="Wingdings" w:hAnsi="Wingdings"/>
                <w:sz w:val="18"/>
              </w:rPr>
            </w:pPr>
            <w:r>
              <w:rPr>
                <w:rFonts w:ascii="Wingdings" w:hAnsi="Wingdings"/>
                <w:sz w:val="18"/>
              </w:rPr>
              <w:t></w:t>
            </w:r>
          </w:p>
        </w:tc>
        <w:tc>
          <w:tcPr>
            <w:tcW w:w="706" w:type="dxa"/>
          </w:tcPr>
          <w:p>
            <w:pPr>
              <w:pStyle w:val="TableParagraph"/>
              <w:spacing w:line="199" w:lineRule="exact" w:before="61"/>
              <w:ind w:right="239"/>
              <w:jc w:val="right"/>
              <w:rPr>
                <w:rFonts w:ascii="Wingdings" w:hAnsi="Wingdings"/>
                <w:sz w:val="18"/>
              </w:rPr>
            </w:pPr>
            <w:r>
              <w:rPr>
                <w:rFonts w:ascii="Wingdings" w:hAnsi="Wingdings"/>
                <w:sz w:val="18"/>
              </w:rPr>
              <w:t></w:t>
            </w:r>
          </w:p>
        </w:tc>
        <w:tc>
          <w:tcPr>
            <w:tcW w:w="735" w:type="dxa"/>
          </w:tcPr>
          <w:p>
            <w:pPr>
              <w:pStyle w:val="TableParagraph"/>
              <w:spacing w:line="199" w:lineRule="exact" w:before="61"/>
              <w:ind w:right="249"/>
              <w:jc w:val="right"/>
              <w:rPr>
                <w:rFonts w:ascii="Wingdings" w:hAnsi="Wingdings"/>
                <w:sz w:val="18"/>
              </w:rPr>
            </w:pPr>
            <w:r>
              <w:rPr>
                <w:rFonts w:ascii="Wingdings" w:hAnsi="Wingdings"/>
                <w:sz w:val="18"/>
              </w:rPr>
              <w:t></w:t>
            </w:r>
          </w:p>
        </w:tc>
        <w:tc>
          <w:tcPr>
            <w:tcW w:w="430" w:type="dxa"/>
            <w:shd w:val="clear" w:color="auto" w:fill="C5DFB4"/>
          </w:tcPr>
          <w:p>
            <w:pPr>
              <w:pStyle w:val="TableParagraph"/>
              <w:rPr>
                <w:rFonts w:ascii="Times New Roman"/>
                <w:sz w:val="18"/>
              </w:rPr>
            </w:pPr>
          </w:p>
        </w:tc>
        <w:tc>
          <w:tcPr>
            <w:tcW w:w="528" w:type="dxa"/>
          </w:tcPr>
          <w:p>
            <w:pPr>
              <w:pStyle w:val="TableParagraph"/>
              <w:spacing w:line="199" w:lineRule="exact" w:before="61"/>
              <w:ind w:left="82"/>
              <w:jc w:val="center"/>
              <w:rPr>
                <w:rFonts w:ascii="Wingdings" w:hAnsi="Wingdings"/>
                <w:sz w:val="18"/>
              </w:rPr>
            </w:pPr>
            <w:r>
              <w:rPr>
                <w:rFonts w:ascii="Wingdings" w:hAnsi="Wingdings"/>
                <w:sz w:val="18"/>
              </w:rPr>
              <w:t></w:t>
            </w:r>
          </w:p>
        </w:tc>
        <w:tc>
          <w:tcPr>
            <w:tcW w:w="706" w:type="dxa"/>
          </w:tcPr>
          <w:p>
            <w:pPr>
              <w:pStyle w:val="TableParagraph"/>
              <w:spacing w:line="199" w:lineRule="exact" w:before="61"/>
              <w:ind w:right="229"/>
              <w:jc w:val="right"/>
              <w:rPr>
                <w:rFonts w:ascii="Wingdings" w:hAnsi="Wingdings"/>
                <w:sz w:val="18"/>
              </w:rPr>
            </w:pPr>
            <w:r>
              <w:rPr>
                <w:rFonts w:ascii="Wingdings" w:hAnsi="Wingdings"/>
                <w:sz w:val="18"/>
              </w:rPr>
              <w:t></w:t>
            </w:r>
          </w:p>
        </w:tc>
        <w:tc>
          <w:tcPr>
            <w:tcW w:w="567" w:type="dxa"/>
          </w:tcPr>
          <w:p>
            <w:pPr>
              <w:pStyle w:val="TableParagraph"/>
              <w:spacing w:line="199" w:lineRule="exact" w:before="61"/>
              <w:ind w:right="157"/>
              <w:jc w:val="right"/>
              <w:rPr>
                <w:rFonts w:ascii="Wingdings" w:hAnsi="Wingdings"/>
                <w:sz w:val="18"/>
              </w:rPr>
            </w:pPr>
            <w:r>
              <w:rPr>
                <w:rFonts w:ascii="Wingdings" w:hAnsi="Wingdings"/>
                <w:sz w:val="18"/>
              </w:rPr>
              <w:t></w:t>
            </w:r>
          </w:p>
        </w:tc>
      </w:tr>
      <w:tr>
        <w:trPr>
          <w:trHeight w:val="277" w:hRule="atLeast"/>
        </w:trPr>
        <w:tc>
          <w:tcPr>
            <w:tcW w:w="1272" w:type="dxa"/>
          </w:tcPr>
          <w:p>
            <w:pPr>
              <w:pStyle w:val="TableParagraph"/>
              <w:spacing w:line="206" w:lineRule="exact" w:before="51"/>
              <w:ind w:left="112"/>
              <w:rPr>
                <w:b/>
                <w:sz w:val="18"/>
              </w:rPr>
            </w:pPr>
            <w:r>
              <w:rPr>
                <w:b/>
                <w:sz w:val="18"/>
              </w:rPr>
              <w:t>24.03.22</w:t>
            </w:r>
          </w:p>
        </w:tc>
        <w:tc>
          <w:tcPr>
            <w:tcW w:w="708" w:type="dxa"/>
          </w:tcPr>
          <w:p>
            <w:pPr>
              <w:pStyle w:val="TableParagraph"/>
              <w:spacing w:line="199" w:lineRule="exact" w:before="59"/>
              <w:ind w:right="264"/>
              <w:jc w:val="right"/>
              <w:rPr>
                <w:rFonts w:ascii="Wingdings" w:hAnsi="Wingdings"/>
                <w:sz w:val="18"/>
              </w:rPr>
            </w:pPr>
            <w:r>
              <w:rPr>
                <w:rFonts w:ascii="Wingdings" w:hAnsi="Wingdings"/>
                <w:sz w:val="18"/>
              </w:rPr>
              <w:t></w:t>
            </w:r>
          </w:p>
        </w:tc>
        <w:tc>
          <w:tcPr>
            <w:tcW w:w="715" w:type="dxa"/>
          </w:tcPr>
          <w:p>
            <w:pPr>
              <w:pStyle w:val="TableParagraph"/>
              <w:spacing w:line="199" w:lineRule="exact" w:before="59"/>
              <w:ind w:left="17"/>
              <w:jc w:val="center"/>
              <w:rPr>
                <w:rFonts w:ascii="Wingdings" w:hAnsi="Wingdings"/>
                <w:sz w:val="18"/>
              </w:rPr>
            </w:pPr>
            <w:r>
              <w:rPr>
                <w:rFonts w:ascii="Wingdings" w:hAnsi="Wingdings"/>
                <w:sz w:val="18"/>
              </w:rPr>
              <w:t></w:t>
            </w:r>
          </w:p>
        </w:tc>
        <w:tc>
          <w:tcPr>
            <w:tcW w:w="849" w:type="dxa"/>
          </w:tcPr>
          <w:p>
            <w:pPr>
              <w:pStyle w:val="TableParagraph"/>
              <w:spacing w:line="199" w:lineRule="exact" w:before="59"/>
              <w:ind w:left="17"/>
              <w:jc w:val="center"/>
              <w:rPr>
                <w:rFonts w:ascii="Wingdings" w:hAnsi="Wingdings"/>
                <w:sz w:val="18"/>
              </w:rPr>
            </w:pPr>
            <w:r>
              <w:rPr>
                <w:rFonts w:ascii="Wingdings" w:hAnsi="Wingdings"/>
                <w:sz w:val="18"/>
              </w:rPr>
              <w:t></w:t>
            </w:r>
          </w:p>
        </w:tc>
        <w:tc>
          <w:tcPr>
            <w:tcW w:w="707" w:type="dxa"/>
          </w:tcPr>
          <w:p>
            <w:pPr>
              <w:pStyle w:val="TableParagraph"/>
              <w:spacing w:line="199" w:lineRule="exact" w:before="59"/>
              <w:ind w:left="288"/>
              <w:rPr>
                <w:rFonts w:ascii="Wingdings" w:hAnsi="Wingdings"/>
                <w:sz w:val="18"/>
              </w:rPr>
            </w:pPr>
            <w:r>
              <w:rPr>
                <w:rFonts w:ascii="Wingdings" w:hAnsi="Wingdings"/>
                <w:sz w:val="18"/>
              </w:rPr>
              <w:t></w:t>
            </w:r>
          </w:p>
        </w:tc>
        <w:tc>
          <w:tcPr>
            <w:tcW w:w="846" w:type="dxa"/>
          </w:tcPr>
          <w:p>
            <w:pPr>
              <w:pStyle w:val="TableParagraph"/>
              <w:spacing w:line="199" w:lineRule="exact" w:before="59"/>
              <w:ind w:left="19"/>
              <w:jc w:val="center"/>
              <w:rPr>
                <w:rFonts w:ascii="Wingdings" w:hAnsi="Wingdings"/>
                <w:sz w:val="18"/>
              </w:rPr>
            </w:pPr>
            <w:r>
              <w:rPr>
                <w:rFonts w:ascii="Wingdings" w:hAnsi="Wingdings"/>
                <w:sz w:val="18"/>
              </w:rPr>
              <w:t></w:t>
            </w:r>
          </w:p>
        </w:tc>
        <w:tc>
          <w:tcPr>
            <w:tcW w:w="709" w:type="dxa"/>
          </w:tcPr>
          <w:p>
            <w:pPr>
              <w:pStyle w:val="TableParagraph"/>
              <w:spacing w:line="199" w:lineRule="exact" w:before="59"/>
              <w:ind w:right="257"/>
              <w:jc w:val="right"/>
              <w:rPr>
                <w:rFonts w:ascii="Wingdings" w:hAnsi="Wingdings"/>
                <w:sz w:val="18"/>
              </w:rPr>
            </w:pPr>
            <w:r>
              <w:rPr>
                <w:rFonts w:ascii="Wingdings" w:hAnsi="Wingdings"/>
                <w:sz w:val="18"/>
              </w:rPr>
              <w:t></w:t>
            </w:r>
          </w:p>
        </w:tc>
        <w:tc>
          <w:tcPr>
            <w:tcW w:w="707" w:type="dxa"/>
          </w:tcPr>
          <w:p>
            <w:pPr>
              <w:pStyle w:val="TableParagraph"/>
              <w:spacing w:line="199" w:lineRule="exact" w:before="59"/>
              <w:ind w:right="258"/>
              <w:jc w:val="right"/>
              <w:rPr>
                <w:rFonts w:ascii="Wingdings" w:hAnsi="Wingdings"/>
                <w:sz w:val="18"/>
              </w:rPr>
            </w:pPr>
            <w:r>
              <w:rPr>
                <w:rFonts w:ascii="Wingdings" w:hAnsi="Wingdings"/>
                <w:sz w:val="18"/>
              </w:rPr>
              <w:t></w:t>
            </w:r>
          </w:p>
        </w:tc>
        <w:tc>
          <w:tcPr>
            <w:tcW w:w="709" w:type="dxa"/>
          </w:tcPr>
          <w:p>
            <w:pPr>
              <w:pStyle w:val="TableParagraph"/>
              <w:spacing w:line="199" w:lineRule="exact" w:before="59"/>
              <w:ind w:left="34"/>
              <w:jc w:val="center"/>
              <w:rPr>
                <w:rFonts w:ascii="Wingdings" w:hAnsi="Wingdings"/>
                <w:sz w:val="18"/>
              </w:rPr>
            </w:pPr>
            <w:r>
              <w:rPr>
                <w:rFonts w:ascii="Wingdings" w:hAnsi="Wingdings"/>
                <w:sz w:val="18"/>
              </w:rPr>
              <w:t></w:t>
            </w:r>
          </w:p>
        </w:tc>
        <w:tc>
          <w:tcPr>
            <w:tcW w:w="848" w:type="dxa"/>
          </w:tcPr>
          <w:p>
            <w:pPr>
              <w:pStyle w:val="TableParagraph"/>
              <w:spacing w:line="199" w:lineRule="exact" w:before="59"/>
              <w:ind w:left="38"/>
              <w:jc w:val="center"/>
              <w:rPr>
                <w:rFonts w:ascii="Wingdings" w:hAnsi="Wingdings"/>
                <w:sz w:val="18"/>
              </w:rPr>
            </w:pPr>
            <w:r>
              <w:rPr>
                <w:rFonts w:ascii="Wingdings" w:hAnsi="Wingdings"/>
                <w:sz w:val="18"/>
              </w:rPr>
              <w:t></w:t>
            </w:r>
          </w:p>
        </w:tc>
        <w:tc>
          <w:tcPr>
            <w:tcW w:w="848" w:type="dxa"/>
          </w:tcPr>
          <w:p>
            <w:pPr>
              <w:pStyle w:val="TableParagraph"/>
              <w:spacing w:line="199" w:lineRule="exact" w:before="59"/>
              <w:ind w:right="323"/>
              <w:jc w:val="right"/>
              <w:rPr>
                <w:rFonts w:ascii="Wingdings" w:hAnsi="Wingdings"/>
                <w:sz w:val="18"/>
              </w:rPr>
            </w:pPr>
            <w:r>
              <w:rPr>
                <w:rFonts w:ascii="Wingdings" w:hAnsi="Wingdings"/>
                <w:sz w:val="18"/>
              </w:rPr>
              <w:t></w:t>
            </w:r>
          </w:p>
        </w:tc>
        <w:tc>
          <w:tcPr>
            <w:tcW w:w="704" w:type="dxa"/>
          </w:tcPr>
          <w:p>
            <w:pPr>
              <w:pStyle w:val="TableParagraph"/>
              <w:spacing w:line="199" w:lineRule="exact" w:before="59"/>
              <w:ind w:left="49"/>
              <w:jc w:val="center"/>
              <w:rPr>
                <w:rFonts w:ascii="Wingdings" w:hAnsi="Wingdings"/>
                <w:sz w:val="18"/>
              </w:rPr>
            </w:pPr>
            <w:r>
              <w:rPr>
                <w:rFonts w:ascii="Wingdings" w:hAnsi="Wingdings"/>
                <w:sz w:val="18"/>
              </w:rPr>
              <w:t></w:t>
            </w:r>
          </w:p>
        </w:tc>
        <w:tc>
          <w:tcPr>
            <w:tcW w:w="850" w:type="dxa"/>
          </w:tcPr>
          <w:p>
            <w:pPr>
              <w:pStyle w:val="TableParagraph"/>
              <w:spacing w:line="199" w:lineRule="exact" w:before="59"/>
              <w:ind w:left="60"/>
              <w:jc w:val="center"/>
              <w:rPr>
                <w:rFonts w:ascii="Wingdings" w:hAnsi="Wingdings"/>
                <w:sz w:val="18"/>
              </w:rPr>
            </w:pPr>
            <w:r>
              <w:rPr>
                <w:rFonts w:ascii="Wingdings" w:hAnsi="Wingdings"/>
                <w:sz w:val="18"/>
              </w:rPr>
              <w:t></w:t>
            </w:r>
          </w:p>
        </w:tc>
        <w:tc>
          <w:tcPr>
            <w:tcW w:w="704" w:type="dxa"/>
          </w:tcPr>
          <w:p>
            <w:pPr>
              <w:pStyle w:val="TableParagraph"/>
              <w:spacing w:line="199" w:lineRule="exact" w:before="59"/>
              <w:ind w:left="61"/>
              <w:jc w:val="center"/>
              <w:rPr>
                <w:rFonts w:ascii="Wingdings" w:hAnsi="Wingdings"/>
                <w:sz w:val="18"/>
              </w:rPr>
            </w:pPr>
            <w:r>
              <w:rPr>
                <w:rFonts w:ascii="Wingdings" w:hAnsi="Wingdings"/>
                <w:sz w:val="18"/>
              </w:rPr>
              <w:t></w:t>
            </w:r>
          </w:p>
        </w:tc>
        <w:tc>
          <w:tcPr>
            <w:tcW w:w="706" w:type="dxa"/>
          </w:tcPr>
          <w:p>
            <w:pPr>
              <w:pStyle w:val="TableParagraph"/>
              <w:spacing w:line="199" w:lineRule="exact" w:before="59"/>
              <w:ind w:right="239"/>
              <w:jc w:val="right"/>
              <w:rPr>
                <w:rFonts w:ascii="Wingdings" w:hAnsi="Wingdings"/>
                <w:sz w:val="18"/>
              </w:rPr>
            </w:pPr>
            <w:r>
              <w:rPr>
                <w:rFonts w:ascii="Wingdings" w:hAnsi="Wingdings"/>
                <w:sz w:val="18"/>
              </w:rPr>
              <w:t></w:t>
            </w:r>
          </w:p>
        </w:tc>
        <w:tc>
          <w:tcPr>
            <w:tcW w:w="735" w:type="dxa"/>
          </w:tcPr>
          <w:p>
            <w:pPr>
              <w:pStyle w:val="TableParagraph"/>
              <w:spacing w:line="199" w:lineRule="exact" w:before="59"/>
              <w:ind w:right="249"/>
              <w:jc w:val="right"/>
              <w:rPr>
                <w:rFonts w:ascii="Wingdings" w:hAnsi="Wingdings"/>
                <w:sz w:val="18"/>
              </w:rPr>
            </w:pPr>
            <w:r>
              <w:rPr>
                <w:rFonts w:ascii="Wingdings" w:hAnsi="Wingdings"/>
                <w:sz w:val="18"/>
              </w:rPr>
              <w:t></w:t>
            </w:r>
          </w:p>
        </w:tc>
        <w:tc>
          <w:tcPr>
            <w:tcW w:w="430" w:type="dxa"/>
            <w:shd w:val="clear" w:color="auto" w:fill="C5DFB4"/>
          </w:tcPr>
          <w:p>
            <w:pPr>
              <w:pStyle w:val="TableParagraph"/>
              <w:rPr>
                <w:rFonts w:ascii="Times New Roman"/>
                <w:sz w:val="18"/>
              </w:rPr>
            </w:pPr>
          </w:p>
        </w:tc>
        <w:tc>
          <w:tcPr>
            <w:tcW w:w="528" w:type="dxa"/>
          </w:tcPr>
          <w:p>
            <w:pPr>
              <w:pStyle w:val="TableParagraph"/>
              <w:spacing w:line="199" w:lineRule="exact" w:before="59"/>
              <w:ind w:left="82"/>
              <w:jc w:val="center"/>
              <w:rPr>
                <w:rFonts w:ascii="Wingdings" w:hAnsi="Wingdings"/>
                <w:sz w:val="18"/>
              </w:rPr>
            </w:pPr>
            <w:r>
              <w:rPr>
                <w:rFonts w:ascii="Wingdings" w:hAnsi="Wingdings"/>
                <w:sz w:val="18"/>
              </w:rPr>
              <w:t></w:t>
            </w:r>
          </w:p>
        </w:tc>
        <w:tc>
          <w:tcPr>
            <w:tcW w:w="706" w:type="dxa"/>
          </w:tcPr>
          <w:p>
            <w:pPr>
              <w:pStyle w:val="TableParagraph"/>
              <w:spacing w:line="199" w:lineRule="exact" w:before="59"/>
              <w:ind w:right="229"/>
              <w:jc w:val="right"/>
              <w:rPr>
                <w:rFonts w:ascii="Wingdings" w:hAnsi="Wingdings"/>
                <w:sz w:val="18"/>
              </w:rPr>
            </w:pPr>
            <w:r>
              <w:rPr>
                <w:rFonts w:ascii="Wingdings" w:hAnsi="Wingdings"/>
                <w:sz w:val="18"/>
              </w:rPr>
              <w:t></w:t>
            </w:r>
          </w:p>
        </w:tc>
        <w:tc>
          <w:tcPr>
            <w:tcW w:w="567" w:type="dxa"/>
          </w:tcPr>
          <w:p>
            <w:pPr>
              <w:pStyle w:val="TableParagraph"/>
              <w:spacing w:line="199" w:lineRule="exact" w:before="59"/>
              <w:ind w:right="157"/>
              <w:jc w:val="right"/>
              <w:rPr>
                <w:rFonts w:ascii="Wingdings" w:hAnsi="Wingdings"/>
                <w:sz w:val="18"/>
              </w:rPr>
            </w:pPr>
            <w:r>
              <w:rPr>
                <w:rFonts w:ascii="Wingdings" w:hAnsi="Wingdings"/>
                <w:sz w:val="18"/>
              </w:rPr>
              <w:t></w:t>
            </w:r>
          </w:p>
        </w:tc>
      </w:tr>
    </w:tbl>
    <w:p>
      <w:pPr>
        <w:pStyle w:val="BodyText"/>
        <w:spacing w:before="3"/>
        <w:rPr>
          <w:b/>
          <w:sz w:val="24"/>
        </w:rPr>
      </w:pPr>
    </w:p>
    <w:p>
      <w:pPr>
        <w:spacing w:before="1"/>
        <w:ind w:left="219" w:right="13868" w:firstLine="0"/>
        <w:jc w:val="left"/>
        <w:rPr>
          <w:b/>
          <w:sz w:val="18"/>
        </w:rPr>
      </w:pPr>
      <w:r>
        <w:rPr>
          <w:b/>
          <w:sz w:val="18"/>
        </w:rPr>
        <w:t>Note: From January 2022 Trent View were represented by Riverside Surgery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9"/>
        </w:rPr>
      </w:pPr>
    </w:p>
    <w:p>
      <w:pPr>
        <w:spacing w:before="0"/>
        <w:ind w:left="6980" w:right="7438" w:firstLine="0"/>
        <w:jc w:val="center"/>
        <w:rPr>
          <w:sz w:val="18"/>
        </w:rPr>
      </w:pPr>
      <w:r>
        <w:rPr>
          <w:sz w:val="18"/>
        </w:rPr>
        <w:t>Page 84</w:t>
      </w:r>
    </w:p>
    <w:p>
      <w:pPr>
        <w:spacing w:after="0"/>
        <w:jc w:val="center"/>
        <w:rPr>
          <w:sz w:val="18"/>
        </w:rPr>
        <w:sectPr>
          <w:footerReference w:type="default" r:id="rId33"/>
          <w:pgSz w:w="16850" w:h="11920" w:orient="landscape"/>
          <w:pgMar w:footer="0" w:header="0" w:top="1100" w:bottom="280" w:left="880" w:right="840"/>
        </w:sectPr>
      </w:pPr>
    </w:p>
    <w:tbl>
      <w:tblPr>
        <w:tblW w:w="0" w:type="auto"/>
        <w:jc w:val="left"/>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0"/>
        <w:gridCol w:w="290"/>
        <w:gridCol w:w="288"/>
        <w:gridCol w:w="288"/>
        <w:gridCol w:w="290"/>
        <w:gridCol w:w="290"/>
        <w:gridCol w:w="290"/>
        <w:gridCol w:w="290"/>
        <w:gridCol w:w="273"/>
        <w:gridCol w:w="283"/>
        <w:gridCol w:w="281"/>
        <w:gridCol w:w="4260"/>
      </w:tblGrid>
      <w:tr>
        <w:trPr>
          <w:trHeight w:val="1790" w:hRule="atLeast"/>
        </w:trPr>
        <w:tc>
          <w:tcPr>
            <w:tcW w:w="290" w:type="dxa"/>
            <w:textDirection w:val="tbRl"/>
          </w:tcPr>
          <w:p>
            <w:pPr>
              <w:pStyle w:val="TableParagraph"/>
              <w:spacing w:before="70"/>
              <w:ind w:left="103"/>
              <w:rPr>
                <w:b/>
                <w:sz w:val="16"/>
              </w:rPr>
            </w:pPr>
            <w:r>
              <w:rPr>
                <w:b/>
                <w:sz w:val="16"/>
              </w:rPr>
              <w:t>17.03.22</w:t>
            </w:r>
          </w:p>
        </w:tc>
        <w:tc>
          <w:tcPr>
            <w:tcW w:w="290" w:type="dxa"/>
            <w:textDirection w:val="tbRl"/>
          </w:tcPr>
          <w:p>
            <w:pPr>
              <w:pStyle w:val="TableParagraph"/>
              <w:spacing w:before="72"/>
              <w:ind w:left="103"/>
              <w:rPr>
                <w:b/>
                <w:sz w:val="16"/>
              </w:rPr>
            </w:pPr>
            <w:r>
              <w:rPr>
                <w:b/>
                <w:sz w:val="16"/>
              </w:rPr>
              <w:t>20.01.22</w:t>
            </w:r>
          </w:p>
        </w:tc>
        <w:tc>
          <w:tcPr>
            <w:tcW w:w="288" w:type="dxa"/>
            <w:textDirection w:val="tbRl"/>
          </w:tcPr>
          <w:p>
            <w:pPr>
              <w:pStyle w:val="TableParagraph"/>
              <w:spacing w:before="67"/>
              <w:ind w:left="103"/>
              <w:rPr>
                <w:b/>
                <w:sz w:val="16"/>
              </w:rPr>
            </w:pPr>
            <w:r>
              <w:rPr>
                <w:b/>
                <w:sz w:val="16"/>
              </w:rPr>
              <w:t>16.12.21</w:t>
            </w:r>
          </w:p>
        </w:tc>
        <w:tc>
          <w:tcPr>
            <w:tcW w:w="288" w:type="dxa"/>
            <w:textDirection w:val="tbRl"/>
          </w:tcPr>
          <w:p>
            <w:pPr>
              <w:pStyle w:val="TableParagraph"/>
              <w:spacing w:before="67"/>
              <w:ind w:left="103"/>
              <w:rPr>
                <w:b/>
                <w:sz w:val="16"/>
              </w:rPr>
            </w:pPr>
            <w:r>
              <w:rPr>
                <w:b/>
                <w:sz w:val="16"/>
              </w:rPr>
              <w:t>18.11.21</w:t>
            </w:r>
          </w:p>
        </w:tc>
        <w:tc>
          <w:tcPr>
            <w:tcW w:w="290" w:type="dxa"/>
            <w:textDirection w:val="tbRl"/>
          </w:tcPr>
          <w:p>
            <w:pPr>
              <w:pStyle w:val="TableParagraph"/>
              <w:spacing w:before="69"/>
              <w:ind w:left="103"/>
              <w:rPr>
                <w:b/>
                <w:sz w:val="16"/>
              </w:rPr>
            </w:pPr>
            <w:r>
              <w:rPr>
                <w:b/>
                <w:sz w:val="16"/>
              </w:rPr>
              <w:t>21.10.21</w:t>
            </w:r>
          </w:p>
        </w:tc>
        <w:tc>
          <w:tcPr>
            <w:tcW w:w="290" w:type="dxa"/>
            <w:textDirection w:val="tbRl"/>
          </w:tcPr>
          <w:p>
            <w:pPr>
              <w:pStyle w:val="TableParagraph"/>
              <w:spacing w:before="69"/>
              <w:ind w:left="103"/>
              <w:rPr>
                <w:b/>
                <w:sz w:val="16"/>
              </w:rPr>
            </w:pPr>
            <w:r>
              <w:rPr>
                <w:b/>
                <w:sz w:val="16"/>
              </w:rPr>
              <w:t>16.09.21</w:t>
            </w:r>
          </w:p>
        </w:tc>
        <w:tc>
          <w:tcPr>
            <w:tcW w:w="290" w:type="dxa"/>
            <w:textDirection w:val="tbRl"/>
          </w:tcPr>
          <w:p>
            <w:pPr>
              <w:pStyle w:val="TableParagraph"/>
              <w:spacing w:before="68"/>
              <w:ind w:left="103"/>
              <w:rPr>
                <w:b/>
                <w:sz w:val="16"/>
              </w:rPr>
            </w:pPr>
            <w:r>
              <w:rPr>
                <w:b/>
                <w:sz w:val="16"/>
              </w:rPr>
              <w:t>19.08.21</w:t>
            </w:r>
          </w:p>
        </w:tc>
        <w:tc>
          <w:tcPr>
            <w:tcW w:w="290" w:type="dxa"/>
            <w:textDirection w:val="tbRl"/>
          </w:tcPr>
          <w:p>
            <w:pPr>
              <w:pStyle w:val="TableParagraph"/>
              <w:spacing w:before="70"/>
              <w:ind w:left="103"/>
              <w:rPr>
                <w:b/>
                <w:sz w:val="16"/>
              </w:rPr>
            </w:pPr>
            <w:r>
              <w:rPr>
                <w:b/>
                <w:sz w:val="16"/>
              </w:rPr>
              <w:t>15.07.21</w:t>
            </w:r>
          </w:p>
        </w:tc>
        <w:tc>
          <w:tcPr>
            <w:tcW w:w="273" w:type="dxa"/>
            <w:textDirection w:val="tbRl"/>
          </w:tcPr>
          <w:p>
            <w:pPr>
              <w:pStyle w:val="TableParagraph"/>
              <w:spacing w:before="50"/>
              <w:ind w:left="103"/>
              <w:rPr>
                <w:b/>
                <w:sz w:val="16"/>
              </w:rPr>
            </w:pPr>
            <w:r>
              <w:rPr>
                <w:b/>
                <w:sz w:val="16"/>
              </w:rPr>
              <w:t>17.06.21</w:t>
            </w:r>
          </w:p>
        </w:tc>
        <w:tc>
          <w:tcPr>
            <w:tcW w:w="283" w:type="dxa"/>
            <w:textDirection w:val="tbRl"/>
          </w:tcPr>
          <w:p>
            <w:pPr>
              <w:pStyle w:val="TableParagraph"/>
              <w:spacing w:before="62"/>
              <w:ind w:left="103"/>
              <w:rPr>
                <w:b/>
                <w:sz w:val="16"/>
              </w:rPr>
            </w:pPr>
            <w:r>
              <w:rPr>
                <w:b/>
                <w:sz w:val="16"/>
              </w:rPr>
              <w:t>20.05.21</w:t>
            </w:r>
          </w:p>
        </w:tc>
        <w:tc>
          <w:tcPr>
            <w:tcW w:w="281" w:type="dxa"/>
            <w:textDirection w:val="tbRl"/>
          </w:tcPr>
          <w:p>
            <w:pPr>
              <w:pStyle w:val="TableParagraph"/>
              <w:spacing w:before="58"/>
              <w:ind w:left="103"/>
              <w:rPr>
                <w:b/>
                <w:sz w:val="16"/>
              </w:rPr>
            </w:pPr>
            <w:r>
              <w:rPr>
                <w:b/>
                <w:sz w:val="16"/>
              </w:rPr>
              <w:t>15.04.21</w:t>
            </w:r>
          </w:p>
        </w:tc>
        <w:tc>
          <w:tcPr>
            <w:tcW w:w="4260" w:type="dxa"/>
            <w:shd w:val="clear" w:color="auto" w:fill="C5DFB4"/>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6"/>
              <w:rPr>
                <w:sz w:val="22"/>
              </w:rPr>
            </w:pPr>
          </w:p>
          <w:p>
            <w:pPr>
              <w:pStyle w:val="TableParagraph"/>
              <w:ind w:left="41" w:right="4"/>
              <w:jc w:val="center"/>
              <w:rPr>
                <w:b/>
                <w:sz w:val="16"/>
              </w:rPr>
            </w:pPr>
            <w:r>
              <w:rPr>
                <w:b/>
                <w:sz w:val="16"/>
              </w:rPr>
              <w:t>Date of meetings</w:t>
            </w:r>
          </w:p>
        </w:tc>
      </w:tr>
      <w:tr>
        <w:trPr>
          <w:trHeight w:val="930" w:hRule="atLeast"/>
        </w:trPr>
        <w:tc>
          <w:tcPr>
            <w:tcW w:w="290" w:type="dxa"/>
            <w:textDirection w:val="tbRl"/>
          </w:tcPr>
          <w:p>
            <w:pPr>
              <w:pStyle w:val="TableParagraph"/>
              <w:spacing w:before="81"/>
              <w:ind w:left="1"/>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8"/>
              <w:ind w:left="1"/>
              <w:jc w:val="center"/>
              <w:rPr>
                <w:rFonts w:ascii="Wingdings" w:hAnsi="Wingdings"/>
                <w:sz w:val="16"/>
              </w:rPr>
            </w:pPr>
            <w:r>
              <w:rPr>
                <w:rFonts w:ascii="Wingdings" w:hAnsi="Wingdings"/>
                <w:w w:val="100"/>
                <w:sz w:val="16"/>
              </w:rPr>
              <w:t></w:t>
            </w:r>
          </w:p>
        </w:tc>
        <w:tc>
          <w:tcPr>
            <w:tcW w:w="288" w:type="dxa"/>
            <w:vMerge w:val="restart"/>
            <w:tcBorders>
              <w:bottom w:val="nil"/>
            </w:tcBorders>
            <w:textDirection w:val="tbRl"/>
          </w:tcPr>
          <w:p>
            <w:pPr>
              <w:pStyle w:val="TableParagraph"/>
              <w:spacing w:before="67"/>
              <w:ind w:left="6228" w:right="6227"/>
              <w:jc w:val="center"/>
              <w:rPr>
                <w:b/>
                <w:sz w:val="16"/>
              </w:rPr>
            </w:pPr>
            <w:r>
              <w:rPr>
                <w:b/>
                <w:sz w:val="16"/>
              </w:rPr>
              <w:t>Cancelled</w:t>
            </w:r>
          </w:p>
        </w:tc>
        <w:tc>
          <w:tcPr>
            <w:tcW w:w="288" w:type="dxa"/>
            <w:textDirection w:val="tbRl"/>
          </w:tcPr>
          <w:p>
            <w:pPr>
              <w:pStyle w:val="TableParagraph"/>
              <w:spacing w:before="73"/>
              <w:ind w:left="1"/>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69"/>
              <w:ind w:right="1"/>
              <w:jc w:val="center"/>
              <w:rPr>
                <w:b/>
                <w:sz w:val="16"/>
              </w:rPr>
            </w:pPr>
            <w:r>
              <w:rPr>
                <w:b/>
                <w:w w:val="100"/>
                <w:sz w:val="16"/>
              </w:rPr>
              <w:t>x</w:t>
            </w:r>
          </w:p>
        </w:tc>
        <w:tc>
          <w:tcPr>
            <w:tcW w:w="290" w:type="dxa"/>
            <w:vMerge w:val="restart"/>
            <w:tcBorders>
              <w:bottom w:val="nil"/>
            </w:tcBorders>
            <w:textDirection w:val="tbRl"/>
          </w:tcPr>
          <w:p>
            <w:pPr>
              <w:pStyle w:val="TableParagraph"/>
              <w:spacing w:before="69"/>
              <w:ind w:left="6228" w:right="6227"/>
              <w:jc w:val="center"/>
              <w:rPr>
                <w:b/>
                <w:sz w:val="16"/>
              </w:rPr>
            </w:pPr>
            <w:r>
              <w:rPr>
                <w:b/>
                <w:sz w:val="16"/>
              </w:rPr>
              <w:t>Cancelled</w:t>
            </w:r>
          </w:p>
        </w:tc>
        <w:tc>
          <w:tcPr>
            <w:tcW w:w="290" w:type="dxa"/>
            <w:textDirection w:val="tbRl"/>
          </w:tcPr>
          <w:p>
            <w:pPr>
              <w:pStyle w:val="TableParagraph"/>
              <w:spacing w:before="77"/>
              <w:ind w:left="1"/>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4"/>
              <w:ind w:left="1"/>
              <w:jc w:val="center"/>
              <w:rPr>
                <w:rFonts w:ascii="Wingdings" w:hAnsi="Wingdings"/>
                <w:sz w:val="16"/>
              </w:rPr>
            </w:pPr>
            <w:r>
              <w:rPr>
                <w:rFonts w:ascii="Wingdings" w:hAnsi="Wingdings"/>
                <w:w w:val="100"/>
                <w:sz w:val="16"/>
              </w:rPr>
              <w:t></w:t>
            </w:r>
          </w:p>
        </w:tc>
        <w:tc>
          <w:tcPr>
            <w:tcW w:w="273" w:type="dxa"/>
            <w:textDirection w:val="tbRl"/>
          </w:tcPr>
          <w:p>
            <w:pPr>
              <w:pStyle w:val="TableParagraph"/>
              <w:spacing w:before="57"/>
              <w:ind w:left="1"/>
              <w:jc w:val="center"/>
              <w:rPr>
                <w:rFonts w:ascii="Wingdings" w:hAnsi="Wingdings"/>
                <w:sz w:val="16"/>
              </w:rPr>
            </w:pPr>
            <w:r>
              <w:rPr>
                <w:rFonts w:ascii="Wingdings" w:hAnsi="Wingdings"/>
                <w:w w:val="100"/>
                <w:sz w:val="16"/>
              </w:rPr>
              <w:t></w:t>
            </w:r>
          </w:p>
        </w:tc>
        <w:tc>
          <w:tcPr>
            <w:tcW w:w="283" w:type="dxa"/>
            <w:textDirection w:val="tbRl"/>
          </w:tcPr>
          <w:p>
            <w:pPr>
              <w:pStyle w:val="TableParagraph"/>
              <w:spacing w:before="68"/>
              <w:ind w:left="1"/>
              <w:jc w:val="center"/>
              <w:rPr>
                <w:rFonts w:ascii="Wingdings" w:hAnsi="Wingdings"/>
                <w:sz w:val="16"/>
              </w:rPr>
            </w:pPr>
            <w:r>
              <w:rPr>
                <w:rFonts w:ascii="Wingdings" w:hAnsi="Wingdings"/>
                <w:w w:val="100"/>
                <w:sz w:val="16"/>
              </w:rPr>
              <w:t></w:t>
            </w:r>
          </w:p>
        </w:tc>
        <w:tc>
          <w:tcPr>
            <w:tcW w:w="281" w:type="dxa"/>
            <w:textDirection w:val="tbRl"/>
          </w:tcPr>
          <w:p>
            <w:pPr>
              <w:pStyle w:val="TableParagraph"/>
              <w:spacing w:before="53"/>
              <w:jc w:val="center"/>
              <w:rPr>
                <w:rFonts w:ascii="Calibri"/>
                <w:b/>
                <w:sz w:val="16"/>
              </w:rPr>
            </w:pPr>
            <w:r>
              <w:rPr>
                <w:rFonts w:ascii="Calibri"/>
                <w:b/>
                <w:w w:val="100"/>
                <w:sz w:val="16"/>
              </w:rPr>
              <w:t>x</w:t>
            </w:r>
          </w:p>
        </w:tc>
        <w:tc>
          <w:tcPr>
            <w:tcW w:w="4260" w:type="dxa"/>
            <w:shd w:val="clear" w:color="auto" w:fill="C5DFB4"/>
          </w:tcPr>
          <w:p>
            <w:pPr>
              <w:pStyle w:val="TableParagraph"/>
              <w:rPr>
                <w:sz w:val="18"/>
              </w:rPr>
            </w:pPr>
          </w:p>
          <w:p>
            <w:pPr>
              <w:pStyle w:val="TableParagraph"/>
              <w:rPr>
                <w:sz w:val="18"/>
              </w:rPr>
            </w:pPr>
          </w:p>
          <w:p>
            <w:pPr>
              <w:pStyle w:val="TableParagraph"/>
              <w:spacing w:before="9"/>
              <w:rPr>
                <w:sz w:val="19"/>
              </w:rPr>
            </w:pPr>
          </w:p>
          <w:p>
            <w:pPr>
              <w:pStyle w:val="TableParagraph"/>
              <w:ind w:left="40" w:right="7"/>
              <w:jc w:val="center"/>
              <w:rPr>
                <w:b/>
                <w:sz w:val="16"/>
              </w:rPr>
            </w:pPr>
            <w:r>
              <w:rPr>
                <w:b/>
                <w:sz w:val="16"/>
              </w:rPr>
              <w:t>Dr Gary Armstrong (Chair)</w:t>
            </w:r>
          </w:p>
        </w:tc>
      </w:tr>
      <w:tr>
        <w:trPr>
          <w:trHeight w:val="925" w:hRule="atLeast"/>
        </w:trPr>
        <w:tc>
          <w:tcPr>
            <w:tcW w:w="290" w:type="dxa"/>
            <w:textDirection w:val="tbRl"/>
          </w:tcPr>
          <w:p>
            <w:pPr>
              <w:pStyle w:val="TableParagraph"/>
              <w:spacing w:before="81"/>
              <w:ind w:left="6"/>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2"/>
              <w:ind w:left="3"/>
              <w:jc w:val="center"/>
              <w:rPr>
                <w:b/>
                <w:sz w:val="16"/>
              </w:rPr>
            </w:pPr>
            <w:r>
              <w:rPr>
                <w:b/>
                <w:w w:val="100"/>
                <w:sz w:val="16"/>
              </w:rPr>
              <w:t>x</w:t>
            </w:r>
          </w:p>
        </w:tc>
        <w:tc>
          <w:tcPr>
            <w:tcW w:w="288" w:type="dxa"/>
            <w:vMerge/>
            <w:tcBorders>
              <w:top w:val="nil"/>
              <w:bottom w:val="nil"/>
            </w:tcBorders>
            <w:textDirection w:val="tbRl"/>
          </w:tcPr>
          <w:p>
            <w:pPr>
              <w:rPr>
                <w:sz w:val="2"/>
                <w:szCs w:val="2"/>
              </w:rPr>
            </w:pPr>
          </w:p>
        </w:tc>
        <w:tc>
          <w:tcPr>
            <w:tcW w:w="288" w:type="dxa"/>
            <w:textDirection w:val="tbRl"/>
          </w:tcPr>
          <w:p>
            <w:pPr>
              <w:pStyle w:val="TableParagraph"/>
              <w:spacing w:before="67"/>
              <w:ind w:left="3"/>
              <w:jc w:val="center"/>
              <w:rPr>
                <w:b/>
                <w:sz w:val="16"/>
              </w:rPr>
            </w:pPr>
            <w:r>
              <w:rPr>
                <w:b/>
                <w:w w:val="100"/>
                <w:sz w:val="16"/>
              </w:rPr>
              <w:t>x</w:t>
            </w:r>
          </w:p>
        </w:tc>
        <w:tc>
          <w:tcPr>
            <w:tcW w:w="290" w:type="dxa"/>
            <w:textDirection w:val="tbRl"/>
          </w:tcPr>
          <w:p>
            <w:pPr>
              <w:pStyle w:val="TableParagraph"/>
              <w:spacing w:before="69"/>
              <w:ind w:left="3"/>
              <w:jc w:val="center"/>
              <w:rPr>
                <w:b/>
                <w:sz w:val="16"/>
              </w:rPr>
            </w:pPr>
            <w:r>
              <w:rPr>
                <w:b/>
                <w:w w:val="100"/>
                <w:sz w:val="16"/>
              </w:rPr>
              <w:t>x</w:t>
            </w:r>
          </w:p>
        </w:tc>
        <w:tc>
          <w:tcPr>
            <w:tcW w:w="290" w:type="dxa"/>
            <w:vMerge/>
            <w:tcBorders>
              <w:top w:val="nil"/>
              <w:bottom w:val="nil"/>
            </w:tcBorders>
            <w:textDirection w:val="tbRl"/>
          </w:tcPr>
          <w:p>
            <w:pPr>
              <w:rPr>
                <w:sz w:val="2"/>
                <w:szCs w:val="2"/>
              </w:rPr>
            </w:pPr>
          </w:p>
        </w:tc>
        <w:tc>
          <w:tcPr>
            <w:tcW w:w="290" w:type="dxa"/>
            <w:textDirection w:val="tbRl"/>
          </w:tcPr>
          <w:p>
            <w:pPr>
              <w:pStyle w:val="TableParagraph"/>
              <w:spacing w:before="77"/>
              <w:ind w:left="6"/>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4"/>
              <w:ind w:left="6"/>
              <w:jc w:val="center"/>
              <w:rPr>
                <w:rFonts w:ascii="Wingdings" w:hAnsi="Wingdings"/>
                <w:sz w:val="16"/>
              </w:rPr>
            </w:pPr>
            <w:r>
              <w:rPr>
                <w:rFonts w:ascii="Wingdings" w:hAnsi="Wingdings"/>
                <w:w w:val="100"/>
                <w:sz w:val="16"/>
              </w:rPr>
              <w:t></w:t>
            </w:r>
          </w:p>
        </w:tc>
        <w:tc>
          <w:tcPr>
            <w:tcW w:w="273" w:type="dxa"/>
            <w:textDirection w:val="tbRl"/>
          </w:tcPr>
          <w:p>
            <w:pPr>
              <w:pStyle w:val="TableParagraph"/>
              <w:spacing w:before="46"/>
              <w:ind w:left="1"/>
              <w:jc w:val="center"/>
              <w:rPr>
                <w:rFonts w:ascii="Calibri"/>
                <w:b/>
                <w:sz w:val="16"/>
              </w:rPr>
            </w:pPr>
            <w:r>
              <w:rPr>
                <w:rFonts w:ascii="Calibri"/>
                <w:b/>
                <w:w w:val="100"/>
                <w:sz w:val="16"/>
              </w:rPr>
              <w:t>x</w:t>
            </w:r>
          </w:p>
        </w:tc>
        <w:tc>
          <w:tcPr>
            <w:tcW w:w="283" w:type="dxa"/>
            <w:textDirection w:val="tbRl"/>
          </w:tcPr>
          <w:p>
            <w:pPr>
              <w:pStyle w:val="TableParagraph"/>
              <w:spacing w:before="68"/>
              <w:ind w:left="6"/>
              <w:jc w:val="center"/>
              <w:rPr>
                <w:rFonts w:ascii="Wingdings" w:hAnsi="Wingdings"/>
                <w:sz w:val="16"/>
              </w:rPr>
            </w:pPr>
            <w:r>
              <w:rPr>
                <w:rFonts w:ascii="Wingdings" w:hAnsi="Wingdings"/>
                <w:w w:val="100"/>
                <w:sz w:val="16"/>
              </w:rPr>
              <w:t></w:t>
            </w:r>
          </w:p>
        </w:tc>
        <w:tc>
          <w:tcPr>
            <w:tcW w:w="281" w:type="dxa"/>
            <w:textDirection w:val="tbRl"/>
          </w:tcPr>
          <w:p>
            <w:pPr>
              <w:pStyle w:val="TableParagraph"/>
              <w:spacing w:before="64"/>
              <w:ind w:left="6"/>
              <w:jc w:val="center"/>
              <w:rPr>
                <w:rFonts w:ascii="Wingdings" w:hAnsi="Wingdings"/>
                <w:sz w:val="16"/>
              </w:rPr>
            </w:pPr>
            <w:r>
              <w:rPr>
                <w:rFonts w:ascii="Wingdings" w:hAnsi="Wingdings"/>
                <w:w w:val="100"/>
                <w:sz w:val="16"/>
              </w:rPr>
              <w:t></w:t>
            </w:r>
          </w:p>
        </w:tc>
        <w:tc>
          <w:tcPr>
            <w:tcW w:w="4260" w:type="dxa"/>
            <w:shd w:val="clear" w:color="auto" w:fill="C5DFB4"/>
          </w:tcPr>
          <w:p>
            <w:pPr>
              <w:pStyle w:val="TableParagraph"/>
              <w:rPr>
                <w:sz w:val="18"/>
              </w:rPr>
            </w:pPr>
          </w:p>
          <w:p>
            <w:pPr>
              <w:pStyle w:val="TableParagraph"/>
              <w:rPr>
                <w:sz w:val="18"/>
              </w:rPr>
            </w:pPr>
          </w:p>
          <w:p>
            <w:pPr>
              <w:pStyle w:val="TableParagraph"/>
              <w:spacing w:before="9"/>
              <w:rPr>
                <w:sz w:val="19"/>
              </w:rPr>
            </w:pPr>
          </w:p>
          <w:p>
            <w:pPr>
              <w:pStyle w:val="TableParagraph"/>
              <w:ind w:left="38" w:right="7"/>
              <w:jc w:val="center"/>
              <w:rPr>
                <w:b/>
                <w:sz w:val="16"/>
              </w:rPr>
            </w:pPr>
            <w:r>
              <w:rPr>
                <w:b/>
                <w:sz w:val="16"/>
              </w:rPr>
              <w:t>Alex Seale Chief Operating Officer</w:t>
            </w:r>
          </w:p>
        </w:tc>
      </w:tr>
      <w:tr>
        <w:trPr>
          <w:trHeight w:val="1050" w:hRule="atLeast"/>
        </w:trPr>
        <w:tc>
          <w:tcPr>
            <w:tcW w:w="580" w:type="dxa"/>
            <w:gridSpan w:val="2"/>
            <w:shd w:val="clear" w:color="auto" w:fill="D9D9D9"/>
          </w:tcPr>
          <w:p>
            <w:pPr>
              <w:pStyle w:val="TableParagraph"/>
              <w:rPr>
                <w:sz w:val="18"/>
              </w:rPr>
            </w:pPr>
          </w:p>
          <w:p>
            <w:pPr>
              <w:pStyle w:val="TableParagraph"/>
              <w:spacing w:before="7"/>
              <w:rPr>
                <w:sz w:val="15"/>
              </w:rPr>
            </w:pPr>
          </w:p>
          <w:p>
            <w:pPr>
              <w:pStyle w:val="TableParagraph"/>
              <w:spacing w:line="244" w:lineRule="auto" w:before="1"/>
              <w:ind w:left="107" w:right="-20" w:hanging="89"/>
              <w:rPr>
                <w:b/>
                <w:sz w:val="16"/>
              </w:rPr>
            </w:pPr>
            <w:r>
              <w:rPr>
                <w:b/>
                <w:sz w:val="16"/>
              </w:rPr>
              <w:t>Retired June 2021</w:t>
            </w:r>
          </w:p>
        </w:tc>
        <w:tc>
          <w:tcPr>
            <w:tcW w:w="288" w:type="dxa"/>
            <w:vMerge/>
            <w:tcBorders>
              <w:top w:val="nil"/>
              <w:bottom w:val="nil"/>
            </w:tcBorders>
            <w:textDirection w:val="tbRl"/>
          </w:tcPr>
          <w:p>
            <w:pPr>
              <w:rPr>
                <w:sz w:val="2"/>
                <w:szCs w:val="2"/>
              </w:rPr>
            </w:pPr>
          </w:p>
        </w:tc>
        <w:tc>
          <w:tcPr>
            <w:tcW w:w="578" w:type="dxa"/>
            <w:gridSpan w:val="2"/>
            <w:shd w:val="clear" w:color="auto" w:fill="D9D9D9"/>
          </w:tcPr>
          <w:p>
            <w:pPr>
              <w:pStyle w:val="TableParagraph"/>
              <w:rPr>
                <w:sz w:val="18"/>
              </w:rPr>
            </w:pPr>
          </w:p>
          <w:p>
            <w:pPr>
              <w:pStyle w:val="TableParagraph"/>
              <w:spacing w:before="7"/>
              <w:rPr>
                <w:sz w:val="15"/>
              </w:rPr>
            </w:pPr>
          </w:p>
          <w:p>
            <w:pPr>
              <w:pStyle w:val="TableParagraph"/>
              <w:spacing w:line="244" w:lineRule="auto" w:before="1"/>
              <w:ind w:left="108" w:right="-23" w:hanging="89"/>
              <w:rPr>
                <w:b/>
                <w:sz w:val="16"/>
              </w:rPr>
            </w:pPr>
            <w:r>
              <w:rPr>
                <w:b/>
                <w:sz w:val="16"/>
              </w:rPr>
              <w:t>Retired June 2021</w:t>
            </w:r>
          </w:p>
        </w:tc>
        <w:tc>
          <w:tcPr>
            <w:tcW w:w="290" w:type="dxa"/>
            <w:vMerge/>
            <w:tcBorders>
              <w:top w:val="nil"/>
              <w:bottom w:val="nil"/>
            </w:tcBorders>
            <w:textDirection w:val="tbRl"/>
          </w:tcPr>
          <w:p>
            <w:pPr>
              <w:rPr>
                <w:sz w:val="2"/>
                <w:szCs w:val="2"/>
              </w:rPr>
            </w:pPr>
          </w:p>
        </w:tc>
        <w:tc>
          <w:tcPr>
            <w:tcW w:w="853" w:type="dxa"/>
            <w:gridSpan w:val="3"/>
            <w:shd w:val="clear" w:color="auto" w:fill="D9D9D9"/>
          </w:tcPr>
          <w:p>
            <w:pPr>
              <w:pStyle w:val="TableParagraph"/>
              <w:rPr>
                <w:sz w:val="18"/>
              </w:rPr>
            </w:pPr>
          </w:p>
          <w:p>
            <w:pPr>
              <w:pStyle w:val="TableParagraph"/>
              <w:rPr>
                <w:sz w:val="18"/>
              </w:rPr>
            </w:pPr>
          </w:p>
          <w:p>
            <w:pPr>
              <w:pStyle w:val="TableParagraph"/>
              <w:spacing w:before="1"/>
              <w:rPr>
                <w:sz w:val="14"/>
              </w:rPr>
            </w:pPr>
          </w:p>
          <w:p>
            <w:pPr>
              <w:pStyle w:val="TableParagraph"/>
              <w:spacing w:line="244" w:lineRule="auto" w:before="1"/>
              <w:ind w:left="49" w:firstLine="108"/>
              <w:rPr>
                <w:b/>
                <w:sz w:val="16"/>
              </w:rPr>
            </w:pPr>
            <w:r>
              <w:rPr>
                <w:b/>
                <w:sz w:val="16"/>
              </w:rPr>
              <w:t>Retired June 2021</w:t>
            </w:r>
          </w:p>
        </w:tc>
        <w:tc>
          <w:tcPr>
            <w:tcW w:w="283" w:type="dxa"/>
            <w:textDirection w:val="tbRl"/>
          </w:tcPr>
          <w:p>
            <w:pPr>
              <w:pStyle w:val="TableParagraph"/>
              <w:spacing w:before="62"/>
              <w:ind w:left="7"/>
              <w:jc w:val="center"/>
              <w:rPr>
                <w:b/>
                <w:sz w:val="16"/>
              </w:rPr>
            </w:pPr>
            <w:r>
              <w:rPr>
                <w:b/>
                <w:w w:val="100"/>
                <w:sz w:val="16"/>
              </w:rPr>
              <w:t>x</w:t>
            </w:r>
          </w:p>
        </w:tc>
        <w:tc>
          <w:tcPr>
            <w:tcW w:w="281" w:type="dxa"/>
            <w:textDirection w:val="tbRl"/>
          </w:tcPr>
          <w:p>
            <w:pPr>
              <w:pStyle w:val="TableParagraph"/>
              <w:spacing w:before="64"/>
              <w:ind w:left="11"/>
              <w:jc w:val="center"/>
              <w:rPr>
                <w:rFonts w:ascii="Wingdings" w:hAnsi="Wingdings"/>
                <w:sz w:val="16"/>
              </w:rPr>
            </w:pPr>
            <w:r>
              <w:rPr>
                <w:rFonts w:ascii="Wingdings" w:hAnsi="Wingdings"/>
                <w:w w:val="100"/>
                <w:sz w:val="16"/>
              </w:rPr>
              <w:t></w:t>
            </w:r>
          </w:p>
        </w:tc>
        <w:tc>
          <w:tcPr>
            <w:tcW w:w="4260" w:type="dxa"/>
            <w:shd w:val="clear" w:color="auto" w:fill="C5DFB4"/>
          </w:tcPr>
          <w:p>
            <w:pPr>
              <w:pStyle w:val="TableParagraph"/>
              <w:rPr>
                <w:sz w:val="18"/>
              </w:rPr>
            </w:pPr>
          </w:p>
          <w:p>
            <w:pPr>
              <w:pStyle w:val="TableParagraph"/>
              <w:rPr>
                <w:sz w:val="18"/>
              </w:rPr>
            </w:pPr>
          </w:p>
          <w:p>
            <w:pPr>
              <w:pStyle w:val="TableParagraph"/>
              <w:spacing w:before="1"/>
              <w:rPr>
                <w:sz w:val="14"/>
              </w:rPr>
            </w:pPr>
          </w:p>
          <w:p>
            <w:pPr>
              <w:pStyle w:val="TableParagraph"/>
              <w:spacing w:line="244" w:lineRule="auto" w:before="1"/>
              <w:ind w:left="1963" w:right="115" w:hanging="1805"/>
              <w:rPr>
                <w:b/>
                <w:sz w:val="16"/>
              </w:rPr>
            </w:pPr>
            <w:r>
              <w:rPr>
                <w:b/>
                <w:sz w:val="16"/>
              </w:rPr>
              <w:t>Clare Linley Director of Nursing &amp; Quality until June 2021</w:t>
            </w:r>
          </w:p>
        </w:tc>
      </w:tr>
      <w:tr>
        <w:trPr>
          <w:trHeight w:val="930" w:hRule="atLeast"/>
        </w:trPr>
        <w:tc>
          <w:tcPr>
            <w:tcW w:w="290" w:type="dxa"/>
            <w:textDirection w:val="tbRl"/>
          </w:tcPr>
          <w:p>
            <w:pPr>
              <w:pStyle w:val="TableParagraph"/>
              <w:spacing w:before="81"/>
              <w:ind w:left="1"/>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2"/>
              <w:ind w:right="1"/>
              <w:jc w:val="center"/>
              <w:rPr>
                <w:b/>
                <w:sz w:val="16"/>
              </w:rPr>
            </w:pPr>
            <w:r>
              <w:rPr>
                <w:b/>
                <w:w w:val="100"/>
                <w:sz w:val="16"/>
              </w:rPr>
              <w:t>x</w:t>
            </w:r>
          </w:p>
        </w:tc>
        <w:tc>
          <w:tcPr>
            <w:tcW w:w="288" w:type="dxa"/>
            <w:vMerge/>
            <w:tcBorders>
              <w:top w:val="nil"/>
              <w:bottom w:val="nil"/>
            </w:tcBorders>
            <w:textDirection w:val="tbRl"/>
          </w:tcPr>
          <w:p>
            <w:pPr>
              <w:rPr>
                <w:sz w:val="2"/>
                <w:szCs w:val="2"/>
              </w:rPr>
            </w:pPr>
          </w:p>
        </w:tc>
        <w:tc>
          <w:tcPr>
            <w:tcW w:w="288" w:type="dxa"/>
            <w:textDirection w:val="tbRl"/>
          </w:tcPr>
          <w:p>
            <w:pPr>
              <w:pStyle w:val="TableParagraph"/>
              <w:spacing w:before="67"/>
              <w:ind w:right="1"/>
              <w:jc w:val="center"/>
              <w:rPr>
                <w:b/>
                <w:sz w:val="16"/>
              </w:rPr>
            </w:pPr>
            <w:r>
              <w:rPr>
                <w:b/>
                <w:w w:val="100"/>
                <w:sz w:val="16"/>
              </w:rPr>
              <w:t>x</w:t>
            </w:r>
          </w:p>
        </w:tc>
        <w:tc>
          <w:tcPr>
            <w:tcW w:w="290" w:type="dxa"/>
            <w:textDirection w:val="tbRl"/>
          </w:tcPr>
          <w:p>
            <w:pPr>
              <w:pStyle w:val="TableParagraph"/>
              <w:spacing w:before="69"/>
              <w:ind w:right="1"/>
              <w:jc w:val="center"/>
              <w:rPr>
                <w:b/>
                <w:sz w:val="16"/>
              </w:rPr>
            </w:pPr>
            <w:r>
              <w:rPr>
                <w:b/>
                <w:w w:val="100"/>
                <w:sz w:val="16"/>
              </w:rPr>
              <w:t>x</w:t>
            </w:r>
          </w:p>
        </w:tc>
        <w:tc>
          <w:tcPr>
            <w:tcW w:w="290" w:type="dxa"/>
            <w:vMerge/>
            <w:tcBorders>
              <w:top w:val="nil"/>
              <w:bottom w:val="nil"/>
            </w:tcBorders>
            <w:textDirection w:val="tbRl"/>
          </w:tcPr>
          <w:p>
            <w:pPr>
              <w:rPr>
                <w:sz w:val="2"/>
                <w:szCs w:val="2"/>
              </w:rPr>
            </w:pPr>
          </w:p>
        </w:tc>
        <w:tc>
          <w:tcPr>
            <w:tcW w:w="290" w:type="dxa"/>
            <w:textDirection w:val="tbRl"/>
          </w:tcPr>
          <w:p>
            <w:pPr>
              <w:pStyle w:val="TableParagraph"/>
              <w:spacing w:before="77"/>
              <w:ind w:left="1"/>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4"/>
              <w:ind w:left="1"/>
              <w:jc w:val="center"/>
              <w:rPr>
                <w:rFonts w:ascii="Wingdings" w:hAnsi="Wingdings"/>
                <w:sz w:val="16"/>
              </w:rPr>
            </w:pPr>
            <w:r>
              <w:rPr>
                <w:rFonts w:ascii="Wingdings" w:hAnsi="Wingdings"/>
                <w:w w:val="100"/>
                <w:sz w:val="16"/>
              </w:rPr>
              <w:t></w:t>
            </w:r>
          </w:p>
        </w:tc>
        <w:tc>
          <w:tcPr>
            <w:tcW w:w="273" w:type="dxa"/>
            <w:textDirection w:val="tbRl"/>
          </w:tcPr>
          <w:p>
            <w:pPr>
              <w:pStyle w:val="TableParagraph"/>
              <w:spacing w:before="57"/>
              <w:ind w:left="1"/>
              <w:jc w:val="center"/>
              <w:rPr>
                <w:rFonts w:ascii="Wingdings" w:hAnsi="Wingdings"/>
                <w:sz w:val="16"/>
              </w:rPr>
            </w:pPr>
            <w:r>
              <w:rPr>
                <w:rFonts w:ascii="Wingdings" w:hAnsi="Wingdings"/>
                <w:w w:val="100"/>
                <w:sz w:val="16"/>
              </w:rPr>
              <w:t></w:t>
            </w:r>
          </w:p>
        </w:tc>
        <w:tc>
          <w:tcPr>
            <w:tcW w:w="283" w:type="dxa"/>
            <w:textDirection w:val="tbRl"/>
          </w:tcPr>
          <w:p>
            <w:pPr>
              <w:pStyle w:val="TableParagraph"/>
              <w:spacing w:before="68"/>
              <w:ind w:left="1"/>
              <w:jc w:val="center"/>
              <w:rPr>
                <w:rFonts w:ascii="Wingdings" w:hAnsi="Wingdings"/>
                <w:sz w:val="16"/>
              </w:rPr>
            </w:pPr>
            <w:r>
              <w:rPr>
                <w:rFonts w:ascii="Wingdings" w:hAnsi="Wingdings"/>
                <w:w w:val="100"/>
                <w:sz w:val="16"/>
              </w:rPr>
              <w:t></w:t>
            </w:r>
          </w:p>
        </w:tc>
        <w:tc>
          <w:tcPr>
            <w:tcW w:w="281" w:type="dxa"/>
            <w:textDirection w:val="tbRl"/>
          </w:tcPr>
          <w:p>
            <w:pPr>
              <w:pStyle w:val="TableParagraph"/>
              <w:spacing w:before="58"/>
              <w:ind w:right="16"/>
              <w:jc w:val="center"/>
              <w:rPr>
                <w:rFonts w:ascii="Times New Roman" w:hAnsi="Times New Roman"/>
                <w:b/>
                <w:sz w:val="16"/>
              </w:rPr>
            </w:pPr>
            <w:r>
              <w:rPr>
                <w:rFonts w:ascii="Times New Roman" w:hAnsi="Times New Roman"/>
                <w:b/>
                <w:w w:val="100"/>
                <w:sz w:val="16"/>
              </w:rPr>
              <w:t></w:t>
            </w:r>
          </w:p>
        </w:tc>
        <w:tc>
          <w:tcPr>
            <w:tcW w:w="4260" w:type="dxa"/>
            <w:shd w:val="clear" w:color="auto" w:fill="C5DFB4"/>
          </w:tcPr>
          <w:p>
            <w:pPr>
              <w:pStyle w:val="TableParagraph"/>
              <w:rPr>
                <w:sz w:val="18"/>
              </w:rPr>
            </w:pPr>
          </w:p>
          <w:p>
            <w:pPr>
              <w:pStyle w:val="TableParagraph"/>
              <w:spacing w:before="3"/>
              <w:rPr>
                <w:sz w:val="21"/>
              </w:rPr>
            </w:pPr>
          </w:p>
          <w:p>
            <w:pPr>
              <w:pStyle w:val="TableParagraph"/>
              <w:spacing w:line="247" w:lineRule="auto"/>
              <w:ind w:left="273" w:right="222"/>
              <w:rPr>
                <w:b/>
                <w:sz w:val="16"/>
              </w:rPr>
            </w:pPr>
            <w:r>
              <w:rPr>
                <w:b/>
                <w:sz w:val="16"/>
              </w:rPr>
              <w:t>Helen Davis Interim Director of Nursing &amp; Quality (formally Deputy Director of Nursing and Quality)</w:t>
            </w:r>
          </w:p>
        </w:tc>
      </w:tr>
      <w:tr>
        <w:trPr>
          <w:trHeight w:val="928" w:hRule="atLeast"/>
        </w:trPr>
        <w:tc>
          <w:tcPr>
            <w:tcW w:w="290" w:type="dxa"/>
            <w:textDirection w:val="tbRl"/>
          </w:tcPr>
          <w:p>
            <w:pPr>
              <w:pStyle w:val="TableParagraph"/>
              <w:spacing w:before="70"/>
              <w:jc w:val="center"/>
              <w:rPr>
                <w:b/>
                <w:sz w:val="16"/>
              </w:rPr>
            </w:pPr>
            <w:r>
              <w:rPr>
                <w:b/>
                <w:w w:val="100"/>
                <w:sz w:val="16"/>
              </w:rPr>
              <w:t>x</w:t>
            </w:r>
          </w:p>
        </w:tc>
        <w:tc>
          <w:tcPr>
            <w:tcW w:w="290" w:type="dxa"/>
            <w:textDirection w:val="tbRl"/>
          </w:tcPr>
          <w:p>
            <w:pPr>
              <w:pStyle w:val="TableParagraph"/>
              <w:spacing w:before="78"/>
              <w:ind w:left="3"/>
              <w:jc w:val="center"/>
              <w:rPr>
                <w:rFonts w:ascii="Wingdings" w:hAnsi="Wingdings"/>
                <w:sz w:val="16"/>
              </w:rPr>
            </w:pPr>
            <w:r>
              <w:rPr>
                <w:rFonts w:ascii="Wingdings" w:hAnsi="Wingdings"/>
                <w:w w:val="100"/>
                <w:sz w:val="16"/>
              </w:rPr>
              <w:t></w:t>
            </w:r>
          </w:p>
        </w:tc>
        <w:tc>
          <w:tcPr>
            <w:tcW w:w="288" w:type="dxa"/>
            <w:vMerge/>
            <w:tcBorders>
              <w:top w:val="nil"/>
              <w:bottom w:val="nil"/>
            </w:tcBorders>
            <w:textDirection w:val="tbRl"/>
          </w:tcPr>
          <w:p>
            <w:pPr>
              <w:rPr>
                <w:sz w:val="2"/>
                <w:szCs w:val="2"/>
              </w:rPr>
            </w:pPr>
          </w:p>
        </w:tc>
        <w:tc>
          <w:tcPr>
            <w:tcW w:w="288" w:type="dxa"/>
            <w:textDirection w:val="tbRl"/>
          </w:tcPr>
          <w:p>
            <w:pPr>
              <w:pStyle w:val="TableParagraph"/>
              <w:spacing w:before="73"/>
              <w:ind w:left="3"/>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5"/>
              <w:ind w:left="3"/>
              <w:jc w:val="center"/>
              <w:rPr>
                <w:rFonts w:ascii="Wingdings" w:hAnsi="Wingdings"/>
                <w:sz w:val="16"/>
              </w:rPr>
            </w:pPr>
            <w:r>
              <w:rPr>
                <w:rFonts w:ascii="Wingdings" w:hAnsi="Wingdings"/>
                <w:w w:val="100"/>
                <w:sz w:val="16"/>
              </w:rPr>
              <w:t></w:t>
            </w:r>
          </w:p>
        </w:tc>
        <w:tc>
          <w:tcPr>
            <w:tcW w:w="290" w:type="dxa"/>
            <w:vMerge/>
            <w:tcBorders>
              <w:top w:val="nil"/>
              <w:bottom w:val="nil"/>
            </w:tcBorders>
            <w:textDirection w:val="tbRl"/>
          </w:tcPr>
          <w:p>
            <w:pPr>
              <w:rPr>
                <w:sz w:val="2"/>
                <w:szCs w:val="2"/>
              </w:rPr>
            </w:pPr>
          </w:p>
        </w:tc>
        <w:tc>
          <w:tcPr>
            <w:tcW w:w="1417" w:type="dxa"/>
            <w:gridSpan w:val="5"/>
            <w:tcBorders>
              <w:top w:val="nil"/>
              <w:left w:val="nil"/>
              <w:bottom w:val="nil"/>
              <w:right w:val="nil"/>
            </w:tcBorders>
            <w:shd w:val="clear" w:color="auto" w:fill="000000"/>
          </w:tcPr>
          <w:p>
            <w:pPr>
              <w:pStyle w:val="TableParagraph"/>
              <w:rPr>
                <w:rFonts w:ascii="Times New Roman"/>
                <w:sz w:val="16"/>
              </w:rPr>
            </w:pPr>
          </w:p>
        </w:tc>
        <w:tc>
          <w:tcPr>
            <w:tcW w:w="4260" w:type="dxa"/>
            <w:tcBorders>
              <w:left w:val="nil"/>
            </w:tcBorders>
            <w:shd w:val="clear" w:color="auto" w:fill="C5DFB4"/>
          </w:tcPr>
          <w:p>
            <w:pPr>
              <w:pStyle w:val="TableParagraph"/>
              <w:rPr>
                <w:sz w:val="18"/>
              </w:rPr>
            </w:pPr>
          </w:p>
          <w:p>
            <w:pPr>
              <w:pStyle w:val="TableParagraph"/>
              <w:spacing w:before="3"/>
              <w:rPr>
                <w:sz w:val="21"/>
              </w:rPr>
            </w:pPr>
          </w:p>
          <w:p>
            <w:pPr>
              <w:pStyle w:val="TableParagraph"/>
              <w:spacing w:line="247" w:lineRule="auto"/>
              <w:ind w:left="1217" w:right="9" w:hanging="1152"/>
              <w:rPr>
                <w:b/>
                <w:sz w:val="16"/>
              </w:rPr>
            </w:pPr>
            <w:r>
              <w:rPr>
                <w:b/>
                <w:sz w:val="16"/>
              </w:rPr>
              <w:t>Rachel Stanton Interim Deputy Director of Nursing and Quality - from June 2021</w:t>
            </w:r>
          </w:p>
        </w:tc>
      </w:tr>
      <w:tr>
        <w:trPr>
          <w:trHeight w:val="928" w:hRule="atLeast"/>
        </w:trPr>
        <w:tc>
          <w:tcPr>
            <w:tcW w:w="290" w:type="dxa"/>
            <w:textDirection w:val="tbRl"/>
          </w:tcPr>
          <w:p>
            <w:pPr>
              <w:pStyle w:val="TableParagraph"/>
              <w:spacing w:before="70"/>
              <w:ind w:left="5"/>
              <w:jc w:val="center"/>
              <w:rPr>
                <w:b/>
                <w:sz w:val="16"/>
              </w:rPr>
            </w:pPr>
            <w:r>
              <w:rPr>
                <w:b/>
                <w:w w:val="100"/>
                <w:sz w:val="16"/>
              </w:rPr>
              <w:t>x</w:t>
            </w:r>
          </w:p>
        </w:tc>
        <w:tc>
          <w:tcPr>
            <w:tcW w:w="290" w:type="dxa"/>
            <w:textDirection w:val="tbRl"/>
          </w:tcPr>
          <w:p>
            <w:pPr>
              <w:pStyle w:val="TableParagraph"/>
              <w:spacing w:before="78"/>
              <w:ind w:left="8"/>
              <w:jc w:val="center"/>
              <w:rPr>
                <w:rFonts w:ascii="Wingdings" w:hAnsi="Wingdings"/>
                <w:sz w:val="16"/>
              </w:rPr>
            </w:pPr>
            <w:r>
              <w:rPr>
                <w:rFonts w:ascii="Wingdings" w:hAnsi="Wingdings"/>
                <w:w w:val="100"/>
                <w:sz w:val="16"/>
              </w:rPr>
              <w:t></w:t>
            </w:r>
          </w:p>
        </w:tc>
        <w:tc>
          <w:tcPr>
            <w:tcW w:w="288" w:type="dxa"/>
            <w:vMerge/>
            <w:tcBorders>
              <w:top w:val="nil"/>
              <w:bottom w:val="nil"/>
            </w:tcBorders>
            <w:textDirection w:val="tbRl"/>
          </w:tcPr>
          <w:p>
            <w:pPr>
              <w:rPr>
                <w:sz w:val="2"/>
                <w:szCs w:val="2"/>
              </w:rPr>
            </w:pPr>
          </w:p>
        </w:tc>
        <w:tc>
          <w:tcPr>
            <w:tcW w:w="288" w:type="dxa"/>
            <w:textDirection w:val="tbRl"/>
          </w:tcPr>
          <w:p>
            <w:pPr>
              <w:pStyle w:val="TableParagraph"/>
              <w:spacing w:before="67"/>
              <w:ind w:left="5"/>
              <w:jc w:val="center"/>
              <w:rPr>
                <w:b/>
                <w:sz w:val="16"/>
              </w:rPr>
            </w:pPr>
            <w:r>
              <w:rPr>
                <w:b/>
                <w:w w:val="100"/>
                <w:sz w:val="16"/>
              </w:rPr>
              <w:t>x</w:t>
            </w:r>
          </w:p>
        </w:tc>
        <w:tc>
          <w:tcPr>
            <w:tcW w:w="290" w:type="dxa"/>
            <w:textDirection w:val="tbRl"/>
          </w:tcPr>
          <w:p>
            <w:pPr>
              <w:pStyle w:val="TableParagraph"/>
              <w:spacing w:before="75"/>
              <w:ind w:left="8"/>
              <w:jc w:val="center"/>
              <w:rPr>
                <w:rFonts w:ascii="Wingdings" w:hAnsi="Wingdings"/>
                <w:sz w:val="16"/>
              </w:rPr>
            </w:pPr>
            <w:r>
              <w:rPr>
                <w:rFonts w:ascii="Wingdings" w:hAnsi="Wingdings"/>
                <w:w w:val="100"/>
                <w:sz w:val="16"/>
              </w:rPr>
              <w:t></w:t>
            </w:r>
          </w:p>
        </w:tc>
        <w:tc>
          <w:tcPr>
            <w:tcW w:w="290" w:type="dxa"/>
            <w:vMerge/>
            <w:tcBorders>
              <w:top w:val="nil"/>
              <w:bottom w:val="nil"/>
            </w:tcBorders>
            <w:textDirection w:val="tbRl"/>
          </w:tcPr>
          <w:p>
            <w:pPr>
              <w:rPr>
                <w:sz w:val="2"/>
                <w:szCs w:val="2"/>
              </w:rPr>
            </w:pPr>
          </w:p>
        </w:tc>
        <w:tc>
          <w:tcPr>
            <w:tcW w:w="290" w:type="dxa"/>
            <w:textDirection w:val="tbRl"/>
          </w:tcPr>
          <w:p>
            <w:pPr>
              <w:pStyle w:val="TableParagraph"/>
              <w:spacing w:before="77"/>
              <w:ind w:left="8"/>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4"/>
              <w:ind w:left="8"/>
              <w:jc w:val="center"/>
              <w:rPr>
                <w:rFonts w:ascii="Wingdings" w:hAnsi="Wingdings"/>
                <w:sz w:val="16"/>
              </w:rPr>
            </w:pPr>
            <w:r>
              <w:rPr>
                <w:rFonts w:ascii="Wingdings" w:hAnsi="Wingdings"/>
                <w:w w:val="100"/>
                <w:sz w:val="16"/>
              </w:rPr>
              <w:t></w:t>
            </w:r>
          </w:p>
        </w:tc>
        <w:tc>
          <w:tcPr>
            <w:tcW w:w="273" w:type="dxa"/>
            <w:textDirection w:val="tbRl"/>
          </w:tcPr>
          <w:p>
            <w:pPr>
              <w:pStyle w:val="TableParagraph"/>
              <w:spacing w:before="57"/>
              <w:ind w:left="8"/>
              <w:jc w:val="center"/>
              <w:rPr>
                <w:rFonts w:ascii="Wingdings" w:hAnsi="Wingdings"/>
                <w:sz w:val="16"/>
              </w:rPr>
            </w:pPr>
            <w:r>
              <w:rPr>
                <w:rFonts w:ascii="Wingdings" w:hAnsi="Wingdings"/>
                <w:w w:val="100"/>
                <w:sz w:val="16"/>
              </w:rPr>
              <w:t></w:t>
            </w:r>
          </w:p>
        </w:tc>
        <w:tc>
          <w:tcPr>
            <w:tcW w:w="283" w:type="dxa"/>
            <w:textDirection w:val="tbRl"/>
          </w:tcPr>
          <w:p>
            <w:pPr>
              <w:pStyle w:val="TableParagraph"/>
              <w:spacing w:before="68"/>
              <w:ind w:left="8"/>
              <w:jc w:val="center"/>
              <w:rPr>
                <w:rFonts w:ascii="Wingdings" w:hAnsi="Wingdings"/>
                <w:sz w:val="16"/>
              </w:rPr>
            </w:pPr>
            <w:r>
              <w:rPr>
                <w:rFonts w:ascii="Wingdings" w:hAnsi="Wingdings"/>
                <w:w w:val="100"/>
                <w:sz w:val="16"/>
              </w:rPr>
              <w:t></w:t>
            </w:r>
          </w:p>
        </w:tc>
        <w:tc>
          <w:tcPr>
            <w:tcW w:w="281" w:type="dxa"/>
            <w:textDirection w:val="tbRl"/>
          </w:tcPr>
          <w:p>
            <w:pPr>
              <w:pStyle w:val="TableParagraph"/>
              <w:spacing w:before="64"/>
              <w:ind w:left="8"/>
              <w:jc w:val="center"/>
              <w:rPr>
                <w:rFonts w:ascii="Wingdings" w:hAnsi="Wingdings"/>
                <w:sz w:val="16"/>
              </w:rPr>
            </w:pPr>
            <w:r>
              <w:rPr>
                <w:rFonts w:ascii="Wingdings" w:hAnsi="Wingdings"/>
                <w:w w:val="100"/>
                <w:sz w:val="16"/>
              </w:rPr>
              <w:t></w:t>
            </w:r>
          </w:p>
        </w:tc>
        <w:tc>
          <w:tcPr>
            <w:tcW w:w="4260" w:type="dxa"/>
            <w:shd w:val="clear" w:color="auto" w:fill="C5DFB4"/>
          </w:tcPr>
          <w:p>
            <w:pPr>
              <w:pStyle w:val="TableParagraph"/>
              <w:rPr>
                <w:sz w:val="18"/>
              </w:rPr>
            </w:pPr>
          </w:p>
          <w:p>
            <w:pPr>
              <w:pStyle w:val="TableParagraph"/>
              <w:rPr>
                <w:sz w:val="18"/>
              </w:rPr>
            </w:pPr>
          </w:p>
          <w:p>
            <w:pPr>
              <w:pStyle w:val="TableParagraph"/>
              <w:spacing w:before="9"/>
              <w:rPr>
                <w:sz w:val="19"/>
              </w:rPr>
            </w:pPr>
          </w:p>
          <w:p>
            <w:pPr>
              <w:pStyle w:val="TableParagraph"/>
              <w:ind w:left="41" w:right="5"/>
              <w:jc w:val="center"/>
              <w:rPr>
                <w:b/>
                <w:sz w:val="16"/>
              </w:rPr>
            </w:pPr>
            <w:r>
              <w:rPr>
                <w:b/>
                <w:sz w:val="16"/>
              </w:rPr>
              <w:t>Dr Faisel Baig</w:t>
            </w:r>
          </w:p>
        </w:tc>
      </w:tr>
      <w:tr>
        <w:trPr>
          <w:trHeight w:val="930" w:hRule="atLeast"/>
        </w:trPr>
        <w:tc>
          <w:tcPr>
            <w:tcW w:w="290" w:type="dxa"/>
            <w:textDirection w:val="tbRl"/>
          </w:tcPr>
          <w:p>
            <w:pPr>
              <w:pStyle w:val="TableParagraph"/>
              <w:spacing w:before="81"/>
              <w:ind w:left="1"/>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8"/>
              <w:ind w:left="1"/>
              <w:jc w:val="center"/>
              <w:rPr>
                <w:rFonts w:ascii="Wingdings" w:hAnsi="Wingdings"/>
                <w:sz w:val="16"/>
              </w:rPr>
            </w:pPr>
            <w:r>
              <w:rPr>
                <w:rFonts w:ascii="Wingdings" w:hAnsi="Wingdings"/>
                <w:w w:val="100"/>
                <w:sz w:val="16"/>
              </w:rPr>
              <w:t></w:t>
            </w:r>
          </w:p>
        </w:tc>
        <w:tc>
          <w:tcPr>
            <w:tcW w:w="288" w:type="dxa"/>
            <w:vMerge/>
            <w:tcBorders>
              <w:top w:val="nil"/>
              <w:bottom w:val="nil"/>
            </w:tcBorders>
            <w:textDirection w:val="tbRl"/>
          </w:tcPr>
          <w:p>
            <w:pPr>
              <w:rPr>
                <w:sz w:val="2"/>
                <w:szCs w:val="2"/>
              </w:rPr>
            </w:pPr>
          </w:p>
        </w:tc>
        <w:tc>
          <w:tcPr>
            <w:tcW w:w="288" w:type="dxa"/>
            <w:textDirection w:val="tbRl"/>
          </w:tcPr>
          <w:p>
            <w:pPr>
              <w:pStyle w:val="TableParagraph"/>
              <w:spacing w:before="67"/>
              <w:ind w:right="1"/>
              <w:jc w:val="center"/>
              <w:rPr>
                <w:b/>
                <w:sz w:val="16"/>
              </w:rPr>
            </w:pPr>
            <w:r>
              <w:rPr>
                <w:b/>
                <w:w w:val="100"/>
                <w:sz w:val="16"/>
              </w:rPr>
              <w:t>x</w:t>
            </w:r>
          </w:p>
        </w:tc>
        <w:tc>
          <w:tcPr>
            <w:tcW w:w="290" w:type="dxa"/>
            <w:textDirection w:val="tbRl"/>
          </w:tcPr>
          <w:p>
            <w:pPr>
              <w:pStyle w:val="TableParagraph"/>
              <w:spacing w:before="75"/>
              <w:ind w:left="1"/>
              <w:jc w:val="center"/>
              <w:rPr>
                <w:rFonts w:ascii="Wingdings" w:hAnsi="Wingdings"/>
                <w:sz w:val="16"/>
              </w:rPr>
            </w:pPr>
            <w:r>
              <w:rPr>
                <w:rFonts w:ascii="Wingdings" w:hAnsi="Wingdings"/>
                <w:w w:val="100"/>
                <w:sz w:val="16"/>
              </w:rPr>
              <w:t></w:t>
            </w:r>
          </w:p>
        </w:tc>
        <w:tc>
          <w:tcPr>
            <w:tcW w:w="290" w:type="dxa"/>
            <w:vMerge/>
            <w:tcBorders>
              <w:top w:val="nil"/>
              <w:bottom w:val="nil"/>
            </w:tcBorders>
            <w:textDirection w:val="tbRl"/>
          </w:tcPr>
          <w:p>
            <w:pPr>
              <w:rPr>
                <w:sz w:val="2"/>
                <w:szCs w:val="2"/>
              </w:rPr>
            </w:pPr>
          </w:p>
        </w:tc>
        <w:tc>
          <w:tcPr>
            <w:tcW w:w="290" w:type="dxa"/>
            <w:textDirection w:val="tbRl"/>
          </w:tcPr>
          <w:p>
            <w:pPr>
              <w:pStyle w:val="TableParagraph"/>
              <w:spacing w:before="68"/>
              <w:ind w:left="1"/>
              <w:jc w:val="center"/>
              <w:rPr>
                <w:b/>
                <w:sz w:val="16"/>
              </w:rPr>
            </w:pPr>
            <w:r>
              <w:rPr>
                <w:b/>
                <w:w w:val="100"/>
                <w:sz w:val="16"/>
              </w:rPr>
              <w:t>X</w:t>
            </w:r>
          </w:p>
        </w:tc>
        <w:tc>
          <w:tcPr>
            <w:tcW w:w="290" w:type="dxa"/>
            <w:textDirection w:val="tbRl"/>
          </w:tcPr>
          <w:p>
            <w:pPr>
              <w:pStyle w:val="TableParagraph"/>
              <w:spacing w:before="74"/>
              <w:ind w:left="1"/>
              <w:jc w:val="center"/>
              <w:rPr>
                <w:rFonts w:ascii="Wingdings" w:hAnsi="Wingdings"/>
                <w:sz w:val="16"/>
              </w:rPr>
            </w:pPr>
            <w:r>
              <w:rPr>
                <w:rFonts w:ascii="Wingdings" w:hAnsi="Wingdings"/>
                <w:w w:val="100"/>
                <w:sz w:val="16"/>
              </w:rPr>
              <w:t></w:t>
            </w:r>
          </w:p>
        </w:tc>
        <w:tc>
          <w:tcPr>
            <w:tcW w:w="273" w:type="dxa"/>
            <w:textDirection w:val="tbRl"/>
          </w:tcPr>
          <w:p>
            <w:pPr>
              <w:pStyle w:val="TableParagraph"/>
              <w:spacing w:before="57"/>
              <w:ind w:left="1"/>
              <w:jc w:val="center"/>
              <w:rPr>
                <w:rFonts w:ascii="Wingdings" w:hAnsi="Wingdings"/>
                <w:sz w:val="16"/>
              </w:rPr>
            </w:pPr>
            <w:r>
              <w:rPr>
                <w:rFonts w:ascii="Wingdings" w:hAnsi="Wingdings"/>
                <w:w w:val="100"/>
                <w:sz w:val="16"/>
              </w:rPr>
              <w:t></w:t>
            </w:r>
          </w:p>
        </w:tc>
        <w:tc>
          <w:tcPr>
            <w:tcW w:w="283" w:type="dxa"/>
            <w:textDirection w:val="tbRl"/>
          </w:tcPr>
          <w:p>
            <w:pPr>
              <w:pStyle w:val="TableParagraph"/>
              <w:spacing w:before="68"/>
              <w:ind w:left="1"/>
              <w:jc w:val="center"/>
              <w:rPr>
                <w:rFonts w:ascii="Wingdings" w:hAnsi="Wingdings"/>
                <w:sz w:val="16"/>
              </w:rPr>
            </w:pPr>
            <w:r>
              <w:rPr>
                <w:rFonts w:ascii="Wingdings" w:hAnsi="Wingdings"/>
                <w:w w:val="100"/>
                <w:sz w:val="16"/>
              </w:rPr>
              <w:t></w:t>
            </w:r>
          </w:p>
        </w:tc>
        <w:tc>
          <w:tcPr>
            <w:tcW w:w="281" w:type="dxa"/>
            <w:textDirection w:val="tbRl"/>
          </w:tcPr>
          <w:p>
            <w:pPr>
              <w:pStyle w:val="TableParagraph"/>
              <w:spacing w:before="64"/>
              <w:ind w:left="1"/>
              <w:jc w:val="center"/>
              <w:rPr>
                <w:rFonts w:ascii="Wingdings" w:hAnsi="Wingdings"/>
                <w:sz w:val="16"/>
              </w:rPr>
            </w:pPr>
            <w:r>
              <w:rPr>
                <w:rFonts w:ascii="Wingdings" w:hAnsi="Wingdings"/>
                <w:w w:val="100"/>
                <w:sz w:val="16"/>
              </w:rPr>
              <w:t></w:t>
            </w:r>
          </w:p>
        </w:tc>
        <w:tc>
          <w:tcPr>
            <w:tcW w:w="4260" w:type="dxa"/>
            <w:shd w:val="clear" w:color="auto" w:fill="C5DFB4"/>
          </w:tcPr>
          <w:p>
            <w:pPr>
              <w:pStyle w:val="TableParagraph"/>
              <w:rPr>
                <w:sz w:val="18"/>
              </w:rPr>
            </w:pPr>
          </w:p>
          <w:p>
            <w:pPr>
              <w:pStyle w:val="TableParagraph"/>
              <w:rPr>
                <w:sz w:val="18"/>
              </w:rPr>
            </w:pPr>
          </w:p>
          <w:p>
            <w:pPr>
              <w:pStyle w:val="TableParagraph"/>
              <w:spacing w:before="9"/>
              <w:rPr>
                <w:sz w:val="19"/>
              </w:rPr>
            </w:pPr>
          </w:p>
          <w:p>
            <w:pPr>
              <w:pStyle w:val="TableParagraph"/>
              <w:ind w:left="41" w:right="7"/>
              <w:jc w:val="center"/>
              <w:rPr>
                <w:b/>
                <w:sz w:val="16"/>
              </w:rPr>
            </w:pPr>
            <w:r>
              <w:rPr>
                <w:b/>
                <w:sz w:val="16"/>
              </w:rPr>
              <w:t>Dr Salim Modan</w:t>
            </w:r>
          </w:p>
        </w:tc>
      </w:tr>
      <w:tr>
        <w:trPr>
          <w:trHeight w:val="928" w:hRule="atLeast"/>
        </w:trPr>
        <w:tc>
          <w:tcPr>
            <w:tcW w:w="290" w:type="dxa"/>
            <w:textDirection w:val="tbRl"/>
          </w:tcPr>
          <w:p>
            <w:pPr>
              <w:pStyle w:val="TableParagraph"/>
              <w:spacing w:before="81"/>
              <w:ind w:left="3"/>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8"/>
              <w:ind w:left="3"/>
              <w:jc w:val="center"/>
              <w:rPr>
                <w:rFonts w:ascii="Wingdings" w:hAnsi="Wingdings"/>
                <w:sz w:val="16"/>
              </w:rPr>
            </w:pPr>
            <w:r>
              <w:rPr>
                <w:rFonts w:ascii="Wingdings" w:hAnsi="Wingdings"/>
                <w:w w:val="100"/>
                <w:sz w:val="16"/>
              </w:rPr>
              <w:t></w:t>
            </w:r>
          </w:p>
        </w:tc>
        <w:tc>
          <w:tcPr>
            <w:tcW w:w="288" w:type="dxa"/>
            <w:vMerge/>
            <w:tcBorders>
              <w:top w:val="nil"/>
              <w:bottom w:val="nil"/>
            </w:tcBorders>
            <w:textDirection w:val="tbRl"/>
          </w:tcPr>
          <w:p>
            <w:pPr>
              <w:rPr>
                <w:sz w:val="2"/>
                <w:szCs w:val="2"/>
              </w:rPr>
            </w:pPr>
          </w:p>
        </w:tc>
        <w:tc>
          <w:tcPr>
            <w:tcW w:w="288" w:type="dxa"/>
            <w:textDirection w:val="tbRl"/>
          </w:tcPr>
          <w:p>
            <w:pPr>
              <w:pStyle w:val="TableParagraph"/>
              <w:spacing w:before="73"/>
              <w:ind w:left="3"/>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5"/>
              <w:ind w:left="3"/>
              <w:jc w:val="center"/>
              <w:rPr>
                <w:rFonts w:ascii="Wingdings" w:hAnsi="Wingdings"/>
                <w:sz w:val="16"/>
              </w:rPr>
            </w:pPr>
            <w:r>
              <w:rPr>
                <w:rFonts w:ascii="Wingdings" w:hAnsi="Wingdings"/>
                <w:w w:val="100"/>
                <w:sz w:val="16"/>
              </w:rPr>
              <w:t></w:t>
            </w:r>
          </w:p>
        </w:tc>
        <w:tc>
          <w:tcPr>
            <w:tcW w:w="290" w:type="dxa"/>
            <w:vMerge/>
            <w:tcBorders>
              <w:top w:val="nil"/>
              <w:bottom w:val="nil"/>
            </w:tcBorders>
            <w:textDirection w:val="tbRl"/>
          </w:tcPr>
          <w:p>
            <w:pPr>
              <w:rPr>
                <w:sz w:val="2"/>
                <w:szCs w:val="2"/>
              </w:rPr>
            </w:pPr>
          </w:p>
        </w:tc>
        <w:tc>
          <w:tcPr>
            <w:tcW w:w="290" w:type="dxa"/>
            <w:textDirection w:val="tbRl"/>
          </w:tcPr>
          <w:p>
            <w:pPr>
              <w:pStyle w:val="TableParagraph"/>
              <w:spacing w:before="68"/>
              <w:jc w:val="center"/>
              <w:rPr>
                <w:b/>
                <w:sz w:val="16"/>
              </w:rPr>
            </w:pPr>
            <w:r>
              <w:rPr>
                <w:b/>
                <w:w w:val="100"/>
                <w:sz w:val="16"/>
              </w:rPr>
              <w:t>x</w:t>
            </w:r>
          </w:p>
        </w:tc>
        <w:tc>
          <w:tcPr>
            <w:tcW w:w="290" w:type="dxa"/>
            <w:textDirection w:val="tbRl"/>
          </w:tcPr>
          <w:p>
            <w:pPr>
              <w:pStyle w:val="TableParagraph"/>
              <w:spacing w:before="74"/>
              <w:ind w:left="3"/>
              <w:jc w:val="center"/>
              <w:rPr>
                <w:rFonts w:ascii="Wingdings" w:hAnsi="Wingdings"/>
                <w:sz w:val="16"/>
              </w:rPr>
            </w:pPr>
            <w:r>
              <w:rPr>
                <w:rFonts w:ascii="Wingdings" w:hAnsi="Wingdings"/>
                <w:w w:val="100"/>
                <w:sz w:val="16"/>
              </w:rPr>
              <w:t></w:t>
            </w:r>
          </w:p>
        </w:tc>
        <w:tc>
          <w:tcPr>
            <w:tcW w:w="273" w:type="dxa"/>
            <w:textDirection w:val="tbRl"/>
          </w:tcPr>
          <w:p>
            <w:pPr>
              <w:pStyle w:val="TableParagraph"/>
              <w:spacing w:before="57"/>
              <w:ind w:left="3"/>
              <w:jc w:val="center"/>
              <w:rPr>
                <w:rFonts w:ascii="Wingdings" w:hAnsi="Wingdings"/>
                <w:sz w:val="16"/>
              </w:rPr>
            </w:pPr>
            <w:r>
              <w:rPr>
                <w:rFonts w:ascii="Wingdings" w:hAnsi="Wingdings"/>
                <w:w w:val="100"/>
                <w:sz w:val="16"/>
              </w:rPr>
              <w:t></w:t>
            </w:r>
          </w:p>
        </w:tc>
        <w:tc>
          <w:tcPr>
            <w:tcW w:w="283" w:type="dxa"/>
            <w:textDirection w:val="tbRl"/>
          </w:tcPr>
          <w:p>
            <w:pPr>
              <w:pStyle w:val="TableParagraph"/>
              <w:spacing w:before="68"/>
              <w:ind w:left="3"/>
              <w:jc w:val="center"/>
              <w:rPr>
                <w:rFonts w:ascii="Wingdings" w:hAnsi="Wingdings"/>
                <w:sz w:val="16"/>
              </w:rPr>
            </w:pPr>
            <w:r>
              <w:rPr>
                <w:rFonts w:ascii="Wingdings" w:hAnsi="Wingdings"/>
                <w:w w:val="100"/>
                <w:sz w:val="16"/>
              </w:rPr>
              <w:t></w:t>
            </w:r>
          </w:p>
        </w:tc>
        <w:tc>
          <w:tcPr>
            <w:tcW w:w="281" w:type="dxa"/>
            <w:textDirection w:val="tbRl"/>
          </w:tcPr>
          <w:p>
            <w:pPr>
              <w:pStyle w:val="TableParagraph"/>
              <w:spacing w:before="64"/>
              <w:ind w:left="3"/>
              <w:jc w:val="center"/>
              <w:rPr>
                <w:rFonts w:ascii="Wingdings" w:hAnsi="Wingdings"/>
                <w:sz w:val="16"/>
              </w:rPr>
            </w:pPr>
            <w:r>
              <w:rPr>
                <w:rFonts w:ascii="Wingdings" w:hAnsi="Wingdings"/>
                <w:w w:val="100"/>
                <w:sz w:val="16"/>
              </w:rPr>
              <w:t></w:t>
            </w:r>
          </w:p>
        </w:tc>
        <w:tc>
          <w:tcPr>
            <w:tcW w:w="4260" w:type="dxa"/>
            <w:shd w:val="clear" w:color="auto" w:fill="C5DFB4"/>
          </w:tcPr>
          <w:p>
            <w:pPr>
              <w:pStyle w:val="TableParagraph"/>
              <w:rPr>
                <w:sz w:val="18"/>
              </w:rPr>
            </w:pPr>
          </w:p>
          <w:p>
            <w:pPr>
              <w:pStyle w:val="TableParagraph"/>
              <w:rPr>
                <w:sz w:val="18"/>
              </w:rPr>
            </w:pPr>
          </w:p>
          <w:p>
            <w:pPr>
              <w:pStyle w:val="TableParagraph"/>
              <w:spacing w:before="9"/>
              <w:rPr>
                <w:sz w:val="19"/>
              </w:rPr>
            </w:pPr>
          </w:p>
          <w:p>
            <w:pPr>
              <w:pStyle w:val="TableParagraph"/>
              <w:ind w:left="40" w:right="7"/>
              <w:jc w:val="center"/>
              <w:rPr>
                <w:b/>
                <w:sz w:val="16"/>
              </w:rPr>
            </w:pPr>
            <w:r>
              <w:rPr>
                <w:b/>
                <w:sz w:val="16"/>
              </w:rPr>
              <w:t>Dr Hardik Gandhi</w:t>
            </w:r>
          </w:p>
        </w:tc>
      </w:tr>
      <w:tr>
        <w:trPr>
          <w:trHeight w:val="928" w:hRule="atLeast"/>
        </w:trPr>
        <w:tc>
          <w:tcPr>
            <w:tcW w:w="290" w:type="dxa"/>
            <w:textDirection w:val="tbRl"/>
          </w:tcPr>
          <w:p>
            <w:pPr>
              <w:pStyle w:val="TableParagraph"/>
              <w:spacing w:before="81"/>
              <w:ind w:left="8"/>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2"/>
              <w:ind w:left="5"/>
              <w:jc w:val="center"/>
              <w:rPr>
                <w:b/>
                <w:sz w:val="16"/>
              </w:rPr>
            </w:pPr>
            <w:r>
              <w:rPr>
                <w:b/>
                <w:w w:val="100"/>
                <w:sz w:val="16"/>
              </w:rPr>
              <w:t>x</w:t>
            </w:r>
          </w:p>
        </w:tc>
        <w:tc>
          <w:tcPr>
            <w:tcW w:w="288" w:type="dxa"/>
            <w:vMerge/>
            <w:tcBorders>
              <w:top w:val="nil"/>
              <w:bottom w:val="nil"/>
            </w:tcBorders>
            <w:textDirection w:val="tbRl"/>
          </w:tcPr>
          <w:p>
            <w:pPr>
              <w:rPr>
                <w:sz w:val="2"/>
                <w:szCs w:val="2"/>
              </w:rPr>
            </w:pPr>
          </w:p>
        </w:tc>
        <w:tc>
          <w:tcPr>
            <w:tcW w:w="288" w:type="dxa"/>
            <w:textDirection w:val="tbRl"/>
          </w:tcPr>
          <w:p>
            <w:pPr>
              <w:pStyle w:val="TableParagraph"/>
              <w:spacing w:before="73"/>
              <w:ind w:left="8"/>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5"/>
              <w:ind w:left="8"/>
              <w:jc w:val="center"/>
              <w:rPr>
                <w:rFonts w:ascii="Wingdings" w:hAnsi="Wingdings"/>
                <w:sz w:val="16"/>
              </w:rPr>
            </w:pPr>
            <w:r>
              <w:rPr>
                <w:rFonts w:ascii="Wingdings" w:hAnsi="Wingdings"/>
                <w:w w:val="100"/>
                <w:sz w:val="16"/>
              </w:rPr>
              <w:t></w:t>
            </w:r>
          </w:p>
        </w:tc>
        <w:tc>
          <w:tcPr>
            <w:tcW w:w="290" w:type="dxa"/>
            <w:vMerge/>
            <w:tcBorders>
              <w:top w:val="nil"/>
              <w:bottom w:val="nil"/>
            </w:tcBorders>
            <w:textDirection w:val="tbRl"/>
          </w:tcPr>
          <w:p>
            <w:pPr>
              <w:rPr>
                <w:sz w:val="2"/>
                <w:szCs w:val="2"/>
              </w:rPr>
            </w:pPr>
          </w:p>
        </w:tc>
        <w:tc>
          <w:tcPr>
            <w:tcW w:w="290" w:type="dxa"/>
            <w:textDirection w:val="tbRl"/>
          </w:tcPr>
          <w:p>
            <w:pPr>
              <w:pStyle w:val="TableParagraph"/>
              <w:spacing w:before="68"/>
              <w:ind w:left="5"/>
              <w:jc w:val="center"/>
              <w:rPr>
                <w:b/>
                <w:sz w:val="16"/>
              </w:rPr>
            </w:pPr>
            <w:r>
              <w:rPr>
                <w:b/>
                <w:w w:val="100"/>
                <w:sz w:val="16"/>
              </w:rPr>
              <w:t>x</w:t>
            </w:r>
          </w:p>
        </w:tc>
        <w:tc>
          <w:tcPr>
            <w:tcW w:w="290" w:type="dxa"/>
            <w:textDirection w:val="tbRl"/>
          </w:tcPr>
          <w:p>
            <w:pPr>
              <w:pStyle w:val="TableParagraph"/>
              <w:spacing w:before="74"/>
              <w:ind w:left="8"/>
              <w:jc w:val="center"/>
              <w:rPr>
                <w:rFonts w:ascii="Wingdings" w:hAnsi="Wingdings"/>
                <w:sz w:val="16"/>
              </w:rPr>
            </w:pPr>
            <w:r>
              <w:rPr>
                <w:rFonts w:ascii="Wingdings" w:hAnsi="Wingdings"/>
                <w:w w:val="100"/>
                <w:sz w:val="16"/>
              </w:rPr>
              <w:t></w:t>
            </w:r>
          </w:p>
        </w:tc>
        <w:tc>
          <w:tcPr>
            <w:tcW w:w="273" w:type="dxa"/>
            <w:textDirection w:val="tbRl"/>
          </w:tcPr>
          <w:p>
            <w:pPr>
              <w:pStyle w:val="TableParagraph"/>
              <w:spacing w:before="46"/>
              <w:jc w:val="center"/>
              <w:rPr>
                <w:rFonts w:ascii="Calibri"/>
                <w:b/>
                <w:sz w:val="16"/>
              </w:rPr>
            </w:pPr>
            <w:r>
              <w:rPr>
                <w:rFonts w:ascii="Calibri"/>
                <w:b/>
                <w:w w:val="100"/>
                <w:sz w:val="16"/>
              </w:rPr>
              <w:t>x</w:t>
            </w:r>
          </w:p>
        </w:tc>
        <w:tc>
          <w:tcPr>
            <w:tcW w:w="283" w:type="dxa"/>
            <w:textDirection w:val="tbRl"/>
          </w:tcPr>
          <w:p>
            <w:pPr>
              <w:pStyle w:val="TableParagraph"/>
              <w:spacing w:before="68"/>
              <w:ind w:left="8"/>
              <w:jc w:val="center"/>
              <w:rPr>
                <w:rFonts w:ascii="Wingdings" w:hAnsi="Wingdings"/>
                <w:sz w:val="16"/>
              </w:rPr>
            </w:pPr>
            <w:r>
              <w:rPr>
                <w:rFonts w:ascii="Wingdings" w:hAnsi="Wingdings"/>
                <w:w w:val="100"/>
                <w:sz w:val="16"/>
              </w:rPr>
              <w:t></w:t>
            </w:r>
          </w:p>
        </w:tc>
        <w:tc>
          <w:tcPr>
            <w:tcW w:w="281" w:type="dxa"/>
            <w:textDirection w:val="tbRl"/>
          </w:tcPr>
          <w:p>
            <w:pPr>
              <w:pStyle w:val="TableParagraph"/>
              <w:spacing w:before="64"/>
              <w:ind w:left="8"/>
              <w:jc w:val="center"/>
              <w:rPr>
                <w:rFonts w:ascii="Wingdings" w:hAnsi="Wingdings"/>
                <w:sz w:val="16"/>
              </w:rPr>
            </w:pPr>
            <w:r>
              <w:rPr>
                <w:rFonts w:ascii="Wingdings" w:hAnsi="Wingdings"/>
                <w:w w:val="100"/>
                <w:sz w:val="16"/>
              </w:rPr>
              <w:t></w:t>
            </w:r>
          </w:p>
        </w:tc>
        <w:tc>
          <w:tcPr>
            <w:tcW w:w="4260" w:type="dxa"/>
            <w:shd w:val="clear" w:color="auto" w:fill="C5DFB4"/>
          </w:tcPr>
          <w:p>
            <w:pPr>
              <w:pStyle w:val="TableParagraph"/>
              <w:rPr>
                <w:sz w:val="18"/>
              </w:rPr>
            </w:pPr>
          </w:p>
          <w:p>
            <w:pPr>
              <w:pStyle w:val="TableParagraph"/>
              <w:rPr>
                <w:sz w:val="18"/>
              </w:rPr>
            </w:pPr>
          </w:p>
          <w:p>
            <w:pPr>
              <w:pStyle w:val="TableParagraph"/>
              <w:spacing w:before="9"/>
              <w:rPr>
                <w:sz w:val="19"/>
              </w:rPr>
            </w:pPr>
          </w:p>
          <w:p>
            <w:pPr>
              <w:pStyle w:val="TableParagraph"/>
              <w:ind w:left="41" w:right="5"/>
              <w:jc w:val="center"/>
              <w:rPr>
                <w:b/>
                <w:sz w:val="16"/>
              </w:rPr>
            </w:pPr>
            <w:r>
              <w:rPr>
                <w:b/>
                <w:sz w:val="16"/>
              </w:rPr>
              <w:t>Dr Pratik Basu</w:t>
            </w:r>
          </w:p>
        </w:tc>
      </w:tr>
      <w:tr>
        <w:trPr>
          <w:trHeight w:val="930" w:hRule="atLeast"/>
        </w:trPr>
        <w:tc>
          <w:tcPr>
            <w:tcW w:w="290" w:type="dxa"/>
            <w:textDirection w:val="tbRl"/>
          </w:tcPr>
          <w:p>
            <w:pPr>
              <w:pStyle w:val="TableParagraph"/>
              <w:spacing w:before="81"/>
              <w:ind w:left="6"/>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8"/>
              <w:ind w:left="6"/>
              <w:jc w:val="center"/>
              <w:rPr>
                <w:rFonts w:ascii="Wingdings" w:hAnsi="Wingdings"/>
                <w:sz w:val="16"/>
              </w:rPr>
            </w:pPr>
            <w:r>
              <w:rPr>
                <w:rFonts w:ascii="Wingdings" w:hAnsi="Wingdings"/>
                <w:w w:val="100"/>
                <w:sz w:val="16"/>
              </w:rPr>
              <w:t></w:t>
            </w:r>
          </w:p>
        </w:tc>
        <w:tc>
          <w:tcPr>
            <w:tcW w:w="288" w:type="dxa"/>
            <w:vMerge/>
            <w:tcBorders>
              <w:top w:val="nil"/>
              <w:bottom w:val="nil"/>
            </w:tcBorders>
            <w:textDirection w:val="tbRl"/>
          </w:tcPr>
          <w:p>
            <w:pPr>
              <w:rPr>
                <w:sz w:val="2"/>
                <w:szCs w:val="2"/>
              </w:rPr>
            </w:pPr>
          </w:p>
        </w:tc>
        <w:tc>
          <w:tcPr>
            <w:tcW w:w="288" w:type="dxa"/>
            <w:textDirection w:val="tbRl"/>
          </w:tcPr>
          <w:p>
            <w:pPr>
              <w:pStyle w:val="TableParagraph"/>
              <w:spacing w:before="73"/>
              <w:ind w:left="6"/>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69"/>
              <w:ind w:left="3"/>
              <w:jc w:val="center"/>
              <w:rPr>
                <w:b/>
                <w:sz w:val="16"/>
              </w:rPr>
            </w:pPr>
            <w:r>
              <w:rPr>
                <w:b/>
                <w:w w:val="100"/>
                <w:sz w:val="16"/>
              </w:rPr>
              <w:t>x</w:t>
            </w:r>
          </w:p>
        </w:tc>
        <w:tc>
          <w:tcPr>
            <w:tcW w:w="290" w:type="dxa"/>
            <w:vMerge/>
            <w:tcBorders>
              <w:top w:val="nil"/>
              <w:bottom w:val="nil"/>
            </w:tcBorders>
            <w:textDirection w:val="tbRl"/>
          </w:tcPr>
          <w:p>
            <w:pPr>
              <w:rPr>
                <w:sz w:val="2"/>
                <w:szCs w:val="2"/>
              </w:rPr>
            </w:pPr>
          </w:p>
        </w:tc>
        <w:tc>
          <w:tcPr>
            <w:tcW w:w="290" w:type="dxa"/>
            <w:textDirection w:val="tbRl"/>
          </w:tcPr>
          <w:p>
            <w:pPr>
              <w:pStyle w:val="TableParagraph"/>
              <w:spacing w:before="68"/>
              <w:ind w:left="3"/>
              <w:jc w:val="center"/>
              <w:rPr>
                <w:b/>
                <w:sz w:val="16"/>
              </w:rPr>
            </w:pPr>
            <w:r>
              <w:rPr>
                <w:b/>
                <w:w w:val="100"/>
                <w:sz w:val="16"/>
              </w:rPr>
              <w:t>x</w:t>
            </w:r>
          </w:p>
        </w:tc>
        <w:tc>
          <w:tcPr>
            <w:tcW w:w="290" w:type="dxa"/>
            <w:textDirection w:val="tbRl"/>
          </w:tcPr>
          <w:p>
            <w:pPr>
              <w:pStyle w:val="TableParagraph"/>
              <w:spacing w:before="74"/>
              <w:ind w:left="6"/>
              <w:jc w:val="center"/>
              <w:rPr>
                <w:rFonts w:ascii="Wingdings" w:hAnsi="Wingdings"/>
                <w:sz w:val="16"/>
              </w:rPr>
            </w:pPr>
            <w:r>
              <w:rPr>
                <w:rFonts w:ascii="Wingdings" w:hAnsi="Wingdings"/>
                <w:w w:val="100"/>
                <w:sz w:val="16"/>
              </w:rPr>
              <w:t></w:t>
            </w:r>
          </w:p>
        </w:tc>
        <w:tc>
          <w:tcPr>
            <w:tcW w:w="273" w:type="dxa"/>
            <w:textDirection w:val="tbRl"/>
          </w:tcPr>
          <w:p>
            <w:pPr>
              <w:pStyle w:val="TableParagraph"/>
              <w:spacing w:before="57"/>
              <w:ind w:left="6"/>
              <w:jc w:val="center"/>
              <w:rPr>
                <w:rFonts w:ascii="Wingdings" w:hAnsi="Wingdings"/>
                <w:sz w:val="16"/>
              </w:rPr>
            </w:pPr>
            <w:r>
              <w:rPr>
                <w:rFonts w:ascii="Wingdings" w:hAnsi="Wingdings"/>
                <w:w w:val="100"/>
                <w:sz w:val="16"/>
              </w:rPr>
              <w:t></w:t>
            </w:r>
          </w:p>
        </w:tc>
        <w:tc>
          <w:tcPr>
            <w:tcW w:w="283" w:type="dxa"/>
            <w:textDirection w:val="tbRl"/>
          </w:tcPr>
          <w:p>
            <w:pPr>
              <w:pStyle w:val="TableParagraph"/>
              <w:spacing w:before="68"/>
              <w:ind w:left="6"/>
              <w:jc w:val="center"/>
              <w:rPr>
                <w:rFonts w:ascii="Wingdings" w:hAnsi="Wingdings"/>
                <w:sz w:val="16"/>
              </w:rPr>
            </w:pPr>
            <w:r>
              <w:rPr>
                <w:rFonts w:ascii="Wingdings" w:hAnsi="Wingdings"/>
                <w:w w:val="100"/>
                <w:sz w:val="16"/>
              </w:rPr>
              <w:t></w:t>
            </w:r>
          </w:p>
        </w:tc>
        <w:tc>
          <w:tcPr>
            <w:tcW w:w="281" w:type="dxa"/>
            <w:textDirection w:val="tbRl"/>
          </w:tcPr>
          <w:p>
            <w:pPr>
              <w:pStyle w:val="TableParagraph"/>
              <w:spacing w:before="53"/>
              <w:ind w:left="1"/>
              <w:jc w:val="center"/>
              <w:rPr>
                <w:rFonts w:ascii="Calibri"/>
                <w:b/>
                <w:sz w:val="16"/>
              </w:rPr>
            </w:pPr>
            <w:r>
              <w:rPr>
                <w:rFonts w:ascii="Calibri"/>
                <w:b/>
                <w:w w:val="100"/>
                <w:sz w:val="16"/>
              </w:rPr>
              <w:t>x</w:t>
            </w:r>
          </w:p>
        </w:tc>
        <w:tc>
          <w:tcPr>
            <w:tcW w:w="4260" w:type="dxa"/>
            <w:shd w:val="clear" w:color="auto" w:fill="C5DFB4"/>
          </w:tcPr>
          <w:p>
            <w:pPr>
              <w:pStyle w:val="TableParagraph"/>
              <w:rPr>
                <w:sz w:val="18"/>
              </w:rPr>
            </w:pPr>
          </w:p>
          <w:p>
            <w:pPr>
              <w:pStyle w:val="TableParagraph"/>
              <w:rPr>
                <w:sz w:val="18"/>
              </w:rPr>
            </w:pPr>
          </w:p>
          <w:p>
            <w:pPr>
              <w:pStyle w:val="TableParagraph"/>
              <w:rPr>
                <w:sz w:val="20"/>
              </w:rPr>
            </w:pPr>
          </w:p>
          <w:p>
            <w:pPr>
              <w:pStyle w:val="TableParagraph"/>
              <w:ind w:left="41" w:right="7"/>
              <w:jc w:val="center"/>
              <w:rPr>
                <w:b/>
                <w:sz w:val="16"/>
              </w:rPr>
            </w:pPr>
            <w:r>
              <w:rPr>
                <w:b/>
                <w:sz w:val="16"/>
              </w:rPr>
              <w:t>Dr Satpal Shekhawat Medical Director</w:t>
            </w:r>
          </w:p>
        </w:tc>
      </w:tr>
      <w:tr>
        <w:trPr>
          <w:trHeight w:val="928" w:hRule="atLeast"/>
        </w:trPr>
        <w:tc>
          <w:tcPr>
            <w:tcW w:w="290" w:type="dxa"/>
            <w:textDirection w:val="tbRl"/>
          </w:tcPr>
          <w:p>
            <w:pPr>
              <w:pStyle w:val="TableParagraph"/>
              <w:spacing w:before="81"/>
              <w:ind w:left="3"/>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8"/>
              <w:ind w:left="3"/>
              <w:jc w:val="center"/>
              <w:rPr>
                <w:rFonts w:ascii="Wingdings" w:hAnsi="Wingdings"/>
                <w:sz w:val="16"/>
              </w:rPr>
            </w:pPr>
            <w:r>
              <w:rPr>
                <w:rFonts w:ascii="Wingdings" w:hAnsi="Wingdings"/>
                <w:w w:val="100"/>
                <w:sz w:val="16"/>
              </w:rPr>
              <w:t></w:t>
            </w:r>
          </w:p>
        </w:tc>
        <w:tc>
          <w:tcPr>
            <w:tcW w:w="288" w:type="dxa"/>
            <w:vMerge/>
            <w:tcBorders>
              <w:top w:val="nil"/>
              <w:bottom w:val="nil"/>
            </w:tcBorders>
            <w:textDirection w:val="tbRl"/>
          </w:tcPr>
          <w:p>
            <w:pPr>
              <w:rPr>
                <w:sz w:val="2"/>
                <w:szCs w:val="2"/>
              </w:rPr>
            </w:pPr>
          </w:p>
        </w:tc>
        <w:tc>
          <w:tcPr>
            <w:tcW w:w="288" w:type="dxa"/>
            <w:textDirection w:val="tbRl"/>
          </w:tcPr>
          <w:p>
            <w:pPr>
              <w:pStyle w:val="TableParagraph"/>
              <w:spacing w:before="73"/>
              <w:ind w:left="3"/>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5"/>
              <w:ind w:left="3"/>
              <w:jc w:val="center"/>
              <w:rPr>
                <w:rFonts w:ascii="Wingdings" w:hAnsi="Wingdings"/>
                <w:sz w:val="16"/>
              </w:rPr>
            </w:pPr>
            <w:r>
              <w:rPr>
                <w:rFonts w:ascii="Wingdings" w:hAnsi="Wingdings"/>
                <w:w w:val="100"/>
                <w:sz w:val="16"/>
              </w:rPr>
              <w:t></w:t>
            </w:r>
          </w:p>
        </w:tc>
        <w:tc>
          <w:tcPr>
            <w:tcW w:w="290" w:type="dxa"/>
            <w:vMerge/>
            <w:tcBorders>
              <w:top w:val="nil"/>
              <w:bottom w:val="nil"/>
            </w:tcBorders>
            <w:textDirection w:val="tbRl"/>
          </w:tcPr>
          <w:p>
            <w:pPr>
              <w:rPr>
                <w:sz w:val="2"/>
                <w:szCs w:val="2"/>
              </w:rPr>
            </w:pPr>
          </w:p>
        </w:tc>
        <w:tc>
          <w:tcPr>
            <w:tcW w:w="290" w:type="dxa"/>
            <w:textDirection w:val="tbRl"/>
          </w:tcPr>
          <w:p>
            <w:pPr>
              <w:pStyle w:val="TableParagraph"/>
              <w:spacing w:before="77"/>
              <w:ind w:left="3"/>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4"/>
              <w:ind w:left="3"/>
              <w:jc w:val="center"/>
              <w:rPr>
                <w:rFonts w:ascii="Wingdings" w:hAnsi="Wingdings"/>
                <w:sz w:val="16"/>
              </w:rPr>
            </w:pPr>
            <w:r>
              <w:rPr>
                <w:rFonts w:ascii="Wingdings" w:hAnsi="Wingdings"/>
                <w:w w:val="100"/>
                <w:sz w:val="16"/>
              </w:rPr>
              <w:t></w:t>
            </w:r>
          </w:p>
        </w:tc>
        <w:tc>
          <w:tcPr>
            <w:tcW w:w="273" w:type="dxa"/>
            <w:textDirection w:val="tbRl"/>
          </w:tcPr>
          <w:p>
            <w:pPr>
              <w:pStyle w:val="TableParagraph"/>
              <w:spacing w:before="57"/>
              <w:ind w:left="3"/>
              <w:jc w:val="center"/>
              <w:rPr>
                <w:rFonts w:ascii="Wingdings" w:hAnsi="Wingdings"/>
                <w:sz w:val="16"/>
              </w:rPr>
            </w:pPr>
            <w:r>
              <w:rPr>
                <w:rFonts w:ascii="Wingdings" w:hAnsi="Wingdings"/>
                <w:w w:val="100"/>
                <w:sz w:val="16"/>
              </w:rPr>
              <w:t></w:t>
            </w:r>
          </w:p>
        </w:tc>
        <w:tc>
          <w:tcPr>
            <w:tcW w:w="283" w:type="dxa"/>
            <w:textDirection w:val="tbRl"/>
          </w:tcPr>
          <w:p>
            <w:pPr>
              <w:pStyle w:val="TableParagraph"/>
              <w:spacing w:before="68"/>
              <w:ind w:left="3"/>
              <w:jc w:val="center"/>
              <w:rPr>
                <w:rFonts w:ascii="Wingdings" w:hAnsi="Wingdings"/>
                <w:sz w:val="16"/>
              </w:rPr>
            </w:pPr>
            <w:r>
              <w:rPr>
                <w:rFonts w:ascii="Wingdings" w:hAnsi="Wingdings"/>
                <w:w w:val="100"/>
                <w:sz w:val="16"/>
              </w:rPr>
              <w:t></w:t>
            </w:r>
          </w:p>
        </w:tc>
        <w:tc>
          <w:tcPr>
            <w:tcW w:w="281" w:type="dxa"/>
            <w:textDirection w:val="tbRl"/>
          </w:tcPr>
          <w:p>
            <w:pPr>
              <w:pStyle w:val="TableParagraph"/>
              <w:spacing w:before="64"/>
              <w:ind w:left="3"/>
              <w:jc w:val="center"/>
              <w:rPr>
                <w:rFonts w:ascii="Wingdings" w:hAnsi="Wingdings"/>
                <w:sz w:val="16"/>
              </w:rPr>
            </w:pPr>
            <w:r>
              <w:rPr>
                <w:rFonts w:ascii="Wingdings" w:hAnsi="Wingdings"/>
                <w:w w:val="100"/>
                <w:sz w:val="16"/>
              </w:rPr>
              <w:t></w:t>
            </w:r>
          </w:p>
        </w:tc>
        <w:tc>
          <w:tcPr>
            <w:tcW w:w="4260" w:type="dxa"/>
            <w:shd w:val="clear" w:color="auto" w:fill="C5DFB4"/>
          </w:tcPr>
          <w:p>
            <w:pPr>
              <w:pStyle w:val="TableParagraph"/>
              <w:rPr>
                <w:sz w:val="18"/>
              </w:rPr>
            </w:pPr>
          </w:p>
          <w:p>
            <w:pPr>
              <w:pStyle w:val="TableParagraph"/>
              <w:spacing w:before="3"/>
              <w:rPr>
                <w:sz w:val="21"/>
              </w:rPr>
            </w:pPr>
          </w:p>
          <w:p>
            <w:pPr>
              <w:pStyle w:val="TableParagraph"/>
              <w:spacing w:line="247" w:lineRule="auto"/>
              <w:ind w:left="1675" w:right="431" w:hanging="1193"/>
              <w:rPr>
                <w:b/>
                <w:sz w:val="16"/>
              </w:rPr>
            </w:pPr>
            <w:r>
              <w:rPr>
                <w:b/>
                <w:sz w:val="16"/>
              </w:rPr>
              <w:t>Janice Keilthy Lay Member Patient &amp; Public Involvement</w:t>
            </w:r>
          </w:p>
        </w:tc>
      </w:tr>
      <w:tr>
        <w:trPr>
          <w:trHeight w:val="930" w:hRule="atLeast"/>
        </w:trPr>
        <w:tc>
          <w:tcPr>
            <w:tcW w:w="290" w:type="dxa"/>
            <w:textDirection w:val="tbRl"/>
          </w:tcPr>
          <w:p>
            <w:pPr>
              <w:pStyle w:val="TableParagraph"/>
              <w:spacing w:before="81"/>
              <w:ind w:left="6"/>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8"/>
              <w:ind w:left="6"/>
              <w:jc w:val="center"/>
              <w:rPr>
                <w:rFonts w:ascii="Wingdings" w:hAnsi="Wingdings"/>
                <w:sz w:val="16"/>
              </w:rPr>
            </w:pPr>
            <w:r>
              <w:rPr>
                <w:rFonts w:ascii="Wingdings" w:hAnsi="Wingdings"/>
                <w:w w:val="100"/>
                <w:sz w:val="16"/>
              </w:rPr>
              <w:t></w:t>
            </w:r>
          </w:p>
        </w:tc>
        <w:tc>
          <w:tcPr>
            <w:tcW w:w="288" w:type="dxa"/>
            <w:vMerge/>
            <w:tcBorders>
              <w:top w:val="nil"/>
              <w:bottom w:val="nil"/>
            </w:tcBorders>
            <w:textDirection w:val="tbRl"/>
          </w:tcPr>
          <w:p>
            <w:pPr>
              <w:rPr>
                <w:sz w:val="2"/>
                <w:szCs w:val="2"/>
              </w:rPr>
            </w:pPr>
          </w:p>
        </w:tc>
        <w:tc>
          <w:tcPr>
            <w:tcW w:w="288" w:type="dxa"/>
            <w:textDirection w:val="tbRl"/>
          </w:tcPr>
          <w:p>
            <w:pPr>
              <w:pStyle w:val="TableParagraph"/>
              <w:spacing w:before="73"/>
              <w:ind w:left="6"/>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5"/>
              <w:ind w:left="6"/>
              <w:jc w:val="center"/>
              <w:rPr>
                <w:rFonts w:ascii="Wingdings" w:hAnsi="Wingdings"/>
                <w:sz w:val="16"/>
              </w:rPr>
            </w:pPr>
            <w:r>
              <w:rPr>
                <w:rFonts w:ascii="Wingdings" w:hAnsi="Wingdings"/>
                <w:w w:val="100"/>
                <w:sz w:val="16"/>
              </w:rPr>
              <w:t></w:t>
            </w:r>
          </w:p>
        </w:tc>
        <w:tc>
          <w:tcPr>
            <w:tcW w:w="290" w:type="dxa"/>
            <w:vMerge/>
            <w:tcBorders>
              <w:top w:val="nil"/>
              <w:bottom w:val="nil"/>
            </w:tcBorders>
            <w:textDirection w:val="tbRl"/>
          </w:tcPr>
          <w:p>
            <w:pPr>
              <w:rPr>
                <w:sz w:val="2"/>
                <w:szCs w:val="2"/>
              </w:rPr>
            </w:pPr>
          </w:p>
        </w:tc>
        <w:tc>
          <w:tcPr>
            <w:tcW w:w="290" w:type="dxa"/>
            <w:textDirection w:val="tbRl"/>
          </w:tcPr>
          <w:p>
            <w:pPr>
              <w:pStyle w:val="TableParagraph"/>
              <w:spacing w:before="77"/>
              <w:ind w:left="6"/>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4"/>
              <w:ind w:left="6"/>
              <w:jc w:val="center"/>
              <w:rPr>
                <w:rFonts w:ascii="Wingdings" w:hAnsi="Wingdings"/>
                <w:sz w:val="16"/>
              </w:rPr>
            </w:pPr>
            <w:r>
              <w:rPr>
                <w:rFonts w:ascii="Wingdings" w:hAnsi="Wingdings"/>
                <w:w w:val="100"/>
                <w:sz w:val="16"/>
              </w:rPr>
              <w:t></w:t>
            </w:r>
          </w:p>
        </w:tc>
        <w:tc>
          <w:tcPr>
            <w:tcW w:w="273" w:type="dxa"/>
            <w:textDirection w:val="tbRl"/>
          </w:tcPr>
          <w:p>
            <w:pPr>
              <w:pStyle w:val="TableParagraph"/>
              <w:spacing w:before="46"/>
              <w:jc w:val="center"/>
              <w:rPr>
                <w:rFonts w:ascii="Calibri"/>
                <w:b/>
                <w:sz w:val="16"/>
              </w:rPr>
            </w:pPr>
            <w:r>
              <w:rPr>
                <w:rFonts w:ascii="Calibri"/>
                <w:b/>
                <w:w w:val="100"/>
                <w:sz w:val="16"/>
              </w:rPr>
              <w:t>x</w:t>
            </w:r>
          </w:p>
        </w:tc>
        <w:tc>
          <w:tcPr>
            <w:tcW w:w="283" w:type="dxa"/>
            <w:textDirection w:val="tbRl"/>
          </w:tcPr>
          <w:p>
            <w:pPr>
              <w:pStyle w:val="TableParagraph"/>
              <w:spacing w:before="68"/>
              <w:ind w:left="6"/>
              <w:jc w:val="center"/>
              <w:rPr>
                <w:rFonts w:ascii="Wingdings" w:hAnsi="Wingdings"/>
                <w:sz w:val="16"/>
              </w:rPr>
            </w:pPr>
            <w:r>
              <w:rPr>
                <w:rFonts w:ascii="Wingdings" w:hAnsi="Wingdings"/>
                <w:w w:val="100"/>
                <w:sz w:val="16"/>
              </w:rPr>
              <w:t></w:t>
            </w:r>
          </w:p>
        </w:tc>
        <w:tc>
          <w:tcPr>
            <w:tcW w:w="281" w:type="dxa"/>
            <w:textDirection w:val="tbRl"/>
          </w:tcPr>
          <w:p>
            <w:pPr>
              <w:pStyle w:val="TableParagraph"/>
              <w:spacing w:before="64"/>
              <w:ind w:left="6"/>
              <w:jc w:val="center"/>
              <w:rPr>
                <w:rFonts w:ascii="Wingdings" w:hAnsi="Wingdings"/>
                <w:sz w:val="16"/>
              </w:rPr>
            </w:pPr>
            <w:r>
              <w:rPr>
                <w:rFonts w:ascii="Wingdings" w:hAnsi="Wingdings"/>
                <w:w w:val="100"/>
                <w:sz w:val="16"/>
              </w:rPr>
              <w:t></w:t>
            </w:r>
          </w:p>
        </w:tc>
        <w:tc>
          <w:tcPr>
            <w:tcW w:w="4260" w:type="dxa"/>
            <w:shd w:val="clear" w:color="auto" w:fill="C5DFB4"/>
          </w:tcPr>
          <w:p>
            <w:pPr>
              <w:pStyle w:val="TableParagraph"/>
              <w:rPr>
                <w:sz w:val="18"/>
              </w:rPr>
            </w:pPr>
          </w:p>
          <w:p>
            <w:pPr>
              <w:pStyle w:val="TableParagraph"/>
              <w:rPr>
                <w:sz w:val="18"/>
              </w:rPr>
            </w:pPr>
          </w:p>
          <w:p>
            <w:pPr>
              <w:pStyle w:val="TableParagraph"/>
              <w:spacing w:before="9"/>
              <w:rPr>
                <w:sz w:val="19"/>
              </w:rPr>
            </w:pPr>
          </w:p>
          <w:p>
            <w:pPr>
              <w:pStyle w:val="TableParagraph"/>
              <w:ind w:left="41" w:right="4"/>
              <w:jc w:val="center"/>
              <w:rPr>
                <w:b/>
                <w:sz w:val="16"/>
              </w:rPr>
            </w:pPr>
            <w:r>
              <w:rPr>
                <w:b/>
                <w:sz w:val="16"/>
              </w:rPr>
              <w:t>Heather McSharry Lay Member Equality &amp; Diversity</w:t>
            </w:r>
          </w:p>
        </w:tc>
      </w:tr>
      <w:tr>
        <w:trPr>
          <w:trHeight w:val="928" w:hRule="atLeast"/>
        </w:trPr>
        <w:tc>
          <w:tcPr>
            <w:tcW w:w="290" w:type="dxa"/>
            <w:textDirection w:val="tbRl"/>
          </w:tcPr>
          <w:p>
            <w:pPr>
              <w:pStyle w:val="TableParagraph"/>
              <w:spacing w:before="81"/>
              <w:ind w:left="3"/>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8"/>
              <w:ind w:left="3"/>
              <w:jc w:val="center"/>
              <w:rPr>
                <w:rFonts w:ascii="Wingdings" w:hAnsi="Wingdings"/>
                <w:sz w:val="16"/>
              </w:rPr>
            </w:pPr>
            <w:r>
              <w:rPr>
                <w:rFonts w:ascii="Wingdings" w:hAnsi="Wingdings"/>
                <w:w w:val="100"/>
                <w:sz w:val="16"/>
              </w:rPr>
              <w:t></w:t>
            </w:r>
          </w:p>
        </w:tc>
        <w:tc>
          <w:tcPr>
            <w:tcW w:w="288" w:type="dxa"/>
            <w:vMerge/>
            <w:tcBorders>
              <w:top w:val="nil"/>
              <w:bottom w:val="nil"/>
            </w:tcBorders>
            <w:textDirection w:val="tbRl"/>
          </w:tcPr>
          <w:p>
            <w:pPr>
              <w:rPr>
                <w:sz w:val="2"/>
                <w:szCs w:val="2"/>
              </w:rPr>
            </w:pPr>
          </w:p>
        </w:tc>
        <w:tc>
          <w:tcPr>
            <w:tcW w:w="288" w:type="dxa"/>
            <w:textDirection w:val="tbRl"/>
          </w:tcPr>
          <w:p>
            <w:pPr>
              <w:pStyle w:val="TableParagraph"/>
              <w:spacing w:before="73"/>
              <w:ind w:left="3"/>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5"/>
              <w:ind w:left="3"/>
              <w:jc w:val="center"/>
              <w:rPr>
                <w:rFonts w:ascii="Wingdings" w:hAnsi="Wingdings"/>
                <w:sz w:val="16"/>
              </w:rPr>
            </w:pPr>
            <w:r>
              <w:rPr>
                <w:rFonts w:ascii="Wingdings" w:hAnsi="Wingdings"/>
                <w:w w:val="100"/>
                <w:sz w:val="16"/>
              </w:rPr>
              <w:t></w:t>
            </w:r>
          </w:p>
        </w:tc>
        <w:tc>
          <w:tcPr>
            <w:tcW w:w="290" w:type="dxa"/>
            <w:vMerge/>
            <w:tcBorders>
              <w:top w:val="nil"/>
              <w:bottom w:val="nil"/>
            </w:tcBorders>
            <w:textDirection w:val="tbRl"/>
          </w:tcPr>
          <w:p>
            <w:pPr>
              <w:rPr>
                <w:sz w:val="2"/>
                <w:szCs w:val="2"/>
              </w:rPr>
            </w:pPr>
          </w:p>
        </w:tc>
        <w:tc>
          <w:tcPr>
            <w:tcW w:w="290" w:type="dxa"/>
            <w:textDirection w:val="tbRl"/>
          </w:tcPr>
          <w:p>
            <w:pPr>
              <w:pStyle w:val="TableParagraph"/>
              <w:spacing w:before="68"/>
              <w:ind w:left="4"/>
              <w:jc w:val="center"/>
              <w:rPr>
                <w:b/>
                <w:sz w:val="16"/>
              </w:rPr>
            </w:pPr>
            <w:r>
              <w:rPr>
                <w:b/>
                <w:w w:val="100"/>
                <w:sz w:val="16"/>
              </w:rPr>
              <w:t>X</w:t>
            </w:r>
          </w:p>
        </w:tc>
        <w:tc>
          <w:tcPr>
            <w:tcW w:w="290" w:type="dxa"/>
            <w:textDirection w:val="tbRl"/>
          </w:tcPr>
          <w:p>
            <w:pPr>
              <w:pStyle w:val="TableParagraph"/>
              <w:spacing w:before="74"/>
              <w:ind w:left="3"/>
              <w:jc w:val="center"/>
              <w:rPr>
                <w:rFonts w:ascii="Wingdings" w:hAnsi="Wingdings"/>
                <w:sz w:val="16"/>
              </w:rPr>
            </w:pPr>
            <w:r>
              <w:rPr>
                <w:rFonts w:ascii="Wingdings" w:hAnsi="Wingdings"/>
                <w:w w:val="100"/>
                <w:sz w:val="16"/>
              </w:rPr>
              <w:t></w:t>
            </w:r>
          </w:p>
        </w:tc>
        <w:tc>
          <w:tcPr>
            <w:tcW w:w="273" w:type="dxa"/>
            <w:textDirection w:val="tbRl"/>
          </w:tcPr>
          <w:p>
            <w:pPr>
              <w:pStyle w:val="TableParagraph"/>
              <w:spacing w:before="57"/>
              <w:ind w:left="3"/>
              <w:jc w:val="center"/>
              <w:rPr>
                <w:rFonts w:ascii="Wingdings" w:hAnsi="Wingdings"/>
                <w:sz w:val="16"/>
              </w:rPr>
            </w:pPr>
            <w:r>
              <w:rPr>
                <w:rFonts w:ascii="Wingdings" w:hAnsi="Wingdings"/>
                <w:w w:val="100"/>
                <w:sz w:val="16"/>
              </w:rPr>
              <w:t></w:t>
            </w:r>
          </w:p>
        </w:tc>
        <w:tc>
          <w:tcPr>
            <w:tcW w:w="283" w:type="dxa"/>
            <w:textDirection w:val="tbRl"/>
          </w:tcPr>
          <w:p>
            <w:pPr>
              <w:pStyle w:val="TableParagraph"/>
              <w:spacing w:before="62"/>
              <w:jc w:val="center"/>
              <w:rPr>
                <w:b/>
                <w:sz w:val="16"/>
              </w:rPr>
            </w:pPr>
            <w:r>
              <w:rPr>
                <w:b/>
                <w:w w:val="100"/>
                <w:sz w:val="16"/>
              </w:rPr>
              <w:t>x</w:t>
            </w:r>
          </w:p>
        </w:tc>
        <w:tc>
          <w:tcPr>
            <w:tcW w:w="281" w:type="dxa"/>
            <w:textDirection w:val="tbRl"/>
          </w:tcPr>
          <w:p>
            <w:pPr>
              <w:pStyle w:val="TableParagraph"/>
              <w:spacing w:before="64"/>
              <w:ind w:left="3"/>
              <w:jc w:val="center"/>
              <w:rPr>
                <w:rFonts w:ascii="Wingdings" w:hAnsi="Wingdings"/>
                <w:sz w:val="16"/>
              </w:rPr>
            </w:pPr>
            <w:r>
              <w:rPr>
                <w:rFonts w:ascii="Wingdings" w:hAnsi="Wingdings"/>
                <w:w w:val="100"/>
                <w:sz w:val="16"/>
              </w:rPr>
              <w:t></w:t>
            </w:r>
          </w:p>
        </w:tc>
        <w:tc>
          <w:tcPr>
            <w:tcW w:w="4260" w:type="dxa"/>
            <w:shd w:val="clear" w:color="auto" w:fill="C5DFB4"/>
          </w:tcPr>
          <w:p>
            <w:pPr>
              <w:pStyle w:val="TableParagraph"/>
              <w:rPr>
                <w:sz w:val="18"/>
              </w:rPr>
            </w:pPr>
          </w:p>
          <w:p>
            <w:pPr>
              <w:pStyle w:val="TableParagraph"/>
              <w:rPr>
                <w:sz w:val="18"/>
              </w:rPr>
            </w:pPr>
          </w:p>
          <w:p>
            <w:pPr>
              <w:pStyle w:val="TableParagraph"/>
              <w:spacing w:before="9"/>
              <w:rPr>
                <w:sz w:val="19"/>
              </w:rPr>
            </w:pPr>
          </w:p>
          <w:p>
            <w:pPr>
              <w:pStyle w:val="TableParagraph"/>
              <w:ind w:left="41" w:right="7"/>
              <w:jc w:val="center"/>
              <w:rPr>
                <w:b/>
                <w:sz w:val="16"/>
              </w:rPr>
            </w:pPr>
            <w:r>
              <w:rPr>
                <w:b/>
                <w:sz w:val="16"/>
              </w:rPr>
              <w:t>Jane Ellerton Head of Commissioning</w:t>
            </w:r>
          </w:p>
        </w:tc>
      </w:tr>
      <w:tr>
        <w:trPr>
          <w:trHeight w:val="928" w:hRule="atLeast"/>
        </w:trPr>
        <w:tc>
          <w:tcPr>
            <w:tcW w:w="290" w:type="dxa"/>
            <w:textDirection w:val="tbRl"/>
          </w:tcPr>
          <w:p>
            <w:pPr>
              <w:pStyle w:val="TableParagraph"/>
              <w:spacing w:before="81"/>
              <w:ind w:left="3"/>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2"/>
              <w:jc w:val="center"/>
              <w:rPr>
                <w:b/>
                <w:sz w:val="16"/>
              </w:rPr>
            </w:pPr>
            <w:r>
              <w:rPr>
                <w:b/>
                <w:w w:val="100"/>
                <w:sz w:val="16"/>
              </w:rPr>
              <w:t>x</w:t>
            </w:r>
          </w:p>
        </w:tc>
        <w:tc>
          <w:tcPr>
            <w:tcW w:w="288" w:type="dxa"/>
            <w:vMerge/>
            <w:tcBorders>
              <w:top w:val="nil"/>
              <w:bottom w:val="nil"/>
            </w:tcBorders>
            <w:textDirection w:val="tbRl"/>
          </w:tcPr>
          <w:p>
            <w:pPr>
              <w:rPr>
                <w:sz w:val="2"/>
                <w:szCs w:val="2"/>
              </w:rPr>
            </w:pPr>
          </w:p>
        </w:tc>
        <w:tc>
          <w:tcPr>
            <w:tcW w:w="288" w:type="dxa"/>
            <w:textDirection w:val="tbRl"/>
          </w:tcPr>
          <w:p>
            <w:pPr>
              <w:pStyle w:val="TableParagraph"/>
              <w:spacing w:before="73"/>
              <w:ind w:left="8"/>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5"/>
              <w:ind w:left="8"/>
              <w:jc w:val="center"/>
              <w:rPr>
                <w:rFonts w:ascii="Wingdings" w:hAnsi="Wingdings"/>
                <w:sz w:val="16"/>
              </w:rPr>
            </w:pPr>
            <w:r>
              <w:rPr>
                <w:rFonts w:ascii="Wingdings" w:hAnsi="Wingdings"/>
                <w:w w:val="100"/>
                <w:sz w:val="16"/>
              </w:rPr>
              <w:t></w:t>
            </w:r>
          </w:p>
        </w:tc>
        <w:tc>
          <w:tcPr>
            <w:tcW w:w="290" w:type="dxa"/>
            <w:vMerge/>
            <w:tcBorders>
              <w:top w:val="nil"/>
              <w:bottom w:val="nil"/>
            </w:tcBorders>
            <w:textDirection w:val="tbRl"/>
          </w:tcPr>
          <w:p>
            <w:pPr>
              <w:rPr>
                <w:sz w:val="2"/>
                <w:szCs w:val="2"/>
              </w:rPr>
            </w:pPr>
          </w:p>
        </w:tc>
        <w:tc>
          <w:tcPr>
            <w:tcW w:w="290" w:type="dxa"/>
            <w:textDirection w:val="tbRl"/>
          </w:tcPr>
          <w:p>
            <w:pPr>
              <w:pStyle w:val="TableParagraph"/>
              <w:spacing w:before="77"/>
              <w:ind w:left="6"/>
              <w:jc w:val="center"/>
              <w:rPr>
                <w:rFonts w:ascii="Wingdings" w:hAnsi="Wingdings"/>
                <w:sz w:val="16"/>
              </w:rPr>
            </w:pPr>
            <w:r>
              <w:rPr>
                <w:rFonts w:ascii="Wingdings" w:hAnsi="Wingdings"/>
                <w:w w:val="100"/>
                <w:sz w:val="16"/>
              </w:rPr>
              <w:t></w:t>
            </w:r>
          </w:p>
        </w:tc>
        <w:tc>
          <w:tcPr>
            <w:tcW w:w="290" w:type="dxa"/>
            <w:textDirection w:val="tbRl"/>
          </w:tcPr>
          <w:p>
            <w:pPr>
              <w:pStyle w:val="TableParagraph"/>
              <w:spacing w:before="74"/>
              <w:ind w:left="6"/>
              <w:jc w:val="center"/>
              <w:rPr>
                <w:rFonts w:ascii="Wingdings" w:hAnsi="Wingdings"/>
                <w:sz w:val="16"/>
              </w:rPr>
            </w:pPr>
            <w:r>
              <w:rPr>
                <w:rFonts w:ascii="Wingdings" w:hAnsi="Wingdings"/>
                <w:w w:val="100"/>
                <w:sz w:val="16"/>
              </w:rPr>
              <w:t></w:t>
            </w:r>
          </w:p>
        </w:tc>
        <w:tc>
          <w:tcPr>
            <w:tcW w:w="273" w:type="dxa"/>
            <w:textDirection w:val="tbRl"/>
          </w:tcPr>
          <w:p>
            <w:pPr>
              <w:pStyle w:val="TableParagraph"/>
              <w:spacing w:before="57"/>
              <w:ind w:left="6"/>
              <w:jc w:val="center"/>
              <w:rPr>
                <w:rFonts w:ascii="Wingdings" w:hAnsi="Wingdings"/>
                <w:sz w:val="16"/>
              </w:rPr>
            </w:pPr>
            <w:r>
              <w:rPr>
                <w:rFonts w:ascii="Wingdings" w:hAnsi="Wingdings"/>
                <w:w w:val="100"/>
                <w:sz w:val="16"/>
              </w:rPr>
              <w:t></w:t>
            </w:r>
          </w:p>
        </w:tc>
        <w:tc>
          <w:tcPr>
            <w:tcW w:w="283" w:type="dxa"/>
            <w:textDirection w:val="tbRl"/>
          </w:tcPr>
          <w:p>
            <w:pPr>
              <w:pStyle w:val="TableParagraph"/>
              <w:spacing w:before="62"/>
              <w:ind w:left="3"/>
              <w:jc w:val="center"/>
              <w:rPr>
                <w:b/>
                <w:sz w:val="16"/>
              </w:rPr>
            </w:pPr>
            <w:r>
              <w:rPr>
                <w:b/>
                <w:w w:val="100"/>
                <w:sz w:val="16"/>
              </w:rPr>
              <w:t>x</w:t>
            </w:r>
          </w:p>
        </w:tc>
        <w:tc>
          <w:tcPr>
            <w:tcW w:w="281" w:type="dxa"/>
            <w:textDirection w:val="tbRl"/>
          </w:tcPr>
          <w:p>
            <w:pPr>
              <w:pStyle w:val="TableParagraph"/>
              <w:spacing w:before="64"/>
              <w:ind w:left="6"/>
              <w:jc w:val="center"/>
              <w:rPr>
                <w:rFonts w:ascii="Wingdings" w:hAnsi="Wingdings"/>
                <w:sz w:val="16"/>
              </w:rPr>
            </w:pPr>
            <w:r>
              <w:rPr>
                <w:rFonts w:ascii="Wingdings" w:hAnsi="Wingdings"/>
                <w:w w:val="100"/>
                <w:sz w:val="16"/>
              </w:rPr>
              <w:t></w:t>
            </w:r>
          </w:p>
        </w:tc>
        <w:tc>
          <w:tcPr>
            <w:tcW w:w="4260" w:type="dxa"/>
            <w:tcBorders>
              <w:bottom w:val="nil"/>
            </w:tcBorders>
            <w:shd w:val="clear" w:color="auto" w:fill="C5DFB4"/>
          </w:tcPr>
          <w:p>
            <w:pPr>
              <w:pStyle w:val="TableParagraph"/>
              <w:rPr>
                <w:sz w:val="18"/>
              </w:rPr>
            </w:pPr>
          </w:p>
          <w:p>
            <w:pPr>
              <w:pStyle w:val="TableParagraph"/>
              <w:rPr>
                <w:sz w:val="18"/>
              </w:rPr>
            </w:pPr>
          </w:p>
          <w:p>
            <w:pPr>
              <w:pStyle w:val="TableParagraph"/>
              <w:spacing w:before="9"/>
              <w:rPr>
                <w:sz w:val="19"/>
              </w:rPr>
            </w:pPr>
          </w:p>
          <w:p>
            <w:pPr>
              <w:pStyle w:val="TableParagraph"/>
              <w:ind w:left="41" w:right="7"/>
              <w:jc w:val="center"/>
              <w:rPr>
                <w:b/>
                <w:sz w:val="16"/>
              </w:rPr>
            </w:pPr>
            <w:r>
              <w:rPr>
                <w:b/>
                <w:sz w:val="16"/>
              </w:rPr>
              <w:t>Erica Ellerington Head of Primary Care Transformation</w:t>
            </w:r>
          </w:p>
        </w:tc>
      </w:tr>
    </w:tbl>
    <w:p>
      <w:pPr>
        <w:rPr>
          <w:sz w:val="2"/>
          <w:szCs w:val="2"/>
        </w:rPr>
      </w:pPr>
      <w:r>
        <w:rPr/>
        <w:pict>
          <v:shape style="position:absolute;margin-left:508.1362pt;margin-top:53.959976pt;width:11pt;height:236.85pt;mso-position-horizontal-relative:page;mso-position-vertical-relative:page;z-index:251672576" type="#_x0000_t202" filled="false" stroked="false">
            <v:textbox inset="0,0,0,0" style="layout-flow:vertical">
              <w:txbxContent>
                <w:p>
                  <w:pPr>
                    <w:spacing w:before="15"/>
                    <w:ind w:left="20" w:right="0" w:firstLine="0"/>
                    <w:jc w:val="left"/>
                    <w:rPr>
                      <w:b/>
                      <w:sz w:val="16"/>
                    </w:rPr>
                  </w:pPr>
                  <w:r>
                    <w:rPr>
                      <w:b/>
                      <w:sz w:val="16"/>
                      <w:u w:val="single"/>
                    </w:rPr>
                    <w:t>Planning &amp; Commissioning Committee wef 01.04.21 - 31.03.22</w:t>
                  </w:r>
                </w:p>
              </w:txbxContent>
            </v:textbox>
            <w10:wrap type="none"/>
          </v:shape>
        </w:pict>
      </w:r>
      <w:r>
        <w:rPr/>
        <w:pict>
          <v:shape style="position:absolute;margin-left:94.136208pt;margin-top:53.959976pt;width:11pt;height:296pt;mso-position-horizontal-relative:page;mso-position-vertical-relative:page;z-index:251673600" type="#_x0000_t202" filled="false" stroked="false">
            <v:textbox inset="0,0,0,0" style="layout-flow:vertical">
              <w:txbxContent>
                <w:p>
                  <w:pPr>
                    <w:spacing w:before="15"/>
                    <w:ind w:left="20" w:right="0" w:firstLine="0"/>
                    <w:jc w:val="left"/>
                    <w:rPr>
                      <w:b/>
                      <w:sz w:val="16"/>
                    </w:rPr>
                  </w:pPr>
                  <w:r>
                    <w:rPr>
                      <w:b/>
                      <w:sz w:val="16"/>
                    </w:rPr>
                    <w:t>18.11.21 Rachel Stanton, Deputy Director of Nursing represented Helen Davis</w:t>
                  </w:r>
                </w:p>
              </w:txbxContent>
            </v:textbox>
            <w10:wrap type="none"/>
          </v:shape>
        </w:pict>
      </w:r>
      <w:r>
        <w:rPr/>
        <w:pict>
          <v:shape style="position:absolute;margin-left:61.136211pt;margin-top:53.959976pt;width:20.350pt;height:272.4pt;mso-position-horizontal-relative:page;mso-position-vertical-relative:page;z-index:251674624" type="#_x0000_t202" filled="false" stroked="false">
            <v:textbox inset="0,0,0,0" style="layout-flow:vertical">
              <w:txbxContent>
                <w:p>
                  <w:pPr>
                    <w:spacing w:line="244" w:lineRule="auto" w:before="15"/>
                    <w:ind w:left="20" w:right="2" w:firstLine="0"/>
                    <w:jc w:val="left"/>
                    <w:rPr>
                      <w:b/>
                      <w:sz w:val="16"/>
                    </w:rPr>
                  </w:pPr>
                  <w:r>
                    <w:rPr>
                      <w:b/>
                      <w:sz w:val="16"/>
                    </w:rPr>
                    <w:t>20.01.22 Rachel Stanton, Deputy Director of Nursing represented Helen Davis</w:t>
                  </w:r>
                </w:p>
              </w:txbxContent>
            </v:textbox>
            <w10:wrap type="none"/>
          </v:shape>
        </w:pict>
      </w:r>
      <w:r>
        <w:rPr/>
        <w:pict>
          <v:shape style="position:absolute;margin-left:20.852774pt;margin-top:392.599976pt;width:12.1pt;height:35.6pt;mso-position-horizontal-relative:page;mso-position-vertical-relative:page;z-index:251675648" type="#_x0000_t202" filled="false" stroked="false">
            <v:textbox inset="0,0,0,0" style="layout-flow:vertical">
              <w:txbxContent>
                <w:p>
                  <w:pPr>
                    <w:spacing w:before="14"/>
                    <w:ind w:left="20" w:right="0" w:firstLine="0"/>
                    <w:jc w:val="left"/>
                    <w:rPr>
                      <w:sz w:val="18"/>
                    </w:rPr>
                  </w:pPr>
                  <w:r>
                    <w:rPr>
                      <w:sz w:val="18"/>
                    </w:rPr>
                    <w:t>Page 85</w:t>
                  </w:r>
                </w:p>
              </w:txbxContent>
            </v:textbox>
            <w10:wrap type="none"/>
          </v:shape>
        </w:pict>
      </w:r>
    </w:p>
    <w:p>
      <w:pPr>
        <w:spacing w:after="0"/>
        <w:rPr>
          <w:sz w:val="2"/>
          <w:szCs w:val="2"/>
        </w:rPr>
        <w:sectPr>
          <w:footerReference w:type="default" r:id="rId34"/>
          <w:pgSz w:w="11920" w:h="16850"/>
          <w:pgMar w:footer="0" w:header="0" w:top="960" w:bottom="280" w:left="960" w:right="1680"/>
        </w:sectPr>
      </w:pPr>
    </w:p>
    <w:p>
      <w:pPr>
        <w:pStyle w:val="BodyText"/>
        <w:rPr>
          <w:sz w:val="20"/>
        </w:rPr>
      </w:pPr>
      <w:r>
        <w:rPr/>
        <w:pict>
          <v:shape style="position:absolute;margin-left:755.300476pt;margin-top:27.559998pt;width:14.35pt;height:345.1pt;mso-position-horizontal-relative:page;mso-position-vertical-relative:page;z-index:251676672" type="#_x0000_t202" filled="false" stroked="false">
            <v:textbox inset="0,0,0,0" style="layout-flow:vertical">
              <w:txbxContent>
                <w:p>
                  <w:pPr>
                    <w:spacing w:before="13"/>
                    <w:ind w:left="20" w:right="0" w:firstLine="0"/>
                    <w:jc w:val="left"/>
                    <w:rPr>
                      <w:b/>
                      <w:sz w:val="22"/>
                    </w:rPr>
                  </w:pPr>
                  <w:r>
                    <w:rPr>
                      <w:b/>
                      <w:sz w:val="22"/>
                      <w:u w:val="thick"/>
                    </w:rPr>
                    <w:t>Quality Performance &amp; Finance Committee wef 01.04.21 - 31.03.22</w:t>
                  </w:r>
                </w:p>
              </w:txbxContent>
            </v:textbox>
            <w10:wrap type="none"/>
          </v:shape>
        </w:pict>
      </w:r>
      <w:r>
        <w:rPr/>
        <w:pict>
          <v:shape style="position:absolute;margin-left:449.420471pt;margin-top:27.559998pt;width:14.35pt;height:307.2pt;mso-position-horizontal-relative:page;mso-position-vertical-relative:page;z-index:251677696" type="#_x0000_t202" filled="false" stroked="false">
            <v:textbox inset="0,0,0,0" style="layout-flow:vertical">
              <w:txbxContent>
                <w:p>
                  <w:pPr>
                    <w:spacing w:before="13"/>
                    <w:ind w:left="20" w:right="0" w:firstLine="0"/>
                    <w:jc w:val="left"/>
                    <w:rPr>
                      <w:b/>
                      <w:sz w:val="22"/>
                    </w:rPr>
                  </w:pPr>
                  <w:r>
                    <w:rPr>
                      <w:b/>
                      <w:sz w:val="22"/>
                    </w:rPr>
                    <w:t>06.05.21 meeting - Helen Davis represented Dr Shekhawat.</w:t>
                  </w:r>
                </w:p>
              </w:txbxContent>
            </v:textbox>
            <w10:wrap type="none"/>
          </v:shape>
        </w:pict>
      </w:r>
      <w:r>
        <w:rPr/>
        <w:pict>
          <v:shape style="position:absolute;margin-left:424.100464pt;margin-top:27.559998pt;width:14.35pt;height:296.05pt;mso-position-horizontal-relative:page;mso-position-vertical-relative:page;z-index:251678720" type="#_x0000_t202" filled="false" stroked="false">
            <v:textbox inset="0,0,0,0" style="layout-flow:vertical">
              <w:txbxContent>
                <w:p>
                  <w:pPr>
                    <w:spacing w:before="13"/>
                    <w:ind w:left="20" w:right="0" w:firstLine="0"/>
                    <w:jc w:val="left"/>
                    <w:rPr>
                      <w:b/>
                      <w:sz w:val="22"/>
                    </w:rPr>
                  </w:pPr>
                  <w:r>
                    <w:rPr>
                      <w:b/>
                      <w:sz w:val="22"/>
                    </w:rPr>
                    <w:t>06.05.21 meeting - Jane Ellerton represented Alex Seale.</w:t>
                  </w:r>
                </w:p>
              </w:txbxContent>
            </v:textbox>
            <w10:wrap type="none"/>
          </v:shape>
        </w:pict>
      </w:r>
      <w:r>
        <w:rPr/>
        <w:pict>
          <v:shape style="position:absolute;margin-left:20.852774pt;margin-top:287.600006pt;width:12.1pt;height:35.6pt;mso-position-horizontal-relative:page;mso-position-vertical-relative:page;z-index:251679744" type="#_x0000_t202" filled="false" stroked="false">
            <v:textbox inset="0,0,0,0" style="layout-flow:vertical">
              <w:txbxContent>
                <w:p>
                  <w:pPr>
                    <w:spacing w:before="14"/>
                    <w:ind w:left="20" w:right="0" w:firstLine="0"/>
                    <w:jc w:val="left"/>
                    <w:rPr>
                      <w:sz w:val="18"/>
                    </w:rPr>
                  </w:pPr>
                  <w:r>
                    <w:rPr>
                      <w:sz w:val="18"/>
                    </w:rPr>
                    <w:t>Page 86</w:t>
                  </w:r>
                </w:p>
              </w:txbxContent>
            </v:textbox>
            <w10:wrap type="none"/>
          </v:shape>
        </w:pict>
      </w:r>
    </w:p>
    <w:p>
      <w:pPr>
        <w:pStyle w:val="BodyText"/>
        <w:spacing w:before="9"/>
        <w:rPr>
          <w:sz w:val="17"/>
        </w:rPr>
      </w:pPr>
    </w:p>
    <w:tbl>
      <w:tblPr>
        <w:tblW w:w="0" w:type="auto"/>
        <w:jc w:val="left"/>
        <w:tblInd w:w="9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9"/>
        <w:gridCol w:w="319"/>
        <w:gridCol w:w="319"/>
        <w:gridCol w:w="319"/>
        <w:gridCol w:w="319"/>
        <w:gridCol w:w="321"/>
        <w:gridCol w:w="3333"/>
      </w:tblGrid>
      <w:tr>
        <w:trPr>
          <w:trHeight w:val="1806" w:hRule="atLeast"/>
        </w:trPr>
        <w:tc>
          <w:tcPr>
            <w:tcW w:w="319" w:type="dxa"/>
            <w:textDirection w:val="tbRl"/>
          </w:tcPr>
          <w:p>
            <w:pPr>
              <w:pStyle w:val="TableParagraph"/>
              <w:spacing w:before="14"/>
              <w:ind w:left="97"/>
              <w:rPr>
                <w:b/>
                <w:sz w:val="22"/>
              </w:rPr>
            </w:pPr>
            <w:r>
              <w:rPr>
                <w:b/>
                <w:sz w:val="22"/>
              </w:rPr>
              <w:t>03.03.2022</w:t>
            </w:r>
          </w:p>
        </w:tc>
        <w:tc>
          <w:tcPr>
            <w:tcW w:w="319" w:type="dxa"/>
            <w:textDirection w:val="tbRl"/>
          </w:tcPr>
          <w:p>
            <w:pPr>
              <w:pStyle w:val="TableParagraph"/>
              <w:spacing w:before="13"/>
              <w:ind w:left="97"/>
              <w:rPr>
                <w:b/>
                <w:sz w:val="22"/>
              </w:rPr>
            </w:pPr>
            <w:r>
              <w:rPr>
                <w:b/>
                <w:sz w:val="22"/>
              </w:rPr>
              <w:t>06.01.2022</w:t>
            </w:r>
          </w:p>
        </w:tc>
        <w:tc>
          <w:tcPr>
            <w:tcW w:w="319" w:type="dxa"/>
            <w:textDirection w:val="tbRl"/>
          </w:tcPr>
          <w:p>
            <w:pPr>
              <w:pStyle w:val="TableParagraph"/>
              <w:spacing w:before="16"/>
              <w:ind w:left="97"/>
              <w:rPr>
                <w:b/>
                <w:sz w:val="22"/>
              </w:rPr>
            </w:pPr>
            <w:r>
              <w:rPr>
                <w:b/>
                <w:sz w:val="22"/>
              </w:rPr>
              <w:t>04.11.2021</w:t>
            </w:r>
          </w:p>
        </w:tc>
        <w:tc>
          <w:tcPr>
            <w:tcW w:w="319" w:type="dxa"/>
            <w:textDirection w:val="tbRl"/>
          </w:tcPr>
          <w:p>
            <w:pPr>
              <w:pStyle w:val="TableParagraph"/>
              <w:spacing w:before="11"/>
              <w:ind w:left="97"/>
              <w:rPr>
                <w:b/>
                <w:sz w:val="22"/>
              </w:rPr>
            </w:pPr>
            <w:r>
              <w:rPr>
                <w:b/>
                <w:sz w:val="22"/>
              </w:rPr>
              <w:t>02.09.2021</w:t>
            </w:r>
          </w:p>
        </w:tc>
        <w:tc>
          <w:tcPr>
            <w:tcW w:w="319" w:type="dxa"/>
            <w:textDirection w:val="tbRl"/>
          </w:tcPr>
          <w:p>
            <w:pPr>
              <w:pStyle w:val="TableParagraph"/>
              <w:spacing w:before="10"/>
              <w:ind w:left="97"/>
              <w:rPr>
                <w:b/>
                <w:sz w:val="22"/>
              </w:rPr>
            </w:pPr>
            <w:r>
              <w:rPr>
                <w:b/>
                <w:sz w:val="22"/>
              </w:rPr>
              <w:t>01.07.2021</w:t>
            </w:r>
          </w:p>
        </w:tc>
        <w:tc>
          <w:tcPr>
            <w:tcW w:w="321" w:type="dxa"/>
            <w:textDirection w:val="tbRl"/>
          </w:tcPr>
          <w:p>
            <w:pPr>
              <w:pStyle w:val="TableParagraph"/>
              <w:spacing w:before="15"/>
              <w:ind w:left="97"/>
              <w:rPr>
                <w:b/>
                <w:sz w:val="22"/>
              </w:rPr>
            </w:pPr>
            <w:r>
              <w:rPr>
                <w:b/>
                <w:sz w:val="22"/>
              </w:rPr>
              <w:t>06.05.2021</w:t>
            </w:r>
          </w:p>
        </w:tc>
        <w:tc>
          <w:tcPr>
            <w:tcW w:w="3333" w:type="dxa"/>
            <w:textDirection w:val="tbRl"/>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1"/>
              <w:rPr>
                <w:sz w:val="32"/>
              </w:rPr>
            </w:pPr>
          </w:p>
          <w:p>
            <w:pPr>
              <w:pStyle w:val="TableParagraph"/>
              <w:spacing w:line="250" w:lineRule="atLeast"/>
              <w:ind w:left="97" w:right="723"/>
              <w:rPr>
                <w:b/>
                <w:sz w:val="22"/>
              </w:rPr>
            </w:pPr>
            <w:r>
              <w:rPr>
                <w:b/>
                <w:sz w:val="22"/>
              </w:rPr>
              <w:t>Date of meetings</w:t>
            </w:r>
          </w:p>
        </w:tc>
      </w:tr>
      <w:tr>
        <w:trPr>
          <w:trHeight w:val="872" w:hRule="atLeast"/>
        </w:trPr>
        <w:tc>
          <w:tcPr>
            <w:tcW w:w="319" w:type="dxa"/>
            <w:textDirection w:val="tbRl"/>
          </w:tcPr>
          <w:p>
            <w:pPr>
              <w:pStyle w:val="TableParagraph"/>
              <w:spacing w:before="25"/>
              <w:ind w:right="2"/>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4"/>
              <w:ind w:right="2"/>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4"/>
              <w:ind w:right="2"/>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1"/>
              <w:ind w:right="2"/>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1"/>
              <w:ind w:right="2"/>
              <w:jc w:val="center"/>
              <w:rPr>
                <w:rFonts w:ascii="Wingdings" w:hAnsi="Wingdings"/>
                <w:sz w:val="22"/>
              </w:rPr>
            </w:pPr>
            <w:r>
              <w:rPr>
                <w:rFonts w:ascii="Wingdings" w:hAnsi="Wingdings"/>
                <w:w w:val="100"/>
                <w:sz w:val="22"/>
              </w:rPr>
              <w:t></w:t>
            </w:r>
          </w:p>
        </w:tc>
        <w:tc>
          <w:tcPr>
            <w:tcW w:w="321" w:type="dxa"/>
            <w:textDirection w:val="tbRl"/>
          </w:tcPr>
          <w:p>
            <w:pPr>
              <w:pStyle w:val="TableParagraph"/>
              <w:spacing w:before="25"/>
              <w:ind w:right="2"/>
              <w:jc w:val="center"/>
              <w:rPr>
                <w:rFonts w:ascii="Wingdings" w:hAnsi="Wingdings"/>
                <w:sz w:val="22"/>
              </w:rPr>
            </w:pPr>
            <w:r>
              <w:rPr>
                <w:rFonts w:ascii="Wingdings" w:hAnsi="Wingdings"/>
                <w:w w:val="100"/>
                <w:sz w:val="22"/>
              </w:rPr>
              <w:t></w:t>
            </w:r>
          </w:p>
        </w:tc>
        <w:tc>
          <w:tcPr>
            <w:tcW w:w="3333" w:type="dxa"/>
            <w:shd w:val="clear" w:color="auto" w:fill="C5DFB4"/>
          </w:tcPr>
          <w:p>
            <w:pPr>
              <w:pStyle w:val="TableParagraph"/>
              <w:spacing w:line="244" w:lineRule="auto" w:before="100"/>
              <w:ind w:left="169" w:right="121" w:hanging="2"/>
              <w:jc w:val="center"/>
              <w:rPr>
                <w:b/>
                <w:sz w:val="22"/>
              </w:rPr>
            </w:pPr>
            <w:r>
              <w:rPr>
                <w:b/>
                <w:sz w:val="22"/>
              </w:rPr>
              <w:t>Janice Keilthy Lay Member Patient &amp; Public Involvement</w:t>
            </w:r>
          </w:p>
          <w:p>
            <w:pPr>
              <w:pStyle w:val="TableParagraph"/>
              <w:spacing w:line="232" w:lineRule="exact" w:before="5"/>
              <w:ind w:left="783" w:right="740"/>
              <w:jc w:val="center"/>
              <w:rPr>
                <w:b/>
                <w:sz w:val="22"/>
              </w:rPr>
            </w:pPr>
            <w:r>
              <w:rPr>
                <w:b/>
                <w:sz w:val="22"/>
              </w:rPr>
              <w:t>(Chair)</w:t>
            </w:r>
          </w:p>
        </w:tc>
      </w:tr>
      <w:tr>
        <w:trPr>
          <w:trHeight w:val="810" w:hRule="atLeast"/>
        </w:trPr>
        <w:tc>
          <w:tcPr>
            <w:tcW w:w="319" w:type="dxa"/>
            <w:textDirection w:val="tbRl"/>
          </w:tcPr>
          <w:p>
            <w:pPr>
              <w:pStyle w:val="TableParagraph"/>
              <w:spacing w:before="25"/>
              <w:ind w:right="30"/>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4"/>
              <w:ind w:right="30"/>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4"/>
              <w:ind w:right="30"/>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1"/>
              <w:ind w:right="30"/>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1"/>
              <w:ind w:right="30"/>
              <w:jc w:val="center"/>
              <w:rPr>
                <w:rFonts w:ascii="Wingdings" w:hAnsi="Wingdings"/>
                <w:sz w:val="22"/>
              </w:rPr>
            </w:pPr>
            <w:r>
              <w:rPr>
                <w:rFonts w:ascii="Wingdings" w:hAnsi="Wingdings"/>
                <w:w w:val="100"/>
                <w:sz w:val="22"/>
              </w:rPr>
              <w:t></w:t>
            </w:r>
          </w:p>
        </w:tc>
        <w:tc>
          <w:tcPr>
            <w:tcW w:w="321" w:type="dxa"/>
            <w:textDirection w:val="tbRl"/>
          </w:tcPr>
          <w:p>
            <w:pPr>
              <w:pStyle w:val="TableParagraph"/>
              <w:spacing w:before="15"/>
              <w:ind w:right="31"/>
              <w:jc w:val="center"/>
              <w:rPr>
                <w:sz w:val="22"/>
              </w:rPr>
            </w:pPr>
            <w:r>
              <w:rPr>
                <w:w w:val="100"/>
                <w:sz w:val="22"/>
              </w:rPr>
              <w:t>x</w:t>
            </w:r>
          </w:p>
        </w:tc>
        <w:tc>
          <w:tcPr>
            <w:tcW w:w="3333" w:type="dxa"/>
            <w:shd w:val="clear" w:color="auto" w:fill="C5DFB4"/>
          </w:tcPr>
          <w:p>
            <w:pPr>
              <w:pStyle w:val="TableParagraph"/>
              <w:spacing w:line="244" w:lineRule="auto" w:before="196"/>
              <w:ind w:left="58" w:right="-5" w:firstLine="2"/>
              <w:rPr>
                <w:b/>
                <w:sz w:val="22"/>
              </w:rPr>
            </w:pPr>
            <w:r>
              <w:rPr>
                <w:b/>
                <w:sz w:val="22"/>
              </w:rPr>
              <w:t>Heather McSharry Lay Member Equality &amp; Inclusion Vice Chair</w:t>
            </w:r>
          </w:p>
        </w:tc>
      </w:tr>
      <w:tr>
        <w:trPr>
          <w:trHeight w:val="906" w:hRule="atLeast"/>
        </w:trPr>
        <w:tc>
          <w:tcPr>
            <w:tcW w:w="1595" w:type="dxa"/>
            <w:gridSpan w:val="5"/>
            <w:tcBorders>
              <w:left w:val="single" w:sz="4" w:space="0" w:color="000000"/>
            </w:tcBorders>
            <w:textDirection w:val="tbRl"/>
          </w:tcPr>
          <w:p>
            <w:pPr>
              <w:pStyle w:val="TableParagraph"/>
              <w:spacing w:line="247" w:lineRule="auto" w:before="138"/>
              <w:ind w:left="97" w:right="96"/>
              <w:jc w:val="center"/>
              <w:rPr>
                <w:sz w:val="22"/>
              </w:rPr>
            </w:pPr>
            <w:r>
              <w:rPr>
                <w:sz w:val="22"/>
              </w:rPr>
              <w:t>Retired from post June 2021</w:t>
            </w:r>
          </w:p>
        </w:tc>
        <w:tc>
          <w:tcPr>
            <w:tcW w:w="321" w:type="dxa"/>
            <w:textDirection w:val="tbRl"/>
          </w:tcPr>
          <w:p>
            <w:pPr>
              <w:pStyle w:val="TableParagraph"/>
              <w:spacing w:before="26"/>
              <w:jc w:val="center"/>
              <w:rPr>
                <w:rFonts w:ascii="Wingdings" w:hAnsi="Wingdings"/>
                <w:sz w:val="22"/>
              </w:rPr>
            </w:pPr>
            <w:r>
              <w:rPr>
                <w:rFonts w:ascii="Wingdings" w:hAnsi="Wingdings"/>
                <w:w w:val="100"/>
                <w:sz w:val="22"/>
              </w:rPr>
              <w:t></w:t>
            </w:r>
          </w:p>
        </w:tc>
        <w:tc>
          <w:tcPr>
            <w:tcW w:w="3333" w:type="dxa"/>
            <w:shd w:val="clear" w:color="auto" w:fill="C5DFB4"/>
          </w:tcPr>
          <w:p>
            <w:pPr>
              <w:pStyle w:val="TableParagraph"/>
              <w:spacing w:line="247" w:lineRule="auto" w:before="100"/>
              <w:ind w:left="29" w:right="-44"/>
              <w:jc w:val="center"/>
              <w:rPr>
                <w:b/>
                <w:sz w:val="22"/>
              </w:rPr>
            </w:pPr>
            <w:r>
              <w:rPr>
                <w:b/>
                <w:sz w:val="22"/>
              </w:rPr>
              <w:t>Clare Linley Director of Nursing &amp; Quality wef 03.09.18 - June 2021</w:t>
            </w:r>
          </w:p>
        </w:tc>
      </w:tr>
      <w:tr>
        <w:trPr>
          <w:trHeight w:val="1204" w:hRule="atLeast"/>
        </w:trPr>
        <w:tc>
          <w:tcPr>
            <w:tcW w:w="319" w:type="dxa"/>
            <w:textDirection w:val="tbRl"/>
          </w:tcPr>
          <w:p>
            <w:pPr>
              <w:pStyle w:val="TableParagraph"/>
              <w:spacing w:before="25"/>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4"/>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4"/>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1"/>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1"/>
              <w:jc w:val="center"/>
              <w:rPr>
                <w:rFonts w:ascii="Wingdings" w:hAnsi="Wingdings"/>
                <w:sz w:val="22"/>
              </w:rPr>
            </w:pPr>
            <w:r>
              <w:rPr>
                <w:rFonts w:ascii="Wingdings" w:hAnsi="Wingdings"/>
                <w:w w:val="100"/>
                <w:sz w:val="22"/>
              </w:rPr>
              <w:t></w:t>
            </w:r>
          </w:p>
        </w:tc>
        <w:tc>
          <w:tcPr>
            <w:tcW w:w="321" w:type="dxa"/>
            <w:textDirection w:val="tbRl"/>
          </w:tcPr>
          <w:p>
            <w:pPr>
              <w:pStyle w:val="TableParagraph"/>
              <w:spacing w:before="25"/>
              <w:jc w:val="center"/>
              <w:rPr>
                <w:rFonts w:ascii="Wingdings" w:hAnsi="Wingdings"/>
                <w:sz w:val="22"/>
              </w:rPr>
            </w:pPr>
            <w:r>
              <w:rPr>
                <w:rFonts w:ascii="Wingdings" w:hAnsi="Wingdings"/>
                <w:w w:val="100"/>
                <w:sz w:val="22"/>
              </w:rPr>
              <w:t></w:t>
            </w:r>
          </w:p>
        </w:tc>
        <w:tc>
          <w:tcPr>
            <w:tcW w:w="3333" w:type="dxa"/>
            <w:shd w:val="clear" w:color="auto" w:fill="C5DFB4"/>
          </w:tcPr>
          <w:p>
            <w:pPr>
              <w:pStyle w:val="TableParagraph"/>
              <w:spacing w:line="247" w:lineRule="auto" w:before="100"/>
              <w:ind w:left="51" w:right="4" w:firstLine="1"/>
              <w:jc w:val="center"/>
              <w:rPr>
                <w:b/>
                <w:sz w:val="22"/>
              </w:rPr>
            </w:pPr>
            <w:r>
              <w:rPr>
                <w:b/>
                <w:sz w:val="22"/>
              </w:rPr>
              <w:t>Helen Davis - Interim Director of Nursing and Quality - June 2021 onwards (formally Deputy Director of Nursing and</w:t>
            </w:r>
          </w:p>
        </w:tc>
      </w:tr>
      <w:tr>
        <w:trPr>
          <w:trHeight w:val="940" w:hRule="atLeast"/>
        </w:trPr>
        <w:tc>
          <w:tcPr>
            <w:tcW w:w="319" w:type="dxa"/>
            <w:textDirection w:val="tbRl"/>
          </w:tcPr>
          <w:p>
            <w:pPr>
              <w:pStyle w:val="TableParagraph"/>
              <w:spacing w:before="25"/>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4"/>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4"/>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1"/>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1"/>
              <w:jc w:val="center"/>
              <w:rPr>
                <w:rFonts w:ascii="Wingdings" w:hAnsi="Wingdings"/>
                <w:sz w:val="22"/>
              </w:rPr>
            </w:pPr>
            <w:r>
              <w:rPr>
                <w:rFonts w:ascii="Wingdings" w:hAnsi="Wingdings"/>
                <w:w w:val="100"/>
                <w:sz w:val="22"/>
              </w:rPr>
              <w:t></w:t>
            </w:r>
          </w:p>
        </w:tc>
        <w:tc>
          <w:tcPr>
            <w:tcW w:w="321" w:type="dxa"/>
            <w:tcBorders>
              <w:top w:val="nil"/>
              <w:left w:val="nil"/>
              <w:bottom w:val="nil"/>
              <w:right w:val="nil"/>
            </w:tcBorders>
            <w:shd w:val="clear" w:color="auto" w:fill="000000"/>
          </w:tcPr>
          <w:p>
            <w:pPr>
              <w:pStyle w:val="TableParagraph"/>
              <w:rPr>
                <w:rFonts w:ascii="Times New Roman"/>
                <w:sz w:val="22"/>
              </w:rPr>
            </w:pPr>
          </w:p>
        </w:tc>
        <w:tc>
          <w:tcPr>
            <w:tcW w:w="3333" w:type="dxa"/>
            <w:shd w:val="clear" w:color="auto" w:fill="C5DFB4"/>
          </w:tcPr>
          <w:p>
            <w:pPr>
              <w:pStyle w:val="TableParagraph"/>
              <w:spacing w:line="244" w:lineRule="auto" w:before="100"/>
              <w:ind w:left="49" w:right="-15" w:hanging="6"/>
              <w:jc w:val="center"/>
              <w:rPr>
                <w:b/>
                <w:sz w:val="22"/>
              </w:rPr>
            </w:pPr>
            <w:r>
              <w:rPr>
                <w:b/>
                <w:sz w:val="22"/>
              </w:rPr>
              <w:t>Rachel Stanton Interim Deputy Director of Nursing and Quality</w:t>
            </w:r>
          </w:p>
          <w:p>
            <w:pPr>
              <w:pStyle w:val="TableParagraph"/>
              <w:ind w:left="784" w:right="740"/>
              <w:jc w:val="center"/>
              <w:rPr>
                <w:b/>
                <w:sz w:val="22"/>
              </w:rPr>
            </w:pPr>
            <w:r>
              <w:rPr>
                <w:b/>
                <w:sz w:val="22"/>
              </w:rPr>
              <w:t>- from June 2021</w:t>
            </w:r>
          </w:p>
        </w:tc>
      </w:tr>
      <w:tr>
        <w:trPr>
          <w:trHeight w:val="841" w:hRule="atLeast"/>
        </w:trPr>
        <w:tc>
          <w:tcPr>
            <w:tcW w:w="319" w:type="dxa"/>
            <w:textDirection w:val="tbRl"/>
          </w:tcPr>
          <w:p>
            <w:pPr>
              <w:pStyle w:val="TableParagraph"/>
              <w:spacing w:before="14"/>
              <w:jc w:val="center"/>
              <w:rPr>
                <w:sz w:val="22"/>
              </w:rPr>
            </w:pPr>
            <w:r>
              <w:rPr>
                <w:w w:val="100"/>
                <w:sz w:val="22"/>
              </w:rPr>
              <w:t>x</w:t>
            </w:r>
          </w:p>
        </w:tc>
        <w:tc>
          <w:tcPr>
            <w:tcW w:w="319" w:type="dxa"/>
            <w:textDirection w:val="tbRl"/>
          </w:tcPr>
          <w:p>
            <w:pPr>
              <w:pStyle w:val="TableParagraph"/>
              <w:spacing w:before="13"/>
              <w:jc w:val="center"/>
              <w:rPr>
                <w:sz w:val="22"/>
              </w:rPr>
            </w:pPr>
            <w:r>
              <w:rPr>
                <w:w w:val="100"/>
                <w:sz w:val="22"/>
              </w:rPr>
              <w:t>x</w:t>
            </w:r>
          </w:p>
        </w:tc>
        <w:tc>
          <w:tcPr>
            <w:tcW w:w="319" w:type="dxa"/>
            <w:textDirection w:val="tbRl"/>
          </w:tcPr>
          <w:p>
            <w:pPr>
              <w:pStyle w:val="TableParagraph"/>
              <w:spacing w:before="16"/>
              <w:jc w:val="center"/>
              <w:rPr>
                <w:sz w:val="22"/>
              </w:rPr>
            </w:pPr>
            <w:r>
              <w:rPr>
                <w:w w:val="100"/>
                <w:sz w:val="22"/>
              </w:rPr>
              <w:t>x</w:t>
            </w:r>
          </w:p>
        </w:tc>
        <w:tc>
          <w:tcPr>
            <w:tcW w:w="319" w:type="dxa"/>
            <w:textDirection w:val="tbRl"/>
          </w:tcPr>
          <w:p>
            <w:pPr>
              <w:pStyle w:val="TableParagraph"/>
              <w:spacing w:before="11"/>
              <w:jc w:val="center"/>
              <w:rPr>
                <w:sz w:val="22"/>
              </w:rPr>
            </w:pPr>
            <w:r>
              <w:rPr>
                <w:w w:val="100"/>
                <w:sz w:val="22"/>
              </w:rPr>
              <w:t>x</w:t>
            </w:r>
          </w:p>
        </w:tc>
        <w:tc>
          <w:tcPr>
            <w:tcW w:w="319" w:type="dxa"/>
            <w:textDirection w:val="tbRl"/>
          </w:tcPr>
          <w:p>
            <w:pPr>
              <w:pStyle w:val="TableParagraph"/>
              <w:spacing w:before="10"/>
              <w:jc w:val="center"/>
              <w:rPr>
                <w:sz w:val="22"/>
              </w:rPr>
            </w:pPr>
            <w:r>
              <w:rPr>
                <w:w w:val="100"/>
                <w:sz w:val="22"/>
              </w:rPr>
              <w:t>x</w:t>
            </w:r>
          </w:p>
        </w:tc>
        <w:tc>
          <w:tcPr>
            <w:tcW w:w="321" w:type="dxa"/>
            <w:tcBorders>
              <w:top w:val="nil"/>
            </w:tcBorders>
            <w:textDirection w:val="tbRl"/>
          </w:tcPr>
          <w:p>
            <w:pPr>
              <w:pStyle w:val="TableParagraph"/>
              <w:spacing w:before="15"/>
              <w:jc w:val="center"/>
              <w:rPr>
                <w:sz w:val="22"/>
              </w:rPr>
            </w:pPr>
            <w:r>
              <w:rPr>
                <w:w w:val="100"/>
                <w:sz w:val="22"/>
              </w:rPr>
              <w:t>x</w:t>
            </w:r>
          </w:p>
        </w:tc>
        <w:tc>
          <w:tcPr>
            <w:tcW w:w="3333" w:type="dxa"/>
            <w:shd w:val="clear" w:color="auto" w:fill="C5DFB4"/>
          </w:tcPr>
          <w:p>
            <w:pPr>
              <w:pStyle w:val="TableParagraph"/>
              <w:spacing w:before="9"/>
              <w:rPr>
                <w:sz w:val="19"/>
              </w:rPr>
            </w:pPr>
          </w:p>
          <w:p>
            <w:pPr>
              <w:pStyle w:val="TableParagraph"/>
              <w:spacing w:line="244" w:lineRule="auto"/>
              <w:ind w:left="1323" w:right="137" w:hanging="1126"/>
              <w:rPr>
                <w:b/>
                <w:sz w:val="22"/>
              </w:rPr>
            </w:pPr>
            <w:r>
              <w:rPr>
                <w:b/>
                <w:sz w:val="22"/>
              </w:rPr>
              <w:t>Emma Sayner Chief Finance Officer</w:t>
            </w:r>
          </w:p>
        </w:tc>
      </w:tr>
      <w:tr>
        <w:trPr>
          <w:trHeight w:val="841" w:hRule="atLeast"/>
        </w:trPr>
        <w:tc>
          <w:tcPr>
            <w:tcW w:w="319" w:type="dxa"/>
            <w:textDirection w:val="tbRl"/>
          </w:tcPr>
          <w:p>
            <w:pPr>
              <w:pStyle w:val="TableParagraph"/>
              <w:spacing w:before="25"/>
              <w:ind w:right="1"/>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13"/>
              <w:jc w:val="center"/>
              <w:rPr>
                <w:sz w:val="22"/>
              </w:rPr>
            </w:pPr>
            <w:r>
              <w:rPr>
                <w:w w:val="100"/>
                <w:sz w:val="22"/>
              </w:rPr>
              <w:t>x</w:t>
            </w:r>
          </w:p>
        </w:tc>
        <w:tc>
          <w:tcPr>
            <w:tcW w:w="319" w:type="dxa"/>
            <w:textDirection w:val="tbRl"/>
          </w:tcPr>
          <w:p>
            <w:pPr>
              <w:pStyle w:val="TableParagraph"/>
              <w:spacing w:before="24"/>
              <w:ind w:right="1"/>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1"/>
              <w:ind w:right="1"/>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10"/>
              <w:jc w:val="center"/>
              <w:rPr>
                <w:sz w:val="22"/>
              </w:rPr>
            </w:pPr>
            <w:r>
              <w:rPr>
                <w:w w:val="100"/>
                <w:sz w:val="22"/>
              </w:rPr>
              <w:t>x</w:t>
            </w:r>
          </w:p>
        </w:tc>
        <w:tc>
          <w:tcPr>
            <w:tcW w:w="321" w:type="dxa"/>
            <w:textDirection w:val="tbRl"/>
          </w:tcPr>
          <w:p>
            <w:pPr>
              <w:pStyle w:val="TableParagraph"/>
              <w:spacing w:before="26"/>
              <w:ind w:right="1"/>
              <w:jc w:val="center"/>
              <w:rPr>
                <w:rFonts w:ascii="Wingdings" w:hAnsi="Wingdings"/>
                <w:sz w:val="22"/>
              </w:rPr>
            </w:pPr>
            <w:r>
              <w:rPr>
                <w:rFonts w:ascii="Wingdings" w:hAnsi="Wingdings"/>
                <w:w w:val="100"/>
                <w:sz w:val="22"/>
              </w:rPr>
              <w:t></w:t>
            </w:r>
          </w:p>
        </w:tc>
        <w:tc>
          <w:tcPr>
            <w:tcW w:w="3333" w:type="dxa"/>
            <w:shd w:val="clear" w:color="auto" w:fill="C5DFB4"/>
          </w:tcPr>
          <w:p>
            <w:pPr>
              <w:pStyle w:val="TableParagraph"/>
              <w:spacing w:before="6"/>
              <w:rPr>
                <w:sz w:val="19"/>
              </w:rPr>
            </w:pPr>
          </w:p>
          <w:p>
            <w:pPr>
              <w:pStyle w:val="TableParagraph"/>
              <w:spacing w:line="244" w:lineRule="auto"/>
              <w:ind w:left="353" w:right="120" w:hanging="176"/>
              <w:rPr>
                <w:b/>
                <w:sz w:val="22"/>
              </w:rPr>
            </w:pPr>
            <w:r>
              <w:rPr>
                <w:b/>
                <w:sz w:val="22"/>
              </w:rPr>
              <w:t>Jane Ellerton Senior Head of Strategic Commissioning</w:t>
            </w:r>
          </w:p>
        </w:tc>
      </w:tr>
      <w:tr>
        <w:trPr>
          <w:trHeight w:val="841" w:hRule="atLeast"/>
        </w:trPr>
        <w:tc>
          <w:tcPr>
            <w:tcW w:w="319" w:type="dxa"/>
            <w:textDirection w:val="tbRl"/>
          </w:tcPr>
          <w:p>
            <w:pPr>
              <w:pStyle w:val="TableParagraph"/>
              <w:spacing w:before="25"/>
              <w:ind w:right="1"/>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4"/>
              <w:ind w:right="1"/>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16"/>
              <w:jc w:val="center"/>
              <w:rPr>
                <w:sz w:val="22"/>
              </w:rPr>
            </w:pPr>
            <w:r>
              <w:rPr>
                <w:w w:val="100"/>
                <w:sz w:val="22"/>
              </w:rPr>
              <w:t>x</w:t>
            </w:r>
          </w:p>
        </w:tc>
        <w:tc>
          <w:tcPr>
            <w:tcW w:w="319" w:type="dxa"/>
            <w:textDirection w:val="tbRl"/>
          </w:tcPr>
          <w:p>
            <w:pPr>
              <w:pStyle w:val="TableParagraph"/>
              <w:spacing w:before="11"/>
              <w:jc w:val="center"/>
              <w:rPr>
                <w:sz w:val="22"/>
              </w:rPr>
            </w:pPr>
            <w:r>
              <w:rPr>
                <w:w w:val="100"/>
                <w:sz w:val="22"/>
              </w:rPr>
              <w:t>x</w:t>
            </w:r>
          </w:p>
        </w:tc>
        <w:tc>
          <w:tcPr>
            <w:tcW w:w="319" w:type="dxa"/>
            <w:textDirection w:val="tbRl"/>
          </w:tcPr>
          <w:p>
            <w:pPr>
              <w:pStyle w:val="TableParagraph"/>
              <w:spacing w:before="21"/>
              <w:ind w:right="1"/>
              <w:jc w:val="center"/>
              <w:rPr>
                <w:rFonts w:ascii="Wingdings" w:hAnsi="Wingdings"/>
                <w:sz w:val="22"/>
              </w:rPr>
            </w:pPr>
            <w:r>
              <w:rPr>
                <w:rFonts w:ascii="Wingdings" w:hAnsi="Wingdings"/>
                <w:w w:val="100"/>
                <w:sz w:val="22"/>
              </w:rPr>
              <w:t></w:t>
            </w:r>
          </w:p>
        </w:tc>
        <w:tc>
          <w:tcPr>
            <w:tcW w:w="321" w:type="dxa"/>
            <w:textDirection w:val="tbRl"/>
          </w:tcPr>
          <w:p>
            <w:pPr>
              <w:pStyle w:val="TableParagraph"/>
              <w:spacing w:before="15"/>
              <w:jc w:val="center"/>
              <w:rPr>
                <w:sz w:val="22"/>
              </w:rPr>
            </w:pPr>
            <w:r>
              <w:rPr>
                <w:w w:val="100"/>
                <w:sz w:val="22"/>
              </w:rPr>
              <w:t>x</w:t>
            </w:r>
          </w:p>
        </w:tc>
        <w:tc>
          <w:tcPr>
            <w:tcW w:w="3333" w:type="dxa"/>
            <w:shd w:val="clear" w:color="auto" w:fill="C5DFB4"/>
          </w:tcPr>
          <w:p>
            <w:pPr>
              <w:pStyle w:val="TableParagraph"/>
              <w:spacing w:before="6"/>
              <w:rPr>
                <w:sz w:val="19"/>
              </w:rPr>
            </w:pPr>
          </w:p>
          <w:p>
            <w:pPr>
              <w:pStyle w:val="TableParagraph"/>
              <w:spacing w:line="244" w:lineRule="auto"/>
              <w:ind w:left="822" w:right="-21" w:hanging="785"/>
              <w:rPr>
                <w:b/>
                <w:sz w:val="22"/>
              </w:rPr>
            </w:pPr>
            <w:r>
              <w:rPr>
                <w:b/>
                <w:sz w:val="22"/>
              </w:rPr>
              <w:t>Dr Satpal Shekhawat Associate Medical</w:t>
            </w:r>
            <w:r>
              <w:rPr>
                <w:b/>
                <w:spacing w:val="1"/>
                <w:sz w:val="22"/>
              </w:rPr>
              <w:t> </w:t>
            </w:r>
            <w:r>
              <w:rPr>
                <w:b/>
                <w:sz w:val="22"/>
              </w:rPr>
              <w:t>Director</w:t>
            </w:r>
          </w:p>
        </w:tc>
      </w:tr>
      <w:tr>
        <w:trPr>
          <w:trHeight w:val="841" w:hRule="atLeast"/>
        </w:trPr>
        <w:tc>
          <w:tcPr>
            <w:tcW w:w="319" w:type="dxa"/>
            <w:textDirection w:val="tbRl"/>
          </w:tcPr>
          <w:p>
            <w:pPr>
              <w:pStyle w:val="TableParagraph"/>
              <w:spacing w:before="25"/>
              <w:ind w:right="1"/>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4"/>
              <w:ind w:right="1"/>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4"/>
              <w:ind w:right="1"/>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1"/>
              <w:ind w:right="1"/>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21"/>
              <w:ind w:right="1"/>
              <w:jc w:val="center"/>
              <w:rPr>
                <w:rFonts w:ascii="Wingdings" w:hAnsi="Wingdings"/>
                <w:sz w:val="22"/>
              </w:rPr>
            </w:pPr>
            <w:r>
              <w:rPr>
                <w:rFonts w:ascii="Wingdings" w:hAnsi="Wingdings"/>
                <w:w w:val="100"/>
                <w:sz w:val="22"/>
              </w:rPr>
              <w:t></w:t>
            </w:r>
          </w:p>
        </w:tc>
        <w:tc>
          <w:tcPr>
            <w:tcW w:w="321" w:type="dxa"/>
            <w:textDirection w:val="tbRl"/>
          </w:tcPr>
          <w:p>
            <w:pPr>
              <w:pStyle w:val="TableParagraph"/>
              <w:spacing w:before="25"/>
              <w:ind w:right="1"/>
              <w:jc w:val="center"/>
              <w:rPr>
                <w:rFonts w:ascii="Wingdings" w:hAnsi="Wingdings"/>
                <w:sz w:val="22"/>
              </w:rPr>
            </w:pPr>
            <w:r>
              <w:rPr>
                <w:rFonts w:ascii="Wingdings" w:hAnsi="Wingdings"/>
                <w:w w:val="100"/>
                <w:sz w:val="22"/>
              </w:rPr>
              <w:t></w:t>
            </w:r>
          </w:p>
        </w:tc>
        <w:tc>
          <w:tcPr>
            <w:tcW w:w="3333" w:type="dxa"/>
            <w:shd w:val="clear" w:color="auto" w:fill="C5DFB4"/>
          </w:tcPr>
          <w:p>
            <w:pPr>
              <w:pStyle w:val="TableParagraph"/>
              <w:spacing w:before="6"/>
              <w:rPr>
                <w:sz w:val="19"/>
              </w:rPr>
            </w:pPr>
          </w:p>
          <w:p>
            <w:pPr>
              <w:pStyle w:val="TableParagraph"/>
              <w:spacing w:line="244" w:lineRule="auto"/>
              <w:ind w:left="570" w:right="149" w:hanging="360"/>
              <w:rPr>
                <w:b/>
                <w:sz w:val="22"/>
              </w:rPr>
            </w:pPr>
            <w:r>
              <w:rPr>
                <w:b/>
                <w:sz w:val="22"/>
              </w:rPr>
              <w:t>Louise Tilley Interim Deputy Chief Finance Officer</w:t>
            </w:r>
          </w:p>
        </w:tc>
      </w:tr>
      <w:tr>
        <w:trPr>
          <w:trHeight w:val="839" w:hRule="atLeast"/>
        </w:trPr>
        <w:tc>
          <w:tcPr>
            <w:tcW w:w="319" w:type="dxa"/>
            <w:textDirection w:val="tbRl"/>
          </w:tcPr>
          <w:p>
            <w:pPr>
              <w:pStyle w:val="TableParagraph"/>
              <w:spacing w:before="25"/>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13"/>
              <w:jc w:val="center"/>
              <w:rPr>
                <w:sz w:val="22"/>
              </w:rPr>
            </w:pPr>
            <w:r>
              <w:rPr>
                <w:w w:val="100"/>
                <w:sz w:val="22"/>
              </w:rPr>
              <w:t>x</w:t>
            </w:r>
          </w:p>
        </w:tc>
        <w:tc>
          <w:tcPr>
            <w:tcW w:w="319" w:type="dxa"/>
            <w:textDirection w:val="tbRl"/>
          </w:tcPr>
          <w:p>
            <w:pPr>
              <w:pStyle w:val="TableParagraph"/>
              <w:spacing w:before="24"/>
              <w:jc w:val="center"/>
              <w:rPr>
                <w:rFonts w:ascii="Wingdings" w:hAnsi="Wingdings"/>
                <w:sz w:val="22"/>
              </w:rPr>
            </w:pPr>
            <w:r>
              <w:rPr>
                <w:rFonts w:ascii="Wingdings" w:hAnsi="Wingdings"/>
                <w:w w:val="100"/>
                <w:sz w:val="22"/>
              </w:rPr>
              <w:t></w:t>
            </w:r>
          </w:p>
        </w:tc>
        <w:tc>
          <w:tcPr>
            <w:tcW w:w="319" w:type="dxa"/>
            <w:textDirection w:val="tbRl"/>
          </w:tcPr>
          <w:p>
            <w:pPr>
              <w:pStyle w:val="TableParagraph"/>
              <w:spacing w:before="11"/>
              <w:jc w:val="center"/>
              <w:rPr>
                <w:sz w:val="22"/>
              </w:rPr>
            </w:pPr>
            <w:r>
              <w:rPr>
                <w:w w:val="100"/>
                <w:sz w:val="22"/>
              </w:rPr>
              <w:t>x</w:t>
            </w:r>
          </w:p>
        </w:tc>
        <w:tc>
          <w:tcPr>
            <w:tcW w:w="319" w:type="dxa"/>
            <w:textDirection w:val="tbRl"/>
          </w:tcPr>
          <w:p>
            <w:pPr>
              <w:pStyle w:val="TableParagraph"/>
              <w:spacing w:before="10"/>
              <w:jc w:val="center"/>
              <w:rPr>
                <w:sz w:val="22"/>
              </w:rPr>
            </w:pPr>
            <w:r>
              <w:rPr>
                <w:w w:val="100"/>
                <w:sz w:val="22"/>
              </w:rPr>
              <w:t>x</w:t>
            </w:r>
          </w:p>
        </w:tc>
        <w:tc>
          <w:tcPr>
            <w:tcW w:w="321" w:type="dxa"/>
            <w:textDirection w:val="tbRl"/>
          </w:tcPr>
          <w:p>
            <w:pPr>
              <w:pStyle w:val="TableParagraph"/>
              <w:spacing w:before="15"/>
              <w:jc w:val="center"/>
              <w:rPr>
                <w:sz w:val="22"/>
              </w:rPr>
            </w:pPr>
            <w:r>
              <w:rPr>
                <w:w w:val="100"/>
                <w:sz w:val="22"/>
              </w:rPr>
              <w:t>x</w:t>
            </w:r>
          </w:p>
        </w:tc>
        <w:tc>
          <w:tcPr>
            <w:tcW w:w="3333" w:type="dxa"/>
            <w:shd w:val="clear" w:color="auto" w:fill="C5DFB4"/>
          </w:tcPr>
          <w:p>
            <w:pPr>
              <w:pStyle w:val="TableParagraph"/>
              <w:spacing w:before="6"/>
              <w:rPr>
                <w:sz w:val="19"/>
              </w:rPr>
            </w:pPr>
          </w:p>
          <w:p>
            <w:pPr>
              <w:pStyle w:val="TableParagraph"/>
              <w:spacing w:line="244" w:lineRule="auto"/>
              <w:ind w:left="1323" w:right="144" w:hanging="1121"/>
              <w:rPr>
                <w:b/>
                <w:sz w:val="22"/>
              </w:rPr>
            </w:pPr>
            <w:r>
              <w:rPr>
                <w:b/>
                <w:sz w:val="22"/>
              </w:rPr>
              <w:t>Alex Seale - Chief Operating Officer</w:t>
            </w:r>
          </w:p>
        </w:tc>
      </w:tr>
    </w:tbl>
    <w:p>
      <w:pPr>
        <w:spacing w:after="0" w:line="244" w:lineRule="auto"/>
        <w:rPr>
          <w:sz w:val="22"/>
        </w:rPr>
        <w:sectPr>
          <w:footerReference w:type="default" r:id="rId35"/>
          <w:pgSz w:w="16850" w:h="11920" w:orient="landscape"/>
          <w:pgMar w:footer="0" w:header="0" w:top="0" w:bottom="280" w:left="440" w:right="1880"/>
        </w:sectPr>
      </w:pPr>
    </w:p>
    <w:p>
      <w:pPr>
        <w:pStyle w:val="Heading6"/>
        <w:spacing w:before="77"/>
        <w:ind w:left="208"/>
      </w:pPr>
      <w:bookmarkStart w:name="Integrated Audit &amp; Governance Committee " w:id="158"/>
      <w:bookmarkEnd w:id="158"/>
      <w:r>
        <w:rPr>
          <w:b w:val="0"/>
        </w:rPr>
      </w:r>
      <w:r>
        <w:rPr>
          <w:u w:val="thick"/>
        </w:rPr>
        <w:t>Integrated Audit &amp; Governance Committee 01.04.21 - 31.03.22</w:t>
      </w:r>
    </w:p>
    <w:p>
      <w:pPr>
        <w:pStyle w:val="BodyText"/>
        <w:spacing w:before="9"/>
        <w:rPr>
          <w:b/>
          <w:sz w:val="21"/>
        </w:r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1841"/>
        <w:gridCol w:w="1939"/>
        <w:gridCol w:w="2112"/>
      </w:tblGrid>
      <w:tr>
        <w:trPr>
          <w:trHeight w:val="2056" w:hRule="atLeast"/>
        </w:trPr>
        <w:tc>
          <w:tcPr>
            <w:tcW w:w="1620" w:type="dxa"/>
            <w:tcBorders>
              <w:bottom w:val="single" w:sz="4" w:space="0" w:color="000000"/>
            </w:tcBorders>
            <w:shd w:val="clear" w:color="auto" w:fill="C5DFB4"/>
            <w:textDirection w:val="btLr"/>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left="302"/>
              <w:rPr>
                <w:b/>
                <w:sz w:val="18"/>
              </w:rPr>
            </w:pPr>
            <w:r>
              <w:rPr>
                <w:b/>
                <w:sz w:val="18"/>
              </w:rPr>
              <w:t>Date of meetings</w:t>
            </w:r>
          </w:p>
        </w:tc>
        <w:tc>
          <w:tcPr>
            <w:tcW w:w="1841" w:type="dxa"/>
            <w:tcBorders>
              <w:bottom w:val="single" w:sz="4" w:space="0" w:color="000000"/>
            </w:tcBorders>
            <w:shd w:val="clear" w:color="auto" w:fill="C5DFB4"/>
            <w:textDirection w:val="btLr"/>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7"/>
              <w:rPr>
                <w:b/>
                <w:sz w:val="18"/>
              </w:rPr>
            </w:pPr>
          </w:p>
          <w:p>
            <w:pPr>
              <w:pStyle w:val="TableParagraph"/>
              <w:spacing w:line="254" w:lineRule="auto"/>
              <w:ind w:left="187" w:right="-29" w:firstLine="295"/>
              <w:jc w:val="right"/>
              <w:rPr>
                <w:b/>
                <w:sz w:val="18"/>
              </w:rPr>
            </w:pPr>
            <w:r>
              <w:rPr>
                <w:b/>
                <w:sz w:val="18"/>
              </w:rPr>
              <w:t>Erika</w:t>
            </w:r>
            <w:r>
              <w:rPr>
                <w:b/>
                <w:spacing w:val="-5"/>
                <w:sz w:val="18"/>
              </w:rPr>
              <w:t> </w:t>
            </w:r>
            <w:r>
              <w:rPr>
                <w:b/>
                <w:sz w:val="18"/>
              </w:rPr>
              <w:t>Stoddart</w:t>
            </w:r>
            <w:r>
              <w:rPr>
                <w:b/>
                <w:spacing w:val="-5"/>
                <w:sz w:val="18"/>
              </w:rPr>
              <w:t> </w:t>
            </w:r>
            <w:r>
              <w:rPr>
                <w:b/>
                <w:sz w:val="18"/>
              </w:rPr>
              <w:t>Lay Member Governance</w:t>
            </w:r>
            <w:r>
              <w:rPr>
                <w:b/>
                <w:spacing w:val="-13"/>
                <w:sz w:val="18"/>
              </w:rPr>
              <w:t> </w:t>
            </w:r>
            <w:r>
              <w:rPr>
                <w:b/>
                <w:sz w:val="18"/>
              </w:rPr>
              <w:t>-</w:t>
            </w:r>
          </w:p>
          <w:p>
            <w:pPr>
              <w:pStyle w:val="TableParagraph"/>
              <w:spacing w:line="205" w:lineRule="exact"/>
              <w:ind w:right="-15"/>
              <w:jc w:val="right"/>
              <w:rPr>
                <w:b/>
                <w:sz w:val="18"/>
              </w:rPr>
            </w:pPr>
            <w:r>
              <w:rPr>
                <w:b/>
                <w:spacing w:val="-1"/>
                <w:sz w:val="18"/>
              </w:rPr>
              <w:t>Chair</w:t>
            </w:r>
          </w:p>
        </w:tc>
        <w:tc>
          <w:tcPr>
            <w:tcW w:w="1939" w:type="dxa"/>
            <w:tcBorders>
              <w:bottom w:val="single" w:sz="4" w:space="0" w:color="000000"/>
            </w:tcBorders>
            <w:shd w:val="clear" w:color="auto" w:fill="C5DFB4"/>
            <w:textDirection w:val="btLr"/>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
              <w:rPr>
                <w:b/>
                <w:sz w:val="26"/>
              </w:rPr>
            </w:pPr>
          </w:p>
          <w:p>
            <w:pPr>
              <w:pStyle w:val="TableParagraph"/>
              <w:spacing w:line="254" w:lineRule="auto"/>
              <w:ind w:left="93" w:right="-18" w:firstLine="386"/>
              <w:rPr>
                <w:b/>
                <w:sz w:val="18"/>
              </w:rPr>
            </w:pPr>
            <w:r>
              <w:rPr>
                <w:b/>
                <w:sz w:val="18"/>
              </w:rPr>
              <w:t>Janice Keilthy Lay Member PPI Vice Chair</w:t>
            </w:r>
          </w:p>
        </w:tc>
        <w:tc>
          <w:tcPr>
            <w:tcW w:w="2112" w:type="dxa"/>
            <w:tcBorders>
              <w:bottom w:val="single" w:sz="4" w:space="0" w:color="000000"/>
            </w:tcBorders>
            <w:shd w:val="clear" w:color="auto" w:fill="C5DFB4"/>
            <w:textDirection w:val="btLr"/>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5"/>
              <w:rPr>
                <w:b/>
                <w:sz w:val="23"/>
              </w:rPr>
            </w:pPr>
          </w:p>
          <w:p>
            <w:pPr>
              <w:pStyle w:val="TableParagraph"/>
              <w:spacing w:line="254" w:lineRule="auto"/>
              <w:ind w:left="450" w:right="-15" w:hanging="293"/>
              <w:jc w:val="right"/>
              <w:rPr>
                <w:b/>
                <w:sz w:val="18"/>
              </w:rPr>
            </w:pPr>
            <w:r>
              <w:rPr>
                <w:b/>
                <w:sz w:val="18"/>
              </w:rPr>
              <w:t>Heather</w:t>
            </w:r>
            <w:r>
              <w:rPr>
                <w:b/>
                <w:spacing w:val="-8"/>
                <w:sz w:val="18"/>
              </w:rPr>
              <w:t> </w:t>
            </w:r>
            <w:r>
              <w:rPr>
                <w:b/>
                <w:sz w:val="18"/>
              </w:rPr>
              <w:t>MsSharry</w:t>
            </w:r>
            <w:r>
              <w:rPr>
                <w:b/>
                <w:spacing w:val="-7"/>
                <w:sz w:val="18"/>
              </w:rPr>
              <w:t> </w:t>
            </w:r>
            <w:r>
              <w:rPr>
                <w:b/>
                <w:sz w:val="18"/>
              </w:rPr>
              <w:t>Lay Member Equality</w:t>
            </w:r>
            <w:r>
              <w:rPr>
                <w:b/>
                <w:spacing w:val="-13"/>
                <w:sz w:val="18"/>
              </w:rPr>
              <w:t> </w:t>
            </w:r>
            <w:r>
              <w:rPr>
                <w:b/>
                <w:sz w:val="18"/>
              </w:rPr>
              <w:t>&amp;</w:t>
            </w:r>
          </w:p>
          <w:p>
            <w:pPr>
              <w:pStyle w:val="TableParagraph"/>
              <w:spacing w:line="195" w:lineRule="exact"/>
              <w:ind w:right="-15"/>
              <w:jc w:val="right"/>
              <w:rPr>
                <w:b/>
                <w:sz w:val="18"/>
              </w:rPr>
            </w:pPr>
            <w:r>
              <w:rPr>
                <w:b/>
                <w:spacing w:val="-2"/>
                <w:sz w:val="18"/>
              </w:rPr>
              <w:t>Diversity</w:t>
            </w:r>
          </w:p>
        </w:tc>
      </w:tr>
      <w:tr>
        <w:trPr>
          <w:trHeight w:val="710" w:hRule="atLeast"/>
        </w:trPr>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before="91"/>
              <w:ind w:left="122" w:right="297"/>
              <w:rPr>
                <w:b/>
                <w:sz w:val="18"/>
              </w:rPr>
            </w:pPr>
            <w:r>
              <w:rPr>
                <w:b/>
                <w:sz w:val="18"/>
              </w:rPr>
              <w:t>21.04.21 - Extraordinary meeting</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7"/>
              <w:rPr>
                <w:b/>
                <w:sz w:val="22"/>
              </w:rPr>
            </w:pPr>
          </w:p>
          <w:p>
            <w:pPr>
              <w:pStyle w:val="TableParagraph"/>
              <w:spacing w:line="199" w:lineRule="exact" w:before="1"/>
              <w:ind w:left="42"/>
              <w:jc w:val="center"/>
              <w:rPr>
                <w:rFonts w:ascii="Wingdings" w:hAnsi="Wingdings"/>
                <w:sz w:val="18"/>
              </w:rPr>
            </w:pPr>
            <w:r>
              <w:rPr>
                <w:rFonts w:ascii="Wingdings" w:hAnsi="Wingdings"/>
                <w:sz w:val="18"/>
              </w:rPr>
              <w:t></w:t>
            </w:r>
          </w:p>
        </w:tc>
        <w:tc>
          <w:tcPr>
            <w:tcW w:w="1939" w:type="dxa"/>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7"/>
              <w:rPr>
                <w:b/>
                <w:sz w:val="22"/>
              </w:rPr>
            </w:pPr>
          </w:p>
          <w:p>
            <w:pPr>
              <w:pStyle w:val="TableParagraph"/>
              <w:spacing w:line="199" w:lineRule="exact" w:before="1"/>
              <w:ind w:left="40"/>
              <w:jc w:val="center"/>
              <w:rPr>
                <w:rFonts w:ascii="Wingdings" w:hAnsi="Wingdings"/>
                <w:sz w:val="18"/>
              </w:rPr>
            </w:pPr>
            <w:r>
              <w:rPr>
                <w:rFonts w:ascii="Wingdings" w:hAnsi="Wingdings"/>
                <w:sz w:val="18"/>
              </w:rPr>
              <w:t></w:t>
            </w:r>
          </w:p>
        </w:tc>
        <w:tc>
          <w:tcPr>
            <w:tcW w:w="2112" w:type="dxa"/>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7"/>
              <w:rPr>
                <w:b/>
                <w:sz w:val="22"/>
              </w:rPr>
            </w:pPr>
          </w:p>
          <w:p>
            <w:pPr>
              <w:pStyle w:val="TableParagraph"/>
              <w:spacing w:line="199" w:lineRule="exact" w:before="1"/>
              <w:ind w:left="998"/>
              <w:rPr>
                <w:rFonts w:ascii="Wingdings" w:hAnsi="Wingdings"/>
                <w:sz w:val="18"/>
              </w:rPr>
            </w:pPr>
            <w:r>
              <w:rPr>
                <w:rFonts w:ascii="Wingdings" w:hAnsi="Wingdings"/>
                <w:sz w:val="18"/>
              </w:rPr>
              <w:t></w:t>
            </w:r>
          </w:p>
        </w:tc>
      </w:tr>
      <w:tr>
        <w:trPr>
          <w:trHeight w:val="290" w:hRule="atLeast"/>
        </w:trPr>
        <w:tc>
          <w:tcPr>
            <w:tcW w:w="1620" w:type="dxa"/>
            <w:tcBorders>
              <w:top w:val="single" w:sz="4" w:space="0" w:color="000000"/>
              <w:left w:val="single" w:sz="4" w:space="0" w:color="000000"/>
              <w:bottom w:val="single" w:sz="4" w:space="0" w:color="000000"/>
              <w:right w:val="single" w:sz="4" w:space="0" w:color="000000"/>
            </w:tcBorders>
          </w:tcPr>
          <w:p>
            <w:pPr>
              <w:pStyle w:val="TableParagraph"/>
              <w:spacing w:before="61"/>
              <w:ind w:left="122"/>
              <w:rPr>
                <w:b/>
                <w:sz w:val="18"/>
              </w:rPr>
            </w:pPr>
            <w:r>
              <w:rPr>
                <w:b/>
                <w:sz w:val="18"/>
              </w:rPr>
              <w:t>26.05.21</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70"/>
              <w:ind w:left="42"/>
              <w:jc w:val="center"/>
              <w:rPr>
                <w:rFonts w:ascii="Wingdings" w:hAnsi="Wingdings"/>
                <w:sz w:val="18"/>
              </w:rPr>
            </w:pPr>
            <w:r>
              <w:rPr>
                <w:rFonts w:ascii="Wingdings" w:hAnsi="Wingdings"/>
                <w:sz w:val="18"/>
              </w:rPr>
              <w:t></w:t>
            </w:r>
          </w:p>
        </w:tc>
        <w:tc>
          <w:tcPr>
            <w:tcW w:w="1939"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70"/>
              <w:ind w:left="37"/>
              <w:jc w:val="center"/>
              <w:rPr>
                <w:rFonts w:ascii="Wingdings" w:hAnsi="Wingdings"/>
                <w:sz w:val="18"/>
              </w:rPr>
            </w:pPr>
            <w:r>
              <w:rPr>
                <w:rFonts w:ascii="Wingdings" w:hAnsi="Wingdings"/>
                <w:sz w:val="18"/>
              </w:rPr>
              <w:t></w:t>
            </w:r>
          </w:p>
        </w:tc>
        <w:tc>
          <w:tcPr>
            <w:tcW w:w="2112"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70"/>
              <w:ind w:left="998"/>
              <w:rPr>
                <w:rFonts w:ascii="Wingdings" w:hAnsi="Wingdings"/>
                <w:sz w:val="18"/>
              </w:rPr>
            </w:pPr>
            <w:r>
              <w:rPr>
                <w:rFonts w:ascii="Wingdings" w:hAnsi="Wingdings"/>
                <w:sz w:val="18"/>
              </w:rPr>
              <w:t></w:t>
            </w:r>
          </w:p>
        </w:tc>
      </w:tr>
      <w:tr>
        <w:trPr>
          <w:trHeight w:val="710" w:hRule="atLeast"/>
        </w:trPr>
        <w:tc>
          <w:tcPr>
            <w:tcW w:w="1620" w:type="dxa"/>
            <w:tcBorders>
              <w:top w:val="single" w:sz="4" w:space="0" w:color="000000"/>
              <w:left w:val="single" w:sz="4" w:space="0" w:color="000000"/>
              <w:bottom w:val="single" w:sz="4" w:space="0" w:color="000000"/>
              <w:right w:val="single" w:sz="4" w:space="0" w:color="000000"/>
            </w:tcBorders>
          </w:tcPr>
          <w:p>
            <w:pPr>
              <w:pStyle w:val="TableParagraph"/>
              <w:spacing w:before="85"/>
              <w:ind w:left="122"/>
              <w:rPr>
                <w:b/>
                <w:sz w:val="18"/>
              </w:rPr>
            </w:pPr>
            <w:r>
              <w:rPr>
                <w:b/>
                <w:sz w:val="18"/>
              </w:rPr>
              <w:t>26.05/21 -</w:t>
            </w:r>
          </w:p>
          <w:p>
            <w:pPr>
              <w:pStyle w:val="TableParagraph"/>
              <w:spacing w:line="206" w:lineRule="exact" w:before="6"/>
              <w:ind w:left="122" w:right="297"/>
              <w:rPr>
                <w:b/>
                <w:sz w:val="18"/>
              </w:rPr>
            </w:pPr>
            <w:r>
              <w:rPr>
                <w:b/>
                <w:sz w:val="18"/>
              </w:rPr>
              <w:t>Extraordinary meeting</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7"/>
              <w:rPr>
                <w:b/>
                <w:sz w:val="22"/>
              </w:rPr>
            </w:pPr>
          </w:p>
          <w:p>
            <w:pPr>
              <w:pStyle w:val="TableParagraph"/>
              <w:spacing w:line="199" w:lineRule="exact" w:before="1"/>
              <w:ind w:left="42"/>
              <w:jc w:val="center"/>
              <w:rPr>
                <w:rFonts w:ascii="Wingdings" w:hAnsi="Wingdings"/>
                <w:sz w:val="18"/>
              </w:rPr>
            </w:pPr>
            <w:r>
              <w:rPr>
                <w:rFonts w:ascii="Wingdings" w:hAnsi="Wingdings"/>
                <w:sz w:val="18"/>
              </w:rPr>
              <w:t></w:t>
            </w:r>
          </w:p>
        </w:tc>
        <w:tc>
          <w:tcPr>
            <w:tcW w:w="1939" w:type="dxa"/>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7"/>
              <w:rPr>
                <w:b/>
                <w:sz w:val="22"/>
              </w:rPr>
            </w:pPr>
          </w:p>
          <w:p>
            <w:pPr>
              <w:pStyle w:val="TableParagraph"/>
              <w:spacing w:line="199" w:lineRule="exact" w:before="1"/>
              <w:ind w:left="37"/>
              <w:jc w:val="center"/>
              <w:rPr>
                <w:rFonts w:ascii="Wingdings" w:hAnsi="Wingdings"/>
                <w:sz w:val="18"/>
              </w:rPr>
            </w:pPr>
            <w:r>
              <w:rPr>
                <w:rFonts w:ascii="Wingdings" w:hAnsi="Wingdings"/>
                <w:sz w:val="18"/>
              </w:rPr>
              <w:t></w:t>
            </w:r>
          </w:p>
        </w:tc>
        <w:tc>
          <w:tcPr>
            <w:tcW w:w="2112" w:type="dxa"/>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7"/>
              <w:rPr>
                <w:b/>
                <w:sz w:val="22"/>
              </w:rPr>
            </w:pPr>
          </w:p>
          <w:p>
            <w:pPr>
              <w:pStyle w:val="TableParagraph"/>
              <w:spacing w:line="199" w:lineRule="exact" w:before="1"/>
              <w:ind w:left="998"/>
              <w:rPr>
                <w:rFonts w:ascii="Wingdings" w:hAnsi="Wingdings"/>
                <w:sz w:val="18"/>
              </w:rPr>
            </w:pPr>
            <w:r>
              <w:rPr>
                <w:rFonts w:ascii="Wingdings" w:hAnsi="Wingdings"/>
                <w:sz w:val="18"/>
              </w:rPr>
              <w:t></w:t>
            </w:r>
          </w:p>
        </w:tc>
      </w:tr>
      <w:tr>
        <w:trPr>
          <w:trHeight w:val="289" w:hRule="atLeast"/>
        </w:trPr>
        <w:tc>
          <w:tcPr>
            <w:tcW w:w="1620" w:type="dxa"/>
            <w:tcBorders>
              <w:top w:val="single" w:sz="4" w:space="0" w:color="000000"/>
              <w:left w:val="single" w:sz="4" w:space="0" w:color="000000"/>
              <w:bottom w:val="single" w:sz="4" w:space="0" w:color="000000"/>
              <w:right w:val="single" w:sz="4" w:space="0" w:color="000000"/>
            </w:tcBorders>
          </w:tcPr>
          <w:p>
            <w:pPr>
              <w:pStyle w:val="TableParagraph"/>
              <w:spacing w:before="61"/>
              <w:ind w:left="122"/>
              <w:rPr>
                <w:b/>
                <w:sz w:val="18"/>
              </w:rPr>
            </w:pPr>
            <w:r>
              <w:rPr>
                <w:b/>
                <w:sz w:val="18"/>
              </w:rPr>
              <w:t>07.07.21</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70"/>
              <w:ind w:left="42"/>
              <w:jc w:val="center"/>
              <w:rPr>
                <w:rFonts w:ascii="Wingdings" w:hAnsi="Wingdings"/>
                <w:sz w:val="18"/>
              </w:rPr>
            </w:pPr>
            <w:r>
              <w:rPr>
                <w:rFonts w:ascii="Wingdings" w:hAnsi="Wingdings"/>
                <w:sz w:val="18"/>
              </w:rPr>
              <w:t></w:t>
            </w:r>
          </w:p>
        </w:tc>
        <w:tc>
          <w:tcPr>
            <w:tcW w:w="1939"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70"/>
              <w:ind w:left="40"/>
              <w:jc w:val="center"/>
              <w:rPr>
                <w:rFonts w:ascii="Wingdings" w:hAnsi="Wingdings"/>
                <w:sz w:val="18"/>
              </w:rPr>
            </w:pPr>
            <w:r>
              <w:rPr>
                <w:rFonts w:ascii="Wingdings" w:hAnsi="Wingdings"/>
                <w:sz w:val="18"/>
              </w:rPr>
              <w:t></w:t>
            </w:r>
          </w:p>
        </w:tc>
        <w:tc>
          <w:tcPr>
            <w:tcW w:w="2112"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70"/>
              <w:ind w:left="998"/>
              <w:rPr>
                <w:rFonts w:ascii="Wingdings" w:hAnsi="Wingdings"/>
                <w:sz w:val="18"/>
              </w:rPr>
            </w:pPr>
            <w:r>
              <w:rPr>
                <w:rFonts w:ascii="Wingdings" w:hAnsi="Wingdings"/>
                <w:sz w:val="18"/>
              </w:rPr>
              <w:t></w:t>
            </w:r>
          </w:p>
        </w:tc>
      </w:tr>
      <w:tr>
        <w:trPr>
          <w:trHeight w:val="290" w:hRule="atLeast"/>
        </w:trPr>
        <w:tc>
          <w:tcPr>
            <w:tcW w:w="1620" w:type="dxa"/>
            <w:tcBorders>
              <w:top w:val="single" w:sz="4" w:space="0" w:color="000000"/>
              <w:left w:val="single" w:sz="4" w:space="0" w:color="000000"/>
              <w:bottom w:val="single" w:sz="4" w:space="0" w:color="000000"/>
              <w:right w:val="single" w:sz="4" w:space="0" w:color="000000"/>
            </w:tcBorders>
          </w:tcPr>
          <w:p>
            <w:pPr>
              <w:pStyle w:val="TableParagraph"/>
              <w:spacing w:before="61"/>
              <w:ind w:left="122"/>
              <w:rPr>
                <w:b/>
                <w:sz w:val="18"/>
              </w:rPr>
            </w:pPr>
            <w:r>
              <w:rPr>
                <w:b/>
                <w:sz w:val="18"/>
              </w:rPr>
              <w:t>03.11.21</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71"/>
              <w:ind w:left="42"/>
              <w:jc w:val="center"/>
              <w:rPr>
                <w:rFonts w:ascii="Wingdings" w:hAnsi="Wingdings"/>
                <w:sz w:val="18"/>
              </w:rPr>
            </w:pPr>
            <w:r>
              <w:rPr>
                <w:rFonts w:ascii="Wingdings" w:hAnsi="Wingdings"/>
                <w:sz w:val="18"/>
              </w:rPr>
              <w:t></w:t>
            </w:r>
          </w:p>
        </w:tc>
        <w:tc>
          <w:tcPr>
            <w:tcW w:w="1939"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71"/>
              <w:ind w:left="40"/>
              <w:jc w:val="center"/>
              <w:rPr>
                <w:rFonts w:ascii="Wingdings" w:hAnsi="Wingdings"/>
                <w:sz w:val="18"/>
              </w:rPr>
            </w:pPr>
            <w:r>
              <w:rPr>
                <w:rFonts w:ascii="Wingdings" w:hAnsi="Wingdings"/>
                <w:sz w:val="18"/>
              </w:rPr>
              <w:t></w:t>
            </w:r>
          </w:p>
        </w:tc>
        <w:tc>
          <w:tcPr>
            <w:tcW w:w="2112" w:type="dxa"/>
            <w:tcBorders>
              <w:top w:val="single" w:sz="4" w:space="0" w:color="000000"/>
              <w:left w:val="single" w:sz="4" w:space="0" w:color="000000"/>
              <w:bottom w:val="single" w:sz="4" w:space="0" w:color="000000"/>
              <w:right w:val="single" w:sz="4" w:space="0" w:color="000000"/>
            </w:tcBorders>
          </w:tcPr>
          <w:p>
            <w:pPr>
              <w:pStyle w:val="TableParagraph"/>
              <w:spacing w:before="25"/>
              <w:ind w:left="952"/>
              <w:rPr>
                <w:rFonts w:ascii="Wingdings" w:hAnsi="Wingdings"/>
                <w:sz w:val="22"/>
              </w:rPr>
            </w:pPr>
            <w:r>
              <w:rPr>
                <w:rFonts w:ascii="Wingdings" w:hAnsi="Wingdings"/>
                <w:w w:val="100"/>
                <w:sz w:val="22"/>
              </w:rPr>
              <w:t></w:t>
            </w:r>
          </w:p>
        </w:tc>
      </w:tr>
      <w:tr>
        <w:trPr>
          <w:trHeight w:val="289" w:hRule="atLeast"/>
        </w:trPr>
        <w:tc>
          <w:tcPr>
            <w:tcW w:w="1620" w:type="dxa"/>
            <w:tcBorders>
              <w:top w:val="single" w:sz="4" w:space="0" w:color="000000"/>
              <w:left w:val="single" w:sz="4" w:space="0" w:color="000000"/>
              <w:bottom w:val="single" w:sz="4" w:space="0" w:color="000000"/>
              <w:right w:val="single" w:sz="4" w:space="0" w:color="000000"/>
            </w:tcBorders>
          </w:tcPr>
          <w:p>
            <w:pPr>
              <w:pStyle w:val="TableParagraph"/>
              <w:spacing w:before="61"/>
              <w:ind w:left="122"/>
              <w:rPr>
                <w:b/>
                <w:sz w:val="18"/>
              </w:rPr>
            </w:pPr>
            <w:r>
              <w:rPr>
                <w:b/>
                <w:sz w:val="18"/>
              </w:rPr>
              <w:t>12.01.22</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70"/>
              <w:ind w:left="42"/>
              <w:jc w:val="center"/>
              <w:rPr>
                <w:rFonts w:ascii="Wingdings" w:hAnsi="Wingdings"/>
                <w:sz w:val="18"/>
              </w:rPr>
            </w:pPr>
            <w:r>
              <w:rPr>
                <w:rFonts w:ascii="Wingdings" w:hAnsi="Wingdings"/>
                <w:sz w:val="18"/>
              </w:rPr>
              <w:t></w:t>
            </w:r>
          </w:p>
        </w:tc>
        <w:tc>
          <w:tcPr>
            <w:tcW w:w="1939"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70"/>
              <w:ind w:left="40"/>
              <w:jc w:val="center"/>
              <w:rPr>
                <w:rFonts w:ascii="Wingdings" w:hAnsi="Wingdings"/>
                <w:sz w:val="18"/>
              </w:rPr>
            </w:pPr>
            <w:r>
              <w:rPr>
                <w:rFonts w:ascii="Wingdings" w:hAnsi="Wingdings"/>
                <w:sz w:val="18"/>
              </w:rPr>
              <w:t></w:t>
            </w:r>
          </w:p>
        </w:tc>
        <w:tc>
          <w:tcPr>
            <w:tcW w:w="2112"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70"/>
              <w:ind w:left="998"/>
              <w:rPr>
                <w:rFonts w:ascii="Wingdings" w:hAnsi="Wingdings"/>
                <w:sz w:val="18"/>
              </w:rPr>
            </w:pPr>
            <w:r>
              <w:rPr>
                <w:rFonts w:ascii="Wingdings" w:hAnsi="Wingdings"/>
                <w:sz w:val="18"/>
              </w:rPr>
              <w:t></w:t>
            </w:r>
          </w:p>
        </w:tc>
      </w:tr>
      <w:tr>
        <w:trPr>
          <w:trHeight w:val="287" w:hRule="atLeast"/>
        </w:trPr>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before="61"/>
              <w:ind w:left="122"/>
              <w:rPr>
                <w:b/>
                <w:sz w:val="18"/>
              </w:rPr>
            </w:pPr>
            <w:r>
              <w:rPr>
                <w:b/>
                <w:sz w:val="18"/>
              </w:rPr>
              <w:t>02.03.22</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spacing w:line="197" w:lineRule="exact" w:before="70"/>
              <w:ind w:left="42"/>
              <w:jc w:val="center"/>
              <w:rPr>
                <w:rFonts w:ascii="Wingdings" w:hAnsi="Wingdings"/>
                <w:sz w:val="18"/>
              </w:rPr>
            </w:pPr>
            <w:r>
              <w:rPr>
                <w:rFonts w:ascii="Wingdings" w:hAnsi="Wingdings"/>
                <w:sz w:val="18"/>
              </w:rPr>
              <w:t></w:t>
            </w:r>
          </w:p>
        </w:tc>
        <w:tc>
          <w:tcPr>
            <w:tcW w:w="1939" w:type="dxa"/>
            <w:tcBorders>
              <w:top w:val="single" w:sz="4" w:space="0" w:color="000000"/>
              <w:left w:val="single" w:sz="4" w:space="0" w:color="000000"/>
              <w:bottom w:val="single" w:sz="4" w:space="0" w:color="000000"/>
              <w:right w:val="single" w:sz="4" w:space="0" w:color="000000"/>
            </w:tcBorders>
          </w:tcPr>
          <w:p>
            <w:pPr>
              <w:pStyle w:val="TableParagraph"/>
              <w:spacing w:line="197" w:lineRule="exact" w:before="70"/>
              <w:ind w:left="40"/>
              <w:jc w:val="center"/>
              <w:rPr>
                <w:rFonts w:ascii="Wingdings" w:hAnsi="Wingdings"/>
                <w:sz w:val="18"/>
              </w:rPr>
            </w:pPr>
            <w:r>
              <w:rPr>
                <w:rFonts w:ascii="Wingdings" w:hAnsi="Wingdings"/>
                <w:sz w:val="18"/>
              </w:rPr>
              <w:t></w:t>
            </w:r>
          </w:p>
        </w:tc>
        <w:tc>
          <w:tcPr>
            <w:tcW w:w="2112" w:type="dxa"/>
            <w:tcBorders>
              <w:top w:val="single" w:sz="4" w:space="0" w:color="000000"/>
              <w:left w:val="single" w:sz="4" w:space="0" w:color="000000"/>
              <w:bottom w:val="single" w:sz="4" w:space="0" w:color="000000"/>
              <w:right w:val="single" w:sz="4" w:space="0" w:color="000000"/>
            </w:tcBorders>
          </w:tcPr>
          <w:p>
            <w:pPr>
              <w:pStyle w:val="TableParagraph"/>
              <w:spacing w:line="197" w:lineRule="exact" w:before="70"/>
              <w:ind w:left="998"/>
              <w:rPr>
                <w:rFonts w:ascii="Wingdings" w:hAnsi="Wingdings"/>
                <w:sz w:val="18"/>
              </w:rPr>
            </w:pPr>
            <w:r>
              <w:rPr>
                <w:rFonts w:ascii="Wingdings" w:hAnsi="Wingdings"/>
                <w:sz w:val="18"/>
              </w:rPr>
              <w:t></w:t>
            </w:r>
          </w:p>
        </w:tc>
      </w:tr>
    </w:tbl>
    <w:p>
      <w:pPr>
        <w:pStyle w:val="BodyText"/>
        <w:rPr>
          <w:b/>
          <w:sz w:val="24"/>
        </w:rPr>
      </w:pPr>
    </w:p>
    <w:p>
      <w:pPr>
        <w:pStyle w:val="BodyText"/>
        <w:rPr>
          <w:b/>
          <w:sz w:val="24"/>
        </w:rPr>
      </w:pPr>
    </w:p>
    <w:p>
      <w:pPr>
        <w:pStyle w:val="BodyText"/>
        <w:rPr>
          <w:b/>
          <w:sz w:val="24"/>
        </w:rPr>
      </w:pPr>
    </w:p>
    <w:p>
      <w:pPr>
        <w:pStyle w:val="BodyText"/>
        <w:spacing w:before="6"/>
        <w:rPr>
          <w:b/>
        </w:rPr>
      </w:pPr>
    </w:p>
    <w:p>
      <w:pPr>
        <w:spacing w:before="0"/>
        <w:ind w:left="208" w:right="0" w:firstLine="0"/>
        <w:jc w:val="left"/>
        <w:rPr>
          <w:b/>
          <w:sz w:val="22"/>
        </w:rPr>
      </w:pPr>
      <w:r>
        <w:rPr>
          <w:b/>
          <w:sz w:val="22"/>
          <w:u w:val="thick"/>
        </w:rPr>
        <w:t>Remuneration Committee 01.04.21 - 31.03.22</w:t>
      </w:r>
    </w:p>
    <w:p>
      <w:pPr>
        <w:pStyle w:val="BodyText"/>
        <w:spacing w:before="4"/>
        <w:rPr>
          <w:b/>
          <w:sz w:val="25"/>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481"/>
        <w:gridCol w:w="1481"/>
        <w:gridCol w:w="1481"/>
        <w:gridCol w:w="1740"/>
      </w:tblGrid>
      <w:tr>
        <w:trPr>
          <w:trHeight w:val="1979" w:hRule="atLeast"/>
        </w:trPr>
        <w:tc>
          <w:tcPr>
            <w:tcW w:w="1260" w:type="dxa"/>
            <w:shd w:val="clear" w:color="auto" w:fill="C5DFB4"/>
            <w:textDirection w:val="btLr"/>
          </w:tcPr>
          <w:p>
            <w:pPr>
              <w:pStyle w:val="TableParagraph"/>
              <w:rPr>
                <w:b/>
                <w:sz w:val="20"/>
              </w:rPr>
            </w:pPr>
          </w:p>
          <w:p>
            <w:pPr>
              <w:pStyle w:val="TableParagraph"/>
              <w:rPr>
                <w:b/>
                <w:sz w:val="20"/>
              </w:rPr>
            </w:pPr>
          </w:p>
          <w:p>
            <w:pPr>
              <w:pStyle w:val="TableParagraph"/>
              <w:rPr>
                <w:b/>
                <w:sz w:val="20"/>
              </w:rPr>
            </w:pPr>
          </w:p>
          <w:p>
            <w:pPr>
              <w:pStyle w:val="TableParagraph"/>
              <w:spacing w:before="9"/>
              <w:rPr>
                <w:b/>
                <w:sz w:val="24"/>
              </w:rPr>
            </w:pPr>
          </w:p>
          <w:p>
            <w:pPr>
              <w:pStyle w:val="TableParagraph"/>
              <w:spacing w:before="1"/>
              <w:ind w:left="263"/>
              <w:rPr>
                <w:b/>
                <w:sz w:val="18"/>
              </w:rPr>
            </w:pPr>
            <w:r>
              <w:rPr>
                <w:b/>
                <w:sz w:val="18"/>
              </w:rPr>
              <w:t>Date of meetings</w:t>
            </w:r>
          </w:p>
        </w:tc>
        <w:tc>
          <w:tcPr>
            <w:tcW w:w="1481" w:type="dxa"/>
            <w:shd w:val="clear" w:color="auto" w:fill="C5DFB4"/>
            <w:textDirection w:val="btLr"/>
          </w:tcPr>
          <w:p>
            <w:pPr>
              <w:pStyle w:val="TableParagraph"/>
              <w:rPr>
                <w:b/>
                <w:sz w:val="20"/>
              </w:rPr>
            </w:pPr>
          </w:p>
          <w:p>
            <w:pPr>
              <w:pStyle w:val="TableParagraph"/>
              <w:rPr>
                <w:b/>
                <w:sz w:val="20"/>
              </w:rPr>
            </w:pPr>
          </w:p>
          <w:p>
            <w:pPr>
              <w:pStyle w:val="TableParagraph"/>
              <w:rPr>
                <w:b/>
                <w:sz w:val="20"/>
              </w:rPr>
            </w:pPr>
          </w:p>
          <w:p>
            <w:pPr>
              <w:pStyle w:val="TableParagraph"/>
              <w:spacing w:before="5"/>
              <w:rPr>
                <w:b/>
                <w:sz w:val="25"/>
              </w:rPr>
            </w:pPr>
          </w:p>
          <w:p>
            <w:pPr>
              <w:pStyle w:val="TableParagraph"/>
              <w:spacing w:line="254" w:lineRule="auto"/>
              <w:ind w:left="162" w:right="146" w:firstLine="38"/>
              <w:rPr>
                <w:b/>
                <w:sz w:val="18"/>
              </w:rPr>
            </w:pPr>
            <w:r>
              <w:rPr>
                <w:b/>
                <w:sz w:val="18"/>
              </w:rPr>
              <w:t>Janice Keilthy Lay Member PPI - Chair</w:t>
            </w:r>
          </w:p>
        </w:tc>
        <w:tc>
          <w:tcPr>
            <w:tcW w:w="1481" w:type="dxa"/>
            <w:shd w:val="clear" w:color="auto" w:fill="C5DFB4"/>
            <w:textDirection w:val="btLr"/>
          </w:tcPr>
          <w:p>
            <w:pPr>
              <w:pStyle w:val="TableParagraph"/>
              <w:rPr>
                <w:b/>
                <w:sz w:val="20"/>
              </w:rPr>
            </w:pPr>
          </w:p>
          <w:p>
            <w:pPr>
              <w:pStyle w:val="TableParagraph"/>
              <w:rPr>
                <w:b/>
                <w:sz w:val="20"/>
              </w:rPr>
            </w:pPr>
          </w:p>
          <w:p>
            <w:pPr>
              <w:pStyle w:val="TableParagraph"/>
              <w:rPr>
                <w:b/>
                <w:sz w:val="20"/>
              </w:rPr>
            </w:pPr>
          </w:p>
          <w:p>
            <w:pPr>
              <w:pStyle w:val="TableParagraph"/>
              <w:spacing w:before="5"/>
              <w:rPr>
                <w:b/>
                <w:sz w:val="25"/>
              </w:rPr>
            </w:pPr>
          </w:p>
          <w:p>
            <w:pPr>
              <w:pStyle w:val="TableParagraph"/>
              <w:spacing w:line="249" w:lineRule="auto"/>
              <w:ind w:left="758" w:right="54" w:hanging="694"/>
              <w:rPr>
                <w:b/>
                <w:sz w:val="18"/>
              </w:rPr>
            </w:pPr>
            <w:r>
              <w:rPr>
                <w:b/>
                <w:sz w:val="18"/>
              </w:rPr>
              <w:t>Dr Salim Modin - Vice Chair</w:t>
            </w:r>
          </w:p>
        </w:tc>
        <w:tc>
          <w:tcPr>
            <w:tcW w:w="1481" w:type="dxa"/>
            <w:shd w:val="clear" w:color="auto" w:fill="C5DFB4"/>
            <w:textDirection w:val="btLr"/>
          </w:tcPr>
          <w:p>
            <w:pPr>
              <w:pStyle w:val="TableParagraph"/>
              <w:rPr>
                <w:b/>
                <w:sz w:val="20"/>
              </w:rPr>
            </w:pPr>
          </w:p>
          <w:p>
            <w:pPr>
              <w:pStyle w:val="TableParagraph"/>
              <w:rPr>
                <w:b/>
                <w:sz w:val="20"/>
              </w:rPr>
            </w:pPr>
          </w:p>
          <w:p>
            <w:pPr>
              <w:pStyle w:val="TableParagraph"/>
              <w:rPr>
                <w:b/>
                <w:sz w:val="20"/>
              </w:rPr>
            </w:pPr>
          </w:p>
          <w:p>
            <w:pPr>
              <w:pStyle w:val="TableParagraph"/>
              <w:spacing w:before="2"/>
              <w:rPr>
                <w:b/>
                <w:sz w:val="25"/>
              </w:rPr>
            </w:pPr>
          </w:p>
          <w:p>
            <w:pPr>
              <w:pStyle w:val="TableParagraph"/>
              <w:spacing w:line="254" w:lineRule="auto"/>
              <w:ind w:left="98" w:right="80" w:firstLine="38"/>
              <w:rPr>
                <w:b/>
                <w:sz w:val="18"/>
              </w:rPr>
            </w:pPr>
            <w:r>
              <w:rPr>
                <w:b/>
                <w:sz w:val="18"/>
              </w:rPr>
              <w:t>Erika Stoddart - Lay Member Governance</w:t>
            </w:r>
          </w:p>
        </w:tc>
        <w:tc>
          <w:tcPr>
            <w:tcW w:w="1740" w:type="dxa"/>
            <w:shd w:val="clear" w:color="auto" w:fill="C5DFB4"/>
            <w:textDirection w:val="btLr"/>
          </w:tcPr>
          <w:p>
            <w:pPr>
              <w:pStyle w:val="TableParagraph"/>
              <w:rPr>
                <w:b/>
                <w:sz w:val="20"/>
              </w:rPr>
            </w:pPr>
          </w:p>
          <w:p>
            <w:pPr>
              <w:pStyle w:val="TableParagraph"/>
              <w:rPr>
                <w:b/>
                <w:sz w:val="20"/>
              </w:rPr>
            </w:pPr>
          </w:p>
          <w:p>
            <w:pPr>
              <w:pStyle w:val="TableParagraph"/>
              <w:rPr>
                <w:b/>
                <w:sz w:val="20"/>
              </w:rPr>
            </w:pPr>
          </w:p>
          <w:p>
            <w:pPr>
              <w:pStyle w:val="TableParagraph"/>
              <w:spacing w:before="6"/>
              <w:rPr>
                <w:b/>
                <w:sz w:val="29"/>
              </w:rPr>
            </w:pPr>
          </w:p>
          <w:p>
            <w:pPr>
              <w:pStyle w:val="TableParagraph"/>
              <w:spacing w:line="254" w:lineRule="auto" w:before="1"/>
              <w:ind w:left="38" w:right="36"/>
              <w:jc w:val="center"/>
              <w:rPr>
                <w:b/>
                <w:sz w:val="18"/>
              </w:rPr>
            </w:pPr>
            <w:r>
              <w:rPr>
                <w:b/>
                <w:sz w:val="18"/>
              </w:rPr>
              <w:t>Heather McSharry Lay Member Equality &amp; Inclusion</w:t>
            </w:r>
          </w:p>
        </w:tc>
      </w:tr>
      <w:tr>
        <w:trPr>
          <w:trHeight w:val="290" w:hRule="atLeast"/>
        </w:trPr>
        <w:tc>
          <w:tcPr>
            <w:tcW w:w="1260" w:type="dxa"/>
          </w:tcPr>
          <w:p>
            <w:pPr>
              <w:pStyle w:val="TableParagraph"/>
              <w:spacing w:line="206" w:lineRule="exact" w:before="63"/>
              <w:ind w:left="112"/>
              <w:rPr>
                <w:b/>
                <w:sz w:val="18"/>
              </w:rPr>
            </w:pPr>
            <w:r>
              <w:rPr>
                <w:b/>
                <w:sz w:val="18"/>
              </w:rPr>
              <w:t>27.01.21</w:t>
            </w:r>
          </w:p>
        </w:tc>
        <w:tc>
          <w:tcPr>
            <w:tcW w:w="1481" w:type="dxa"/>
          </w:tcPr>
          <w:p>
            <w:pPr>
              <w:pStyle w:val="TableParagraph"/>
              <w:spacing w:line="197" w:lineRule="exact" w:before="73"/>
              <w:ind w:left="18"/>
              <w:jc w:val="center"/>
              <w:rPr>
                <w:rFonts w:ascii="Wingdings" w:hAnsi="Wingdings"/>
                <w:sz w:val="18"/>
              </w:rPr>
            </w:pPr>
            <w:r>
              <w:rPr>
                <w:rFonts w:ascii="Wingdings" w:hAnsi="Wingdings"/>
                <w:sz w:val="18"/>
              </w:rPr>
              <w:t></w:t>
            </w:r>
          </w:p>
        </w:tc>
        <w:tc>
          <w:tcPr>
            <w:tcW w:w="1481" w:type="dxa"/>
          </w:tcPr>
          <w:p>
            <w:pPr>
              <w:pStyle w:val="TableParagraph"/>
              <w:spacing w:line="197" w:lineRule="exact" w:before="73"/>
              <w:ind w:right="655"/>
              <w:jc w:val="right"/>
              <w:rPr>
                <w:rFonts w:ascii="Wingdings" w:hAnsi="Wingdings"/>
                <w:sz w:val="18"/>
              </w:rPr>
            </w:pPr>
            <w:r>
              <w:rPr>
                <w:rFonts w:ascii="Wingdings" w:hAnsi="Wingdings"/>
                <w:sz w:val="18"/>
              </w:rPr>
              <w:t></w:t>
            </w:r>
          </w:p>
        </w:tc>
        <w:tc>
          <w:tcPr>
            <w:tcW w:w="1481" w:type="dxa"/>
          </w:tcPr>
          <w:p>
            <w:pPr>
              <w:pStyle w:val="TableParagraph"/>
              <w:spacing w:line="197" w:lineRule="exact" w:before="73"/>
              <w:ind w:left="13"/>
              <w:jc w:val="center"/>
              <w:rPr>
                <w:rFonts w:ascii="Wingdings" w:hAnsi="Wingdings"/>
                <w:sz w:val="18"/>
              </w:rPr>
            </w:pPr>
            <w:r>
              <w:rPr>
                <w:rFonts w:ascii="Wingdings" w:hAnsi="Wingdings"/>
                <w:sz w:val="18"/>
              </w:rPr>
              <w:t></w:t>
            </w:r>
          </w:p>
        </w:tc>
        <w:tc>
          <w:tcPr>
            <w:tcW w:w="1740" w:type="dxa"/>
          </w:tcPr>
          <w:p>
            <w:pPr>
              <w:pStyle w:val="TableParagraph"/>
              <w:spacing w:line="197" w:lineRule="exact" w:before="73"/>
              <w:ind w:left="9"/>
              <w:jc w:val="center"/>
              <w:rPr>
                <w:rFonts w:ascii="Wingdings" w:hAnsi="Wingdings"/>
                <w:sz w:val="18"/>
              </w:rPr>
            </w:pPr>
            <w:r>
              <w:rPr>
                <w:rFonts w:ascii="Wingdings" w:hAnsi="Wingdings"/>
                <w:sz w:val="18"/>
              </w:rPr>
              <w:t></w:t>
            </w:r>
          </w:p>
        </w:tc>
      </w:tr>
      <w:tr>
        <w:trPr>
          <w:trHeight w:val="290" w:hRule="atLeast"/>
        </w:trPr>
        <w:tc>
          <w:tcPr>
            <w:tcW w:w="1260" w:type="dxa"/>
          </w:tcPr>
          <w:p>
            <w:pPr>
              <w:pStyle w:val="TableParagraph"/>
              <w:spacing w:before="61"/>
              <w:ind w:left="112"/>
              <w:rPr>
                <w:b/>
                <w:sz w:val="18"/>
              </w:rPr>
            </w:pPr>
            <w:r>
              <w:rPr>
                <w:b/>
                <w:sz w:val="18"/>
              </w:rPr>
              <w:t>26.05.21</w:t>
            </w:r>
          </w:p>
        </w:tc>
        <w:tc>
          <w:tcPr>
            <w:tcW w:w="1481" w:type="dxa"/>
          </w:tcPr>
          <w:p>
            <w:pPr>
              <w:pStyle w:val="TableParagraph"/>
              <w:spacing w:line="199" w:lineRule="exact" w:before="70"/>
              <w:ind w:left="18"/>
              <w:jc w:val="center"/>
              <w:rPr>
                <w:rFonts w:ascii="Wingdings" w:hAnsi="Wingdings"/>
                <w:sz w:val="18"/>
              </w:rPr>
            </w:pPr>
            <w:r>
              <w:rPr>
                <w:rFonts w:ascii="Wingdings" w:hAnsi="Wingdings"/>
                <w:sz w:val="18"/>
              </w:rPr>
              <w:t></w:t>
            </w:r>
          </w:p>
        </w:tc>
        <w:tc>
          <w:tcPr>
            <w:tcW w:w="1481" w:type="dxa"/>
          </w:tcPr>
          <w:p>
            <w:pPr>
              <w:pStyle w:val="TableParagraph"/>
              <w:spacing w:line="199" w:lineRule="exact" w:before="70"/>
              <w:ind w:right="655"/>
              <w:jc w:val="right"/>
              <w:rPr>
                <w:rFonts w:ascii="Wingdings" w:hAnsi="Wingdings"/>
                <w:sz w:val="18"/>
              </w:rPr>
            </w:pPr>
            <w:r>
              <w:rPr>
                <w:rFonts w:ascii="Wingdings" w:hAnsi="Wingdings"/>
                <w:sz w:val="18"/>
              </w:rPr>
              <w:t></w:t>
            </w:r>
          </w:p>
        </w:tc>
        <w:tc>
          <w:tcPr>
            <w:tcW w:w="1481" w:type="dxa"/>
          </w:tcPr>
          <w:p>
            <w:pPr>
              <w:pStyle w:val="TableParagraph"/>
              <w:spacing w:line="199" w:lineRule="exact" w:before="70"/>
              <w:ind w:left="13"/>
              <w:jc w:val="center"/>
              <w:rPr>
                <w:rFonts w:ascii="Wingdings" w:hAnsi="Wingdings"/>
                <w:sz w:val="18"/>
              </w:rPr>
            </w:pPr>
            <w:r>
              <w:rPr>
                <w:rFonts w:ascii="Wingdings" w:hAnsi="Wingdings"/>
                <w:sz w:val="18"/>
              </w:rPr>
              <w:t></w:t>
            </w:r>
          </w:p>
        </w:tc>
        <w:tc>
          <w:tcPr>
            <w:tcW w:w="1740" w:type="dxa"/>
          </w:tcPr>
          <w:p>
            <w:pPr>
              <w:pStyle w:val="TableParagraph"/>
              <w:spacing w:line="199" w:lineRule="exact" w:before="70"/>
              <w:ind w:left="13"/>
              <w:jc w:val="center"/>
              <w:rPr>
                <w:rFonts w:ascii="Wingdings" w:hAnsi="Wingdings"/>
                <w:sz w:val="18"/>
              </w:rPr>
            </w:pPr>
            <w:r>
              <w:rPr>
                <w:rFonts w:ascii="Wingdings" w:hAnsi="Wingdings"/>
                <w:sz w:val="18"/>
              </w:rPr>
              <w:t></w:t>
            </w:r>
          </w:p>
        </w:tc>
      </w:tr>
      <w:tr>
        <w:trPr>
          <w:trHeight w:val="289" w:hRule="atLeast"/>
        </w:trPr>
        <w:tc>
          <w:tcPr>
            <w:tcW w:w="1260" w:type="dxa"/>
          </w:tcPr>
          <w:p>
            <w:pPr>
              <w:pStyle w:val="TableParagraph"/>
              <w:spacing w:before="61"/>
              <w:ind w:left="112"/>
              <w:rPr>
                <w:b/>
                <w:sz w:val="18"/>
              </w:rPr>
            </w:pPr>
            <w:r>
              <w:rPr>
                <w:b/>
                <w:sz w:val="18"/>
              </w:rPr>
              <w:t>27.02.22</w:t>
            </w:r>
          </w:p>
        </w:tc>
        <w:tc>
          <w:tcPr>
            <w:tcW w:w="1481" w:type="dxa"/>
          </w:tcPr>
          <w:p>
            <w:pPr>
              <w:pStyle w:val="TableParagraph"/>
              <w:spacing w:line="199" w:lineRule="exact" w:before="70"/>
              <w:ind w:left="18"/>
              <w:jc w:val="center"/>
              <w:rPr>
                <w:rFonts w:ascii="Wingdings" w:hAnsi="Wingdings"/>
                <w:sz w:val="18"/>
              </w:rPr>
            </w:pPr>
            <w:r>
              <w:rPr>
                <w:rFonts w:ascii="Wingdings" w:hAnsi="Wingdings"/>
                <w:sz w:val="18"/>
              </w:rPr>
              <w:t></w:t>
            </w:r>
          </w:p>
        </w:tc>
        <w:tc>
          <w:tcPr>
            <w:tcW w:w="1481" w:type="dxa"/>
          </w:tcPr>
          <w:p>
            <w:pPr>
              <w:pStyle w:val="TableParagraph"/>
              <w:spacing w:line="199" w:lineRule="exact" w:before="70"/>
              <w:ind w:right="655"/>
              <w:jc w:val="right"/>
              <w:rPr>
                <w:rFonts w:ascii="Wingdings" w:hAnsi="Wingdings"/>
                <w:sz w:val="18"/>
              </w:rPr>
            </w:pPr>
            <w:r>
              <w:rPr>
                <w:rFonts w:ascii="Wingdings" w:hAnsi="Wingdings"/>
                <w:sz w:val="18"/>
              </w:rPr>
              <w:t></w:t>
            </w:r>
          </w:p>
        </w:tc>
        <w:tc>
          <w:tcPr>
            <w:tcW w:w="1481" w:type="dxa"/>
          </w:tcPr>
          <w:p>
            <w:pPr>
              <w:pStyle w:val="TableParagraph"/>
              <w:spacing w:line="199" w:lineRule="exact" w:before="70"/>
              <w:ind w:left="13"/>
              <w:jc w:val="center"/>
              <w:rPr>
                <w:rFonts w:ascii="Wingdings" w:hAnsi="Wingdings"/>
                <w:sz w:val="18"/>
              </w:rPr>
            </w:pPr>
            <w:r>
              <w:rPr>
                <w:rFonts w:ascii="Wingdings" w:hAnsi="Wingdings"/>
                <w:sz w:val="18"/>
              </w:rPr>
              <w:t></w:t>
            </w:r>
          </w:p>
        </w:tc>
        <w:tc>
          <w:tcPr>
            <w:tcW w:w="1740" w:type="dxa"/>
          </w:tcPr>
          <w:p>
            <w:pPr>
              <w:pStyle w:val="TableParagraph"/>
              <w:spacing w:line="199" w:lineRule="exact" w:before="70"/>
              <w:ind w:left="13"/>
              <w:jc w:val="center"/>
              <w:rPr>
                <w:rFonts w:ascii="Wingdings" w:hAnsi="Wingdings"/>
                <w:sz w:val="18"/>
              </w:rPr>
            </w:pPr>
            <w:r>
              <w:rPr>
                <w:rFonts w:ascii="Wingdings" w:hAnsi="Wingdings"/>
                <w:sz w:val="18"/>
              </w:rPr>
              <w:t></w:t>
            </w:r>
          </w:p>
        </w:tc>
      </w:tr>
    </w:tbl>
    <w:p>
      <w:pPr>
        <w:spacing w:after="0" w:line="199" w:lineRule="exact"/>
        <w:jc w:val="center"/>
        <w:rPr>
          <w:rFonts w:ascii="Wingdings" w:hAnsi="Wingdings"/>
          <w:sz w:val="18"/>
        </w:rPr>
        <w:sectPr>
          <w:footerReference w:type="default" r:id="rId36"/>
          <w:pgSz w:w="11920" w:h="16850"/>
          <w:pgMar w:footer="443" w:header="0" w:top="1360" w:bottom="640" w:left="1340" w:right="1060"/>
          <w:pgNumType w:start="87"/>
        </w:sectPr>
      </w:pPr>
    </w:p>
    <w:p>
      <w:pPr>
        <w:spacing w:before="77"/>
        <w:ind w:left="100" w:right="0" w:firstLine="0"/>
        <w:jc w:val="left"/>
        <w:rPr>
          <w:b/>
          <w:sz w:val="40"/>
        </w:rPr>
      </w:pPr>
      <w:r>
        <w:rPr>
          <w:b/>
          <w:sz w:val="40"/>
        </w:rPr>
        <w:t>Remuneration and Staff Report</w:t>
      </w:r>
    </w:p>
    <w:p>
      <w:pPr>
        <w:pStyle w:val="BodyText"/>
        <w:spacing w:before="5"/>
        <w:rPr>
          <w:b/>
          <w:sz w:val="37"/>
        </w:rPr>
      </w:pPr>
    </w:p>
    <w:p>
      <w:pPr>
        <w:spacing w:before="0"/>
        <w:ind w:left="100" w:right="0" w:firstLine="0"/>
        <w:jc w:val="left"/>
        <w:rPr>
          <w:b/>
          <w:sz w:val="28"/>
        </w:rPr>
      </w:pPr>
      <w:r>
        <w:rPr>
          <w:b/>
          <w:sz w:val="28"/>
        </w:rPr>
        <w:t>Remuneration Report</w:t>
      </w:r>
    </w:p>
    <w:p>
      <w:pPr>
        <w:pStyle w:val="BodyText"/>
        <w:spacing w:before="4"/>
        <w:rPr>
          <w:b/>
          <w:sz w:val="31"/>
        </w:rPr>
      </w:pPr>
    </w:p>
    <w:p>
      <w:pPr>
        <w:spacing w:before="0"/>
        <w:ind w:left="100" w:right="0" w:firstLine="0"/>
        <w:jc w:val="left"/>
        <w:rPr>
          <w:b/>
          <w:sz w:val="22"/>
        </w:rPr>
      </w:pPr>
      <w:r>
        <w:rPr>
          <w:b/>
          <w:sz w:val="22"/>
        </w:rPr>
        <w:t>Remuneration Committee</w:t>
      </w:r>
    </w:p>
    <w:p>
      <w:pPr>
        <w:pStyle w:val="BodyText"/>
        <w:spacing w:before="4"/>
        <w:rPr>
          <w:b/>
          <w:sz w:val="28"/>
        </w:rPr>
      </w:pPr>
    </w:p>
    <w:p>
      <w:pPr>
        <w:spacing w:before="0"/>
        <w:ind w:left="100" w:right="0" w:firstLine="0"/>
        <w:jc w:val="left"/>
        <w:rPr>
          <w:b/>
          <w:sz w:val="22"/>
        </w:rPr>
      </w:pPr>
      <w:r>
        <w:rPr>
          <w:b/>
          <w:color w:val="4F81BB"/>
          <w:sz w:val="22"/>
        </w:rPr>
        <w:t>Policy on the remuneration of senior managers</w:t>
      </w:r>
    </w:p>
    <w:p>
      <w:pPr>
        <w:pStyle w:val="BodyText"/>
        <w:spacing w:line="242" w:lineRule="auto" w:before="128"/>
        <w:ind w:left="100" w:right="94"/>
      </w:pPr>
      <w:r>
        <w:rPr/>
        <w:t>In determining the remuneration for Very Senior Manager (VSM) posts, the CCG consider the principles of national guidance, where available, as well as finding from local benchmarking and other external factors e.g. NHS Pay Review Body pay circulars and local organisational context.</w:t>
      </w:r>
    </w:p>
    <w:p>
      <w:pPr>
        <w:pStyle w:val="BodyText"/>
        <w:spacing w:line="244" w:lineRule="auto" w:before="191"/>
        <w:ind w:left="100" w:right="204"/>
      </w:pPr>
      <w:r>
        <w:rPr/>
        <w:t>As advised by the Chief People Officer for the NHS in September 2021, the CCG did not make any consolidated pay awards to VMSs in 2021/22.</w:t>
      </w:r>
    </w:p>
    <w:p>
      <w:pPr>
        <w:pStyle w:val="BodyText"/>
        <w:spacing w:before="190"/>
        <w:ind w:left="100" w:right="620"/>
      </w:pPr>
      <w:r>
        <w:rPr/>
        <w:t>The advice received in September 2021 included a caveat that the CCG’s Remuneration Committee may use its discretion to consider awarding non-consolidated performance pay awards. The CCG is yet to determine such awards.</w:t>
      </w:r>
    </w:p>
    <w:p>
      <w:pPr>
        <w:pStyle w:val="BodyText"/>
        <w:spacing w:before="198"/>
        <w:ind w:left="100" w:right="729"/>
      </w:pPr>
      <w:r>
        <w:rPr/>
        <w:t>Non-consolidated performance pay awards were made for 2020/2021 during 201/22. The awards varied between 3% and 5% of the individual VSM’s basic pay.</w:t>
      </w:r>
    </w:p>
    <w:p>
      <w:pPr>
        <w:pStyle w:val="BodyText"/>
        <w:rPr>
          <w:sz w:val="24"/>
        </w:rPr>
      </w:pPr>
    </w:p>
    <w:p>
      <w:pPr>
        <w:pStyle w:val="BodyText"/>
        <w:rPr>
          <w:sz w:val="26"/>
        </w:rPr>
      </w:pPr>
    </w:p>
    <w:p>
      <w:pPr>
        <w:pStyle w:val="Heading6"/>
        <w:ind w:left="100"/>
      </w:pPr>
      <w:bookmarkStart w:name="Remuneration of Very Senior Managers" w:id="159"/>
      <w:bookmarkEnd w:id="159"/>
      <w:r>
        <w:rPr>
          <w:b w:val="0"/>
        </w:rPr>
      </w:r>
      <w:r>
        <w:rPr>
          <w:color w:val="4F81BB"/>
        </w:rPr>
        <w:t>Remuneration of Very Senior Managers</w:t>
      </w:r>
    </w:p>
    <w:p>
      <w:pPr>
        <w:spacing w:after="0"/>
        <w:sectPr>
          <w:pgSz w:w="11920" w:h="16850"/>
          <w:pgMar w:header="0" w:footer="443" w:top="1320" w:bottom="640" w:left="1340" w:right="1060"/>
        </w:sectPr>
      </w:pPr>
    </w:p>
    <w:p>
      <w:pPr>
        <w:pStyle w:val="BodyText"/>
        <w:spacing w:before="11"/>
        <w:rPr>
          <w:b/>
          <w:sz w:val="19"/>
        </w:rPr>
      </w:pPr>
    </w:p>
    <w:p>
      <w:pPr>
        <w:spacing w:before="92"/>
        <w:ind w:left="113" w:right="0" w:firstLine="0"/>
        <w:jc w:val="left"/>
        <w:rPr>
          <w:b/>
          <w:sz w:val="24"/>
        </w:rPr>
      </w:pPr>
      <w:r>
        <w:rPr>
          <w:b/>
          <w:sz w:val="24"/>
        </w:rPr>
        <w:t>Senior manager remuneration (including salary and pension entitlements) (Subject to Audit)</w:t>
      </w:r>
    </w:p>
    <w:p>
      <w:pPr>
        <w:pStyle w:val="BodyText"/>
        <w:spacing w:before="7"/>
        <w:rPr>
          <w:b/>
          <w:sz w:val="29"/>
        </w:rPr>
      </w:pPr>
      <w:r>
        <w:rPr/>
        <w:drawing>
          <wp:anchor distT="0" distB="0" distL="0" distR="0" allowOverlap="1" layoutInCell="1" locked="0" behindDoc="0" simplePos="0" relativeHeight="22">
            <wp:simplePos x="0" y="0"/>
            <wp:positionH relativeFrom="page">
              <wp:posOffset>725805</wp:posOffset>
            </wp:positionH>
            <wp:positionV relativeFrom="paragraph">
              <wp:posOffset>241174</wp:posOffset>
            </wp:positionV>
            <wp:extent cx="8348375" cy="4734687"/>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38" cstate="print"/>
                    <a:stretch>
                      <a:fillRect/>
                    </a:stretch>
                  </pic:blipFill>
                  <pic:spPr>
                    <a:xfrm>
                      <a:off x="0" y="0"/>
                      <a:ext cx="8348375" cy="4734687"/>
                    </a:xfrm>
                    <a:prstGeom prst="rect">
                      <a:avLst/>
                    </a:prstGeom>
                  </pic:spPr>
                </pic:pic>
              </a:graphicData>
            </a:graphic>
          </wp:anchor>
        </w:drawing>
      </w:r>
    </w:p>
    <w:p>
      <w:pPr>
        <w:pStyle w:val="BodyText"/>
        <w:spacing w:before="2"/>
        <w:rPr>
          <w:b/>
          <w:sz w:val="24"/>
        </w:rPr>
      </w:pPr>
    </w:p>
    <w:p>
      <w:pPr>
        <w:spacing w:before="1"/>
        <w:ind w:left="180" w:right="0" w:firstLine="0"/>
        <w:jc w:val="left"/>
        <w:rPr>
          <w:i/>
          <w:sz w:val="20"/>
        </w:rPr>
      </w:pPr>
      <w:r>
        <w:rPr>
          <w:b/>
          <w:sz w:val="24"/>
        </w:rPr>
        <w:t>**</w:t>
      </w:r>
      <w:r>
        <w:rPr>
          <w:i/>
          <w:sz w:val="20"/>
        </w:rPr>
        <w:t>Note: Taxable expenses and benefits in kind are expressed to the nearest £100.</w:t>
      </w:r>
    </w:p>
    <w:p>
      <w:pPr>
        <w:spacing w:after="0"/>
        <w:jc w:val="left"/>
        <w:rPr>
          <w:sz w:val="20"/>
        </w:rPr>
        <w:sectPr>
          <w:footerReference w:type="default" r:id="rId37"/>
          <w:pgSz w:w="16850" w:h="11920" w:orient="landscape"/>
          <w:pgMar w:footer="365" w:header="0" w:top="1100" w:bottom="560" w:left="880" w:right="1020"/>
          <w:pgNumType w:start="89"/>
        </w:sectPr>
      </w:pPr>
    </w:p>
    <w:p>
      <w:pPr>
        <w:pStyle w:val="BodyText"/>
        <w:rPr>
          <w:i/>
          <w:sz w:val="28"/>
        </w:rPr>
      </w:pPr>
    </w:p>
    <w:p>
      <w:pPr>
        <w:pStyle w:val="BodyText"/>
        <w:ind w:left="113"/>
        <w:rPr>
          <w:sz w:val="20"/>
        </w:rPr>
      </w:pPr>
      <w:r>
        <w:rPr>
          <w:sz w:val="20"/>
        </w:rPr>
        <w:drawing>
          <wp:inline distT="0" distB="0" distL="0" distR="0">
            <wp:extent cx="8725733" cy="5256657"/>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39" cstate="print"/>
                    <a:stretch>
                      <a:fillRect/>
                    </a:stretch>
                  </pic:blipFill>
                  <pic:spPr>
                    <a:xfrm>
                      <a:off x="0" y="0"/>
                      <a:ext cx="8725733" cy="5256657"/>
                    </a:xfrm>
                    <a:prstGeom prst="rect">
                      <a:avLst/>
                    </a:prstGeom>
                  </pic:spPr>
                </pic:pic>
              </a:graphicData>
            </a:graphic>
          </wp:inline>
        </w:drawing>
      </w:r>
      <w:r>
        <w:rPr>
          <w:sz w:val="20"/>
        </w:rPr>
      </w:r>
    </w:p>
    <w:p>
      <w:pPr>
        <w:spacing w:after="0"/>
        <w:rPr>
          <w:sz w:val="20"/>
        </w:rPr>
        <w:sectPr>
          <w:pgSz w:w="16850" w:h="11920" w:orient="landscape"/>
          <w:pgMar w:header="0" w:footer="365" w:top="1100" w:bottom="560" w:left="880" w:right="1020"/>
        </w:sectPr>
      </w:pPr>
    </w:p>
    <w:p>
      <w:pPr>
        <w:pStyle w:val="BodyText"/>
        <w:spacing w:before="11"/>
        <w:rPr>
          <w:i/>
          <w:sz w:val="19"/>
        </w:rPr>
      </w:pPr>
    </w:p>
    <w:p>
      <w:pPr>
        <w:spacing w:before="92"/>
        <w:ind w:left="113" w:right="0" w:firstLine="0"/>
        <w:jc w:val="left"/>
        <w:rPr>
          <w:b/>
          <w:sz w:val="24"/>
        </w:rPr>
      </w:pPr>
      <w:r>
        <w:rPr>
          <w:b/>
          <w:sz w:val="24"/>
        </w:rPr>
        <w:t>Pension benefits as at 31 March 2022</w:t>
      </w:r>
    </w:p>
    <w:p>
      <w:pPr>
        <w:pStyle w:val="BodyText"/>
        <w:rPr>
          <w:b/>
          <w:sz w:val="20"/>
        </w:rPr>
      </w:pPr>
    </w:p>
    <w:p>
      <w:pPr>
        <w:pStyle w:val="BodyText"/>
        <w:rPr>
          <w:b/>
          <w:sz w:val="20"/>
        </w:rPr>
      </w:pPr>
    </w:p>
    <w:p>
      <w:pPr>
        <w:pStyle w:val="BodyText"/>
        <w:spacing w:before="7"/>
        <w:rPr>
          <w:b/>
          <w:sz w:val="13"/>
        </w:rPr>
      </w:pPr>
      <w:r>
        <w:rPr/>
        <w:drawing>
          <wp:anchor distT="0" distB="0" distL="0" distR="0" allowOverlap="1" layoutInCell="1" locked="0" behindDoc="0" simplePos="0" relativeHeight="23">
            <wp:simplePos x="0" y="0"/>
            <wp:positionH relativeFrom="page">
              <wp:posOffset>793750</wp:posOffset>
            </wp:positionH>
            <wp:positionV relativeFrom="paragraph">
              <wp:posOffset>124333</wp:posOffset>
            </wp:positionV>
            <wp:extent cx="9072846" cy="3784473"/>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40" cstate="print"/>
                    <a:stretch>
                      <a:fillRect/>
                    </a:stretch>
                  </pic:blipFill>
                  <pic:spPr>
                    <a:xfrm>
                      <a:off x="0" y="0"/>
                      <a:ext cx="9072846" cy="3784473"/>
                    </a:xfrm>
                    <a:prstGeom prst="rect">
                      <a:avLst/>
                    </a:prstGeom>
                  </pic:spPr>
                </pic:pic>
              </a:graphicData>
            </a:graphic>
          </wp:anchor>
        </w:drawing>
      </w:r>
    </w:p>
    <w:p>
      <w:pPr>
        <w:spacing w:after="0"/>
        <w:rPr>
          <w:sz w:val="13"/>
        </w:rPr>
        <w:sectPr>
          <w:pgSz w:w="16850" w:h="11920" w:orient="landscape"/>
          <w:pgMar w:header="0" w:footer="365" w:top="1100" w:bottom="560" w:left="880" w:right="1020"/>
        </w:sectPr>
      </w:pPr>
    </w:p>
    <w:p>
      <w:pPr>
        <w:spacing w:before="80"/>
        <w:ind w:left="120" w:right="0" w:firstLine="0"/>
        <w:jc w:val="left"/>
        <w:rPr>
          <w:b/>
          <w:sz w:val="24"/>
        </w:rPr>
      </w:pPr>
      <w:r>
        <w:rPr>
          <w:b/>
          <w:sz w:val="24"/>
        </w:rPr>
        <w:t>Cash equivalent transfer values</w:t>
      </w:r>
    </w:p>
    <w:p>
      <w:pPr>
        <w:pStyle w:val="Heading5"/>
        <w:spacing w:line="360" w:lineRule="auto" w:before="139"/>
        <w:ind w:right="402"/>
      </w:pPr>
      <w:bookmarkStart w:name="A cash equivalent transfer value (CETV) " w:id="160"/>
      <w:bookmarkEnd w:id="160"/>
      <w:r>
        <w:rPr/>
      </w:r>
      <w:r>
        <w:rPr/>
        <w:t>A cash equivalent transfer value (CETV) is the actuarially assessed capital value of the pension scheme benefits accrued by a member at a particular point in time. The benefits valued are the member’s accrued benefits and any contingent spouse’s (or other allowable beneficiary’s) pension payable from the scheme.</w:t>
      </w:r>
    </w:p>
    <w:p>
      <w:pPr>
        <w:spacing w:line="360" w:lineRule="auto" w:before="200"/>
        <w:ind w:left="120" w:right="481" w:firstLine="0"/>
        <w:jc w:val="left"/>
        <w:rPr>
          <w:sz w:val="24"/>
        </w:rPr>
      </w:pPr>
      <w:r>
        <w:rPr>
          <w:sz w:val="24"/>
        </w:rPr>
        <w:t>A CETV is a payment made by a pension scheme or arrangement to secure pension benefits in another pension scheme or arrangement when the member leaves a scheme and chooses to transfer the benefits accrued in their former scheme. The pension figures shown relate to the benefits that the individual has accrued as a consequence of their total membership of the pension scheme, not just their service in a senior capacity to which disclosure applies.</w:t>
      </w:r>
    </w:p>
    <w:p>
      <w:pPr>
        <w:spacing w:line="360" w:lineRule="auto" w:before="197"/>
        <w:ind w:left="120" w:right="467" w:firstLine="0"/>
        <w:jc w:val="left"/>
        <w:rPr>
          <w:sz w:val="24"/>
        </w:rPr>
      </w:pPr>
      <w:r>
        <w:rPr>
          <w:sz w:val="24"/>
        </w:rPr>
        <w:t>The CETV figures and the other pension details include the value of any pension benefits in another scheme or arrangement which the individual has transferred to the NHS pension scheme. They also include any additional pension benefit accrued to the member as a result of their purchasing additional years of pension service in the scheme at their own cost. CETVs are calculated within the guidelines and framework prescribed by the Institute and Faculty of Actuaries.</w:t>
      </w:r>
    </w:p>
    <w:p>
      <w:pPr>
        <w:pStyle w:val="Heading6"/>
        <w:spacing w:before="199"/>
        <w:ind w:left="120"/>
      </w:pPr>
      <w:bookmarkStart w:name="Real increase in CETV" w:id="161"/>
      <w:bookmarkEnd w:id="161"/>
      <w:r>
        <w:rPr>
          <w:b w:val="0"/>
        </w:rPr>
      </w:r>
      <w:r>
        <w:rPr/>
        <w:t>Real increase in CETV</w:t>
      </w:r>
    </w:p>
    <w:p>
      <w:pPr>
        <w:spacing w:line="360" w:lineRule="auto" w:before="129"/>
        <w:ind w:left="120" w:right="508" w:firstLine="0"/>
        <w:jc w:val="left"/>
        <w:rPr>
          <w:sz w:val="24"/>
        </w:rPr>
      </w:pPr>
      <w:r>
        <w:rPr>
          <w:sz w:val="24"/>
        </w:rPr>
        <w:t>This reflects the increase in CETV that is funded by the employer. It does not include the increase in accrued pension due to inflation or contributions paid by the employee (including the value of any benefits transferred from another scheme or arrangement).</w:t>
      </w:r>
    </w:p>
    <w:p>
      <w:pPr>
        <w:spacing w:before="198"/>
        <w:ind w:left="120" w:right="0" w:firstLine="0"/>
        <w:jc w:val="left"/>
        <w:rPr>
          <w:b/>
          <w:sz w:val="24"/>
        </w:rPr>
      </w:pPr>
      <w:r>
        <w:rPr>
          <w:b/>
          <w:sz w:val="24"/>
        </w:rPr>
        <w:t>Compensation on early retirement of for loss of office (Subject to Audit)</w:t>
      </w:r>
    </w:p>
    <w:p>
      <w:pPr>
        <w:pStyle w:val="BodyText"/>
        <w:spacing w:before="8"/>
        <w:rPr>
          <w:b/>
        </w:rPr>
      </w:pPr>
    </w:p>
    <w:p>
      <w:pPr>
        <w:spacing w:line="360" w:lineRule="auto" w:before="1"/>
        <w:ind w:left="119" w:right="430" w:firstLine="0"/>
        <w:jc w:val="left"/>
        <w:rPr>
          <w:sz w:val="24"/>
        </w:rPr>
      </w:pPr>
      <w:r>
        <w:rPr>
          <w:sz w:val="24"/>
        </w:rPr>
        <w:t>The CCG made no payments in respect of early retirement or for loss of office in 2021- 22.</w:t>
      </w:r>
    </w:p>
    <w:p>
      <w:pPr>
        <w:spacing w:before="117"/>
        <w:ind w:left="119" w:right="0" w:firstLine="0"/>
        <w:jc w:val="left"/>
        <w:rPr>
          <w:b/>
          <w:sz w:val="24"/>
        </w:rPr>
      </w:pPr>
      <w:r>
        <w:rPr>
          <w:b/>
          <w:sz w:val="24"/>
        </w:rPr>
        <w:t>Payments to past directors (Subject to Audit)</w:t>
      </w:r>
    </w:p>
    <w:p>
      <w:pPr>
        <w:pStyle w:val="BodyText"/>
        <w:spacing w:before="4"/>
        <w:rPr>
          <w:b/>
        </w:rPr>
      </w:pPr>
    </w:p>
    <w:p>
      <w:pPr>
        <w:spacing w:before="0"/>
        <w:ind w:left="120" w:right="0" w:firstLine="0"/>
        <w:jc w:val="left"/>
        <w:rPr>
          <w:sz w:val="24"/>
        </w:rPr>
      </w:pPr>
      <w:r>
        <w:rPr>
          <w:sz w:val="24"/>
        </w:rPr>
        <w:t>The CCG made no payments to past members in 2021-22.</w:t>
      </w:r>
    </w:p>
    <w:p>
      <w:pPr>
        <w:pStyle w:val="BodyText"/>
        <w:rPr>
          <w:sz w:val="33"/>
        </w:rPr>
      </w:pPr>
    </w:p>
    <w:p>
      <w:pPr>
        <w:spacing w:before="0"/>
        <w:ind w:left="120" w:right="0" w:firstLine="0"/>
        <w:jc w:val="left"/>
        <w:rPr>
          <w:b/>
          <w:sz w:val="24"/>
        </w:rPr>
      </w:pPr>
      <w:r>
        <w:rPr>
          <w:b/>
          <w:sz w:val="24"/>
        </w:rPr>
        <w:t>Fair Pay Disclosure (Subject to Audit)</w:t>
      </w:r>
    </w:p>
    <w:p>
      <w:pPr>
        <w:pStyle w:val="BodyText"/>
        <w:spacing w:before="11"/>
        <w:rPr>
          <w:b/>
          <w:sz w:val="32"/>
        </w:rPr>
      </w:pPr>
    </w:p>
    <w:p>
      <w:pPr>
        <w:spacing w:line="360" w:lineRule="auto" w:before="0"/>
        <w:ind w:left="120" w:right="292" w:firstLine="0"/>
        <w:jc w:val="left"/>
        <w:rPr>
          <w:sz w:val="24"/>
        </w:rPr>
      </w:pPr>
      <w:r>
        <w:rPr>
          <w:sz w:val="24"/>
        </w:rPr>
        <w:t>The guidance for producing information relating to Pay Ratios has been fully revised to provide additional and new detail in 2021/22 and as such the 2020/21 values have been updated accordingly.</w:t>
      </w:r>
    </w:p>
    <w:p>
      <w:pPr>
        <w:spacing w:after="0" w:line="360" w:lineRule="auto"/>
        <w:jc w:val="left"/>
        <w:rPr>
          <w:sz w:val="24"/>
        </w:rPr>
        <w:sectPr>
          <w:footerReference w:type="default" r:id="rId41"/>
          <w:pgSz w:w="11920" w:h="16850"/>
          <w:pgMar w:footer="443" w:header="0" w:top="1520" w:bottom="640" w:left="1320" w:right="840"/>
          <w:pgNumType w:start="92"/>
        </w:sectPr>
      </w:pPr>
    </w:p>
    <w:p>
      <w:pPr>
        <w:spacing w:before="79"/>
        <w:ind w:left="120" w:right="0" w:firstLine="0"/>
        <w:jc w:val="left"/>
        <w:rPr>
          <w:b/>
          <w:sz w:val="24"/>
        </w:rPr>
      </w:pPr>
      <w:r>
        <w:rPr>
          <w:b/>
          <w:sz w:val="24"/>
        </w:rPr>
        <w:t>Percentage Change in Remuneration of Highest Paid Director</w:t>
      </w:r>
    </w:p>
    <w:p>
      <w:pPr>
        <w:pStyle w:val="BodyText"/>
        <w:rPr>
          <w:b/>
          <w:sz w:val="20"/>
        </w:rPr>
      </w:pPr>
    </w:p>
    <w:p>
      <w:pPr>
        <w:pStyle w:val="BodyText"/>
        <w:spacing w:before="8"/>
        <w:rPr>
          <w:b/>
          <w:sz w:val="12"/>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3"/>
        <w:gridCol w:w="2412"/>
        <w:gridCol w:w="2412"/>
      </w:tblGrid>
      <w:tr>
        <w:trPr>
          <w:trHeight w:val="510" w:hRule="atLeast"/>
        </w:trPr>
        <w:tc>
          <w:tcPr>
            <w:tcW w:w="4673" w:type="dxa"/>
          </w:tcPr>
          <w:p>
            <w:pPr>
              <w:pStyle w:val="TableParagraph"/>
              <w:rPr>
                <w:rFonts w:ascii="Times New Roman"/>
                <w:sz w:val="22"/>
              </w:rPr>
            </w:pPr>
          </w:p>
        </w:tc>
        <w:tc>
          <w:tcPr>
            <w:tcW w:w="2412" w:type="dxa"/>
          </w:tcPr>
          <w:p>
            <w:pPr>
              <w:pStyle w:val="TableParagraph"/>
              <w:spacing w:line="252" w:lineRule="exact" w:before="9"/>
              <w:ind w:left="112" w:right="1096"/>
              <w:rPr>
                <w:b/>
                <w:sz w:val="22"/>
              </w:rPr>
            </w:pPr>
            <w:r>
              <w:rPr>
                <w:b/>
                <w:sz w:val="22"/>
              </w:rPr>
              <w:t>Salary and allowances</w:t>
            </w:r>
          </w:p>
        </w:tc>
        <w:tc>
          <w:tcPr>
            <w:tcW w:w="2412" w:type="dxa"/>
          </w:tcPr>
          <w:p>
            <w:pPr>
              <w:pStyle w:val="TableParagraph"/>
              <w:spacing w:line="252" w:lineRule="exact" w:before="9"/>
              <w:ind w:left="112" w:right="484"/>
              <w:rPr>
                <w:b/>
                <w:sz w:val="22"/>
              </w:rPr>
            </w:pPr>
            <w:r>
              <w:rPr>
                <w:b/>
                <w:sz w:val="22"/>
              </w:rPr>
              <w:t>Performance pay and bonuses</w:t>
            </w:r>
          </w:p>
        </w:tc>
      </w:tr>
      <w:tr>
        <w:trPr>
          <w:trHeight w:val="760" w:hRule="atLeast"/>
        </w:trPr>
        <w:tc>
          <w:tcPr>
            <w:tcW w:w="4673" w:type="dxa"/>
          </w:tcPr>
          <w:p>
            <w:pPr>
              <w:pStyle w:val="TableParagraph"/>
              <w:spacing w:line="251" w:lineRule="exact"/>
              <w:ind w:left="112"/>
              <w:rPr>
                <w:sz w:val="22"/>
              </w:rPr>
            </w:pPr>
            <w:r>
              <w:rPr>
                <w:sz w:val="22"/>
              </w:rPr>
              <w:t>The percentage change from the previous</w:t>
            </w:r>
          </w:p>
          <w:p>
            <w:pPr>
              <w:pStyle w:val="TableParagraph"/>
              <w:spacing w:line="252" w:lineRule="exact" w:before="6"/>
              <w:ind w:left="112" w:right="360"/>
              <w:rPr>
                <w:sz w:val="22"/>
              </w:rPr>
            </w:pPr>
            <w:r>
              <w:rPr>
                <w:sz w:val="22"/>
              </w:rPr>
              <w:t>financial year in respect of the highest paid director</w:t>
            </w:r>
          </w:p>
        </w:tc>
        <w:tc>
          <w:tcPr>
            <w:tcW w:w="2412" w:type="dxa"/>
          </w:tcPr>
          <w:p>
            <w:pPr>
              <w:pStyle w:val="TableParagraph"/>
              <w:spacing w:before="10"/>
              <w:rPr>
                <w:b/>
                <w:sz w:val="21"/>
              </w:rPr>
            </w:pPr>
          </w:p>
          <w:p>
            <w:pPr>
              <w:pStyle w:val="TableParagraph"/>
              <w:ind w:left="875" w:right="858"/>
              <w:jc w:val="center"/>
              <w:rPr>
                <w:sz w:val="22"/>
              </w:rPr>
            </w:pPr>
            <w:r>
              <w:rPr>
                <w:sz w:val="22"/>
              </w:rPr>
              <w:t>0%</w:t>
            </w:r>
          </w:p>
        </w:tc>
        <w:tc>
          <w:tcPr>
            <w:tcW w:w="2412" w:type="dxa"/>
          </w:tcPr>
          <w:p>
            <w:pPr>
              <w:pStyle w:val="TableParagraph"/>
              <w:spacing w:before="10"/>
              <w:rPr>
                <w:b/>
                <w:sz w:val="21"/>
              </w:rPr>
            </w:pPr>
          </w:p>
          <w:p>
            <w:pPr>
              <w:pStyle w:val="TableParagraph"/>
              <w:ind w:left="875" w:right="858"/>
              <w:jc w:val="center"/>
              <w:rPr>
                <w:sz w:val="22"/>
              </w:rPr>
            </w:pPr>
            <w:r>
              <w:rPr>
                <w:sz w:val="22"/>
              </w:rPr>
              <w:t>0%</w:t>
            </w:r>
          </w:p>
        </w:tc>
      </w:tr>
      <w:tr>
        <w:trPr>
          <w:trHeight w:val="757" w:hRule="atLeast"/>
        </w:trPr>
        <w:tc>
          <w:tcPr>
            <w:tcW w:w="4673" w:type="dxa"/>
          </w:tcPr>
          <w:p>
            <w:pPr>
              <w:pStyle w:val="TableParagraph"/>
              <w:spacing w:line="252" w:lineRule="exact" w:before="2"/>
              <w:ind w:left="112" w:right="482"/>
              <w:rPr>
                <w:sz w:val="22"/>
              </w:rPr>
            </w:pPr>
            <w:r>
              <w:rPr>
                <w:sz w:val="22"/>
              </w:rPr>
              <w:t>The average percentage change from the previous financial year in respect of employees of the entity, taken as a whole</w:t>
            </w:r>
          </w:p>
        </w:tc>
        <w:tc>
          <w:tcPr>
            <w:tcW w:w="2412" w:type="dxa"/>
          </w:tcPr>
          <w:p>
            <w:pPr>
              <w:pStyle w:val="TableParagraph"/>
              <w:spacing w:before="7"/>
              <w:rPr>
                <w:b/>
                <w:sz w:val="21"/>
              </w:rPr>
            </w:pPr>
          </w:p>
          <w:p>
            <w:pPr>
              <w:pStyle w:val="TableParagraph"/>
              <w:spacing w:before="1"/>
              <w:ind w:left="875" w:right="863"/>
              <w:jc w:val="center"/>
              <w:rPr>
                <w:sz w:val="22"/>
              </w:rPr>
            </w:pPr>
            <w:r>
              <w:rPr>
                <w:sz w:val="22"/>
              </w:rPr>
              <w:t>5.42%</w:t>
            </w:r>
          </w:p>
        </w:tc>
        <w:tc>
          <w:tcPr>
            <w:tcW w:w="2412" w:type="dxa"/>
          </w:tcPr>
          <w:p>
            <w:pPr>
              <w:pStyle w:val="TableParagraph"/>
              <w:spacing w:before="7"/>
              <w:rPr>
                <w:b/>
                <w:sz w:val="21"/>
              </w:rPr>
            </w:pPr>
          </w:p>
          <w:p>
            <w:pPr>
              <w:pStyle w:val="TableParagraph"/>
              <w:spacing w:before="1"/>
              <w:ind w:left="875" w:right="858"/>
              <w:jc w:val="center"/>
              <w:rPr>
                <w:sz w:val="22"/>
              </w:rPr>
            </w:pPr>
            <w:r>
              <w:rPr>
                <w:sz w:val="22"/>
              </w:rPr>
              <w:t>0%</w:t>
            </w:r>
          </w:p>
        </w:tc>
      </w:tr>
    </w:tbl>
    <w:p>
      <w:pPr>
        <w:pStyle w:val="BodyText"/>
        <w:spacing w:before="10"/>
        <w:rPr>
          <w:b/>
          <w:sz w:val="20"/>
        </w:rPr>
      </w:pPr>
    </w:p>
    <w:p>
      <w:pPr>
        <w:spacing w:before="0"/>
        <w:ind w:left="120" w:right="0" w:firstLine="0"/>
        <w:jc w:val="left"/>
        <w:rPr>
          <w:b/>
          <w:sz w:val="24"/>
        </w:rPr>
      </w:pPr>
      <w:r>
        <w:rPr>
          <w:b/>
          <w:sz w:val="24"/>
        </w:rPr>
        <w:t>Pay Ratio Information</w:t>
      </w:r>
    </w:p>
    <w:p>
      <w:pPr>
        <w:pStyle w:val="BodyText"/>
        <w:spacing w:before="9"/>
        <w:rPr>
          <w:b/>
          <w:sz w:val="32"/>
        </w:rPr>
      </w:pPr>
    </w:p>
    <w:p>
      <w:pPr>
        <w:spacing w:line="360" w:lineRule="auto" w:before="0"/>
        <w:ind w:left="120" w:right="583" w:firstLine="0"/>
        <w:jc w:val="left"/>
        <w:rPr>
          <w:sz w:val="24"/>
        </w:rPr>
      </w:pPr>
      <w:r>
        <w:rPr>
          <w:sz w:val="24"/>
        </w:rPr>
        <w:t>Reporting bodies are required to disclose the relationship between the total remuneration of the highest-paid director / member in their organisation against the 25th percentile, median and 75th percentile of remuneration of the organisation’s workforce. Total remuneration of the employee at the 25</w:t>
      </w:r>
      <w:r>
        <w:rPr>
          <w:position w:val="8"/>
          <w:sz w:val="16"/>
        </w:rPr>
        <w:t>th </w:t>
      </w:r>
      <w:r>
        <w:rPr>
          <w:sz w:val="24"/>
        </w:rPr>
        <w:t>percentile, median and 75</w:t>
      </w:r>
      <w:r>
        <w:rPr>
          <w:position w:val="8"/>
          <w:sz w:val="16"/>
        </w:rPr>
        <w:t>th </w:t>
      </w:r>
      <w:r>
        <w:rPr>
          <w:sz w:val="24"/>
        </w:rPr>
        <w:t>percentile is further broken down to show the salary component.</w:t>
      </w:r>
    </w:p>
    <w:p>
      <w:pPr>
        <w:pStyle w:val="BodyText"/>
        <w:spacing w:before="6"/>
        <w:rPr>
          <w:sz w:val="20"/>
        </w:rPr>
      </w:pPr>
    </w:p>
    <w:p>
      <w:pPr>
        <w:spacing w:line="360" w:lineRule="auto" w:before="0"/>
        <w:ind w:left="120" w:right="489" w:firstLine="0"/>
        <w:jc w:val="left"/>
        <w:rPr>
          <w:sz w:val="24"/>
        </w:rPr>
      </w:pPr>
      <w:r>
        <w:rPr>
          <w:sz w:val="24"/>
        </w:rPr>
        <w:t>The banded remuneration of the highest paid director/member in North Lincolnshire CCG in the financial year 2021/22 was £140-145k (-7% against 2020/21: £150-155k) The relationship to the remuneration of the organisation's workforce is disclosed in the below table:</w:t>
      </w:r>
    </w:p>
    <w:p>
      <w:pPr>
        <w:spacing w:after="0" w:line="360" w:lineRule="auto"/>
        <w:jc w:val="left"/>
        <w:rPr>
          <w:sz w:val="24"/>
        </w:rPr>
        <w:sectPr>
          <w:pgSz w:w="11920" w:h="16850"/>
          <w:pgMar w:header="0" w:footer="443" w:top="1320" w:bottom="640" w:left="1320" w:right="840"/>
        </w:sectPr>
      </w:pPr>
    </w:p>
    <w:p>
      <w:pPr>
        <w:pStyle w:val="BodyText"/>
        <w:rPr>
          <w:sz w:val="20"/>
        </w:rPr>
      </w:pPr>
    </w:p>
    <w:p>
      <w:pPr>
        <w:pStyle w:val="BodyText"/>
        <w:spacing w:before="2"/>
        <w:rPr>
          <w:sz w:val="19"/>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11"/>
        <w:gridCol w:w="1713"/>
        <w:gridCol w:w="1840"/>
        <w:gridCol w:w="1744"/>
      </w:tblGrid>
      <w:tr>
        <w:trPr>
          <w:trHeight w:val="506" w:hRule="atLeast"/>
        </w:trPr>
        <w:tc>
          <w:tcPr>
            <w:tcW w:w="3811" w:type="dxa"/>
          </w:tcPr>
          <w:p>
            <w:pPr>
              <w:pStyle w:val="TableParagraph"/>
              <w:spacing w:before="5"/>
              <w:rPr>
                <w:sz w:val="20"/>
              </w:rPr>
            </w:pPr>
          </w:p>
          <w:p>
            <w:pPr>
              <w:pStyle w:val="TableParagraph"/>
              <w:spacing w:line="251" w:lineRule="exact"/>
              <w:ind w:left="112"/>
              <w:rPr>
                <w:b/>
                <w:sz w:val="22"/>
              </w:rPr>
            </w:pPr>
            <w:r>
              <w:rPr>
                <w:b/>
                <w:sz w:val="22"/>
              </w:rPr>
              <w:t>2021-22</w:t>
            </w:r>
          </w:p>
        </w:tc>
        <w:tc>
          <w:tcPr>
            <w:tcW w:w="1713" w:type="dxa"/>
          </w:tcPr>
          <w:p>
            <w:pPr>
              <w:pStyle w:val="TableParagraph"/>
              <w:spacing w:before="122"/>
              <w:ind w:right="102"/>
              <w:jc w:val="right"/>
              <w:rPr>
                <w:b/>
                <w:sz w:val="22"/>
              </w:rPr>
            </w:pPr>
            <w:r>
              <w:rPr>
                <w:b/>
                <w:sz w:val="22"/>
              </w:rPr>
              <w:t>25</w:t>
            </w:r>
            <w:r>
              <w:rPr>
                <w:b/>
                <w:position w:val="8"/>
                <w:sz w:val="14"/>
              </w:rPr>
              <w:t>th </w:t>
            </w:r>
            <w:r>
              <w:rPr>
                <w:b/>
                <w:sz w:val="22"/>
              </w:rPr>
              <w:t>percentile</w:t>
            </w:r>
          </w:p>
        </w:tc>
        <w:tc>
          <w:tcPr>
            <w:tcW w:w="1840" w:type="dxa"/>
          </w:tcPr>
          <w:p>
            <w:pPr>
              <w:pStyle w:val="TableParagraph"/>
              <w:spacing w:before="127"/>
              <w:ind w:left="113"/>
              <w:rPr>
                <w:b/>
                <w:sz w:val="22"/>
              </w:rPr>
            </w:pPr>
            <w:r>
              <w:rPr>
                <w:b/>
                <w:sz w:val="22"/>
              </w:rPr>
              <w:t>Median</w:t>
            </w:r>
          </w:p>
        </w:tc>
        <w:tc>
          <w:tcPr>
            <w:tcW w:w="1744" w:type="dxa"/>
          </w:tcPr>
          <w:p>
            <w:pPr>
              <w:pStyle w:val="TableParagraph"/>
              <w:spacing w:before="122"/>
              <w:ind w:left="114"/>
              <w:rPr>
                <w:b/>
                <w:sz w:val="22"/>
              </w:rPr>
            </w:pPr>
            <w:r>
              <w:rPr>
                <w:b/>
                <w:sz w:val="22"/>
              </w:rPr>
              <w:t>75</w:t>
            </w:r>
            <w:r>
              <w:rPr>
                <w:b/>
                <w:position w:val="8"/>
                <w:sz w:val="14"/>
              </w:rPr>
              <w:t>th </w:t>
            </w:r>
            <w:r>
              <w:rPr>
                <w:b/>
                <w:sz w:val="22"/>
              </w:rPr>
              <w:t>percentile</w:t>
            </w:r>
          </w:p>
        </w:tc>
      </w:tr>
      <w:tr>
        <w:trPr>
          <w:trHeight w:val="400" w:hRule="atLeast"/>
        </w:trPr>
        <w:tc>
          <w:tcPr>
            <w:tcW w:w="3811" w:type="dxa"/>
          </w:tcPr>
          <w:p>
            <w:pPr>
              <w:pStyle w:val="TableParagraph"/>
              <w:spacing w:before="74"/>
              <w:ind w:left="112"/>
              <w:rPr>
                <w:sz w:val="22"/>
              </w:rPr>
            </w:pPr>
            <w:r>
              <w:rPr>
                <w:sz w:val="22"/>
              </w:rPr>
              <w:t>Total remuneration (£)</w:t>
            </w:r>
          </w:p>
        </w:tc>
        <w:tc>
          <w:tcPr>
            <w:tcW w:w="1713" w:type="dxa"/>
          </w:tcPr>
          <w:p>
            <w:pPr>
              <w:pStyle w:val="TableParagraph"/>
              <w:spacing w:before="74"/>
              <w:ind w:right="86"/>
              <w:jc w:val="right"/>
              <w:rPr>
                <w:sz w:val="22"/>
              </w:rPr>
            </w:pPr>
            <w:r>
              <w:rPr>
                <w:sz w:val="22"/>
              </w:rPr>
              <w:t>£32,225</w:t>
            </w:r>
          </w:p>
        </w:tc>
        <w:tc>
          <w:tcPr>
            <w:tcW w:w="1840" w:type="dxa"/>
          </w:tcPr>
          <w:p>
            <w:pPr>
              <w:pStyle w:val="TableParagraph"/>
              <w:spacing w:before="74"/>
              <w:ind w:right="80"/>
              <w:jc w:val="right"/>
              <w:rPr>
                <w:sz w:val="22"/>
              </w:rPr>
            </w:pPr>
            <w:r>
              <w:rPr>
                <w:sz w:val="22"/>
              </w:rPr>
              <w:t>£42,121</w:t>
            </w:r>
          </w:p>
        </w:tc>
        <w:tc>
          <w:tcPr>
            <w:tcW w:w="1744" w:type="dxa"/>
          </w:tcPr>
          <w:p>
            <w:pPr>
              <w:pStyle w:val="TableParagraph"/>
              <w:spacing w:before="74"/>
              <w:ind w:right="79"/>
              <w:jc w:val="right"/>
              <w:rPr>
                <w:sz w:val="22"/>
              </w:rPr>
            </w:pPr>
            <w:r>
              <w:rPr>
                <w:sz w:val="22"/>
              </w:rPr>
              <w:t>£67,640</w:t>
            </w:r>
          </w:p>
        </w:tc>
      </w:tr>
      <w:tr>
        <w:trPr>
          <w:trHeight w:val="702" w:hRule="atLeast"/>
        </w:trPr>
        <w:tc>
          <w:tcPr>
            <w:tcW w:w="3811" w:type="dxa"/>
          </w:tcPr>
          <w:p>
            <w:pPr>
              <w:pStyle w:val="TableParagraph"/>
              <w:spacing w:before="100"/>
              <w:ind w:left="112" w:right="1174"/>
              <w:rPr>
                <w:sz w:val="22"/>
              </w:rPr>
            </w:pPr>
            <w:r>
              <w:rPr>
                <w:sz w:val="22"/>
              </w:rPr>
              <w:t>Salary component of total remuneration (£)</w:t>
            </w:r>
          </w:p>
        </w:tc>
        <w:tc>
          <w:tcPr>
            <w:tcW w:w="1713" w:type="dxa"/>
          </w:tcPr>
          <w:p>
            <w:pPr>
              <w:pStyle w:val="TableParagraph"/>
              <w:spacing w:before="9"/>
              <w:rPr>
                <w:sz w:val="19"/>
              </w:rPr>
            </w:pPr>
          </w:p>
          <w:p>
            <w:pPr>
              <w:pStyle w:val="TableParagraph"/>
              <w:ind w:right="86"/>
              <w:jc w:val="right"/>
              <w:rPr>
                <w:sz w:val="22"/>
              </w:rPr>
            </w:pPr>
            <w:r>
              <w:rPr>
                <w:sz w:val="22"/>
              </w:rPr>
              <w:t>£32,225</w:t>
            </w:r>
          </w:p>
        </w:tc>
        <w:tc>
          <w:tcPr>
            <w:tcW w:w="1840" w:type="dxa"/>
          </w:tcPr>
          <w:p>
            <w:pPr>
              <w:pStyle w:val="TableParagraph"/>
              <w:spacing w:before="9"/>
              <w:rPr>
                <w:sz w:val="19"/>
              </w:rPr>
            </w:pPr>
          </w:p>
          <w:p>
            <w:pPr>
              <w:pStyle w:val="TableParagraph"/>
              <w:ind w:right="80"/>
              <w:jc w:val="right"/>
              <w:rPr>
                <w:sz w:val="22"/>
              </w:rPr>
            </w:pPr>
            <w:r>
              <w:rPr>
                <w:sz w:val="22"/>
              </w:rPr>
              <w:t>£42,121</w:t>
            </w:r>
          </w:p>
        </w:tc>
        <w:tc>
          <w:tcPr>
            <w:tcW w:w="1744" w:type="dxa"/>
          </w:tcPr>
          <w:p>
            <w:pPr>
              <w:pStyle w:val="TableParagraph"/>
              <w:spacing w:before="9"/>
              <w:rPr>
                <w:sz w:val="19"/>
              </w:rPr>
            </w:pPr>
          </w:p>
          <w:p>
            <w:pPr>
              <w:pStyle w:val="TableParagraph"/>
              <w:ind w:right="79"/>
              <w:jc w:val="right"/>
              <w:rPr>
                <w:sz w:val="22"/>
              </w:rPr>
            </w:pPr>
            <w:r>
              <w:rPr>
                <w:sz w:val="22"/>
              </w:rPr>
              <w:t>£67,640</w:t>
            </w:r>
          </w:p>
        </w:tc>
      </w:tr>
      <w:tr>
        <w:trPr>
          <w:trHeight w:val="414" w:hRule="atLeast"/>
        </w:trPr>
        <w:tc>
          <w:tcPr>
            <w:tcW w:w="3811" w:type="dxa"/>
          </w:tcPr>
          <w:p>
            <w:pPr>
              <w:pStyle w:val="TableParagraph"/>
              <w:spacing w:before="81"/>
              <w:ind w:left="112"/>
              <w:rPr>
                <w:sz w:val="22"/>
              </w:rPr>
            </w:pPr>
            <w:r>
              <w:rPr>
                <w:sz w:val="22"/>
              </w:rPr>
              <w:t>Pay ratio information</w:t>
            </w:r>
          </w:p>
        </w:tc>
        <w:tc>
          <w:tcPr>
            <w:tcW w:w="1713" w:type="dxa"/>
          </w:tcPr>
          <w:p>
            <w:pPr>
              <w:pStyle w:val="TableParagraph"/>
              <w:spacing w:before="81"/>
              <w:ind w:right="86"/>
              <w:jc w:val="right"/>
              <w:rPr>
                <w:sz w:val="22"/>
              </w:rPr>
            </w:pPr>
            <w:r>
              <w:rPr>
                <w:sz w:val="22"/>
              </w:rPr>
              <w:t>4.42</w:t>
            </w:r>
          </w:p>
        </w:tc>
        <w:tc>
          <w:tcPr>
            <w:tcW w:w="1840" w:type="dxa"/>
          </w:tcPr>
          <w:p>
            <w:pPr>
              <w:pStyle w:val="TableParagraph"/>
              <w:spacing w:before="81"/>
              <w:ind w:right="80"/>
              <w:jc w:val="right"/>
              <w:rPr>
                <w:sz w:val="22"/>
              </w:rPr>
            </w:pPr>
            <w:r>
              <w:rPr>
                <w:sz w:val="22"/>
              </w:rPr>
              <w:t>3.38</w:t>
            </w:r>
          </w:p>
        </w:tc>
        <w:tc>
          <w:tcPr>
            <w:tcW w:w="1744" w:type="dxa"/>
          </w:tcPr>
          <w:p>
            <w:pPr>
              <w:pStyle w:val="TableParagraph"/>
              <w:spacing w:before="81"/>
              <w:ind w:right="79"/>
              <w:jc w:val="right"/>
              <w:rPr>
                <w:sz w:val="22"/>
              </w:rPr>
            </w:pPr>
            <w:r>
              <w:rPr>
                <w:sz w:val="22"/>
              </w:rPr>
              <w:t>2.11</w:t>
            </w:r>
          </w:p>
        </w:tc>
      </w:tr>
      <w:tr>
        <w:trPr>
          <w:trHeight w:val="503" w:hRule="atLeast"/>
        </w:trPr>
        <w:tc>
          <w:tcPr>
            <w:tcW w:w="9108" w:type="dxa"/>
            <w:gridSpan w:val="4"/>
          </w:tcPr>
          <w:p>
            <w:pPr>
              <w:pStyle w:val="TableParagraph"/>
              <w:spacing w:before="2"/>
              <w:rPr>
                <w:sz w:val="20"/>
              </w:rPr>
            </w:pPr>
          </w:p>
          <w:p>
            <w:pPr>
              <w:pStyle w:val="TableParagraph"/>
              <w:spacing w:line="251" w:lineRule="exact"/>
              <w:ind w:left="112"/>
              <w:rPr>
                <w:b/>
                <w:sz w:val="22"/>
              </w:rPr>
            </w:pPr>
            <w:r>
              <w:rPr>
                <w:b/>
                <w:sz w:val="22"/>
              </w:rPr>
              <w:t>2020-21</w:t>
            </w:r>
          </w:p>
        </w:tc>
      </w:tr>
      <w:tr>
        <w:trPr>
          <w:trHeight w:val="489" w:hRule="atLeast"/>
        </w:trPr>
        <w:tc>
          <w:tcPr>
            <w:tcW w:w="3811" w:type="dxa"/>
          </w:tcPr>
          <w:p>
            <w:pPr>
              <w:pStyle w:val="TableParagraph"/>
              <w:spacing w:before="120"/>
              <w:ind w:left="112"/>
              <w:rPr>
                <w:sz w:val="22"/>
              </w:rPr>
            </w:pPr>
            <w:r>
              <w:rPr>
                <w:sz w:val="22"/>
              </w:rPr>
              <w:t>Total remuneration (£)</w:t>
            </w:r>
          </w:p>
        </w:tc>
        <w:tc>
          <w:tcPr>
            <w:tcW w:w="1713" w:type="dxa"/>
          </w:tcPr>
          <w:p>
            <w:pPr>
              <w:pStyle w:val="TableParagraph"/>
              <w:spacing w:before="120"/>
              <w:ind w:right="86"/>
              <w:jc w:val="right"/>
              <w:rPr>
                <w:sz w:val="22"/>
              </w:rPr>
            </w:pPr>
            <w:r>
              <w:rPr>
                <w:sz w:val="22"/>
              </w:rPr>
              <w:t>£30,615</w:t>
            </w:r>
          </w:p>
        </w:tc>
        <w:tc>
          <w:tcPr>
            <w:tcW w:w="1840" w:type="dxa"/>
          </w:tcPr>
          <w:p>
            <w:pPr>
              <w:pStyle w:val="TableParagraph"/>
              <w:spacing w:before="120"/>
              <w:ind w:right="80"/>
              <w:jc w:val="right"/>
              <w:rPr>
                <w:sz w:val="22"/>
              </w:rPr>
            </w:pPr>
            <w:r>
              <w:rPr>
                <w:sz w:val="22"/>
              </w:rPr>
              <w:t>£38,890</w:t>
            </w:r>
          </w:p>
        </w:tc>
        <w:tc>
          <w:tcPr>
            <w:tcW w:w="1744" w:type="dxa"/>
          </w:tcPr>
          <w:p>
            <w:pPr>
              <w:pStyle w:val="TableParagraph"/>
              <w:spacing w:before="120"/>
              <w:ind w:right="79"/>
              <w:jc w:val="right"/>
              <w:rPr>
                <w:sz w:val="22"/>
              </w:rPr>
            </w:pPr>
            <w:r>
              <w:rPr>
                <w:sz w:val="22"/>
              </w:rPr>
              <w:t>£62,001</w:t>
            </w:r>
          </w:p>
        </w:tc>
      </w:tr>
      <w:tr>
        <w:trPr>
          <w:trHeight w:val="707" w:hRule="atLeast"/>
        </w:trPr>
        <w:tc>
          <w:tcPr>
            <w:tcW w:w="3811" w:type="dxa"/>
          </w:tcPr>
          <w:p>
            <w:pPr>
              <w:pStyle w:val="TableParagraph"/>
              <w:spacing w:before="100"/>
              <w:ind w:left="112" w:right="1174"/>
              <w:rPr>
                <w:sz w:val="22"/>
              </w:rPr>
            </w:pPr>
            <w:r>
              <w:rPr>
                <w:sz w:val="22"/>
              </w:rPr>
              <w:t>Salary component of total remuneration (£)</w:t>
            </w:r>
          </w:p>
        </w:tc>
        <w:tc>
          <w:tcPr>
            <w:tcW w:w="1713" w:type="dxa"/>
          </w:tcPr>
          <w:p>
            <w:pPr>
              <w:pStyle w:val="TableParagraph"/>
              <w:spacing w:before="9"/>
              <w:rPr>
                <w:sz w:val="19"/>
              </w:rPr>
            </w:pPr>
          </w:p>
          <w:p>
            <w:pPr>
              <w:pStyle w:val="TableParagraph"/>
              <w:ind w:right="86"/>
              <w:jc w:val="right"/>
              <w:rPr>
                <w:sz w:val="22"/>
              </w:rPr>
            </w:pPr>
            <w:r>
              <w:rPr>
                <w:sz w:val="22"/>
              </w:rPr>
              <w:t>£30,615</w:t>
            </w:r>
          </w:p>
        </w:tc>
        <w:tc>
          <w:tcPr>
            <w:tcW w:w="1840" w:type="dxa"/>
          </w:tcPr>
          <w:p>
            <w:pPr>
              <w:pStyle w:val="TableParagraph"/>
              <w:spacing w:before="9"/>
              <w:rPr>
                <w:sz w:val="19"/>
              </w:rPr>
            </w:pPr>
          </w:p>
          <w:p>
            <w:pPr>
              <w:pStyle w:val="TableParagraph"/>
              <w:ind w:right="80"/>
              <w:jc w:val="right"/>
              <w:rPr>
                <w:sz w:val="22"/>
              </w:rPr>
            </w:pPr>
            <w:r>
              <w:rPr>
                <w:sz w:val="22"/>
              </w:rPr>
              <w:t>£38,890</w:t>
            </w:r>
          </w:p>
        </w:tc>
        <w:tc>
          <w:tcPr>
            <w:tcW w:w="1744" w:type="dxa"/>
          </w:tcPr>
          <w:p>
            <w:pPr>
              <w:pStyle w:val="TableParagraph"/>
              <w:spacing w:before="9"/>
              <w:rPr>
                <w:sz w:val="19"/>
              </w:rPr>
            </w:pPr>
          </w:p>
          <w:p>
            <w:pPr>
              <w:pStyle w:val="TableParagraph"/>
              <w:ind w:right="79"/>
              <w:jc w:val="right"/>
              <w:rPr>
                <w:sz w:val="22"/>
              </w:rPr>
            </w:pPr>
            <w:r>
              <w:rPr>
                <w:sz w:val="22"/>
              </w:rPr>
              <w:t>£62,001</w:t>
            </w:r>
          </w:p>
        </w:tc>
      </w:tr>
      <w:tr>
        <w:trPr>
          <w:trHeight w:val="549" w:hRule="atLeast"/>
        </w:trPr>
        <w:tc>
          <w:tcPr>
            <w:tcW w:w="3811" w:type="dxa"/>
          </w:tcPr>
          <w:p>
            <w:pPr>
              <w:pStyle w:val="TableParagraph"/>
              <w:spacing w:before="148"/>
              <w:ind w:left="112"/>
              <w:rPr>
                <w:sz w:val="22"/>
              </w:rPr>
            </w:pPr>
            <w:r>
              <w:rPr>
                <w:sz w:val="22"/>
              </w:rPr>
              <w:t>Pay ratio information</w:t>
            </w:r>
          </w:p>
        </w:tc>
        <w:tc>
          <w:tcPr>
            <w:tcW w:w="1713" w:type="dxa"/>
          </w:tcPr>
          <w:p>
            <w:pPr>
              <w:pStyle w:val="TableParagraph"/>
              <w:spacing w:before="148"/>
              <w:ind w:right="86"/>
              <w:jc w:val="right"/>
              <w:rPr>
                <w:sz w:val="22"/>
              </w:rPr>
            </w:pPr>
            <w:r>
              <w:rPr>
                <w:sz w:val="22"/>
              </w:rPr>
              <w:t>4.98</w:t>
            </w:r>
          </w:p>
        </w:tc>
        <w:tc>
          <w:tcPr>
            <w:tcW w:w="1840" w:type="dxa"/>
          </w:tcPr>
          <w:p>
            <w:pPr>
              <w:pStyle w:val="TableParagraph"/>
              <w:spacing w:before="148"/>
              <w:ind w:right="80"/>
              <w:jc w:val="right"/>
              <w:rPr>
                <w:sz w:val="22"/>
              </w:rPr>
            </w:pPr>
            <w:r>
              <w:rPr>
                <w:sz w:val="22"/>
              </w:rPr>
              <w:t>3.92</w:t>
            </w:r>
          </w:p>
        </w:tc>
        <w:tc>
          <w:tcPr>
            <w:tcW w:w="1744" w:type="dxa"/>
          </w:tcPr>
          <w:p>
            <w:pPr>
              <w:pStyle w:val="TableParagraph"/>
              <w:spacing w:before="148"/>
              <w:ind w:right="79"/>
              <w:jc w:val="right"/>
              <w:rPr>
                <w:sz w:val="22"/>
              </w:rPr>
            </w:pPr>
            <w:r>
              <w:rPr>
                <w:sz w:val="22"/>
              </w:rPr>
              <w:t>2.46</w:t>
            </w:r>
          </w:p>
        </w:tc>
      </w:tr>
    </w:tbl>
    <w:p>
      <w:pPr>
        <w:pStyle w:val="BodyText"/>
        <w:rPr>
          <w:sz w:val="20"/>
        </w:rPr>
      </w:pPr>
    </w:p>
    <w:p>
      <w:pPr>
        <w:pStyle w:val="BodyText"/>
        <w:rPr>
          <w:sz w:val="20"/>
        </w:rPr>
      </w:pPr>
    </w:p>
    <w:p>
      <w:pPr>
        <w:pStyle w:val="BodyText"/>
        <w:spacing w:before="10"/>
        <w:rPr>
          <w:sz w:val="29"/>
        </w:rPr>
      </w:pPr>
    </w:p>
    <w:p>
      <w:pPr>
        <w:spacing w:line="360" w:lineRule="auto" w:before="92"/>
        <w:ind w:left="120" w:right="387" w:firstLine="0"/>
        <w:jc w:val="left"/>
        <w:rPr>
          <w:sz w:val="24"/>
        </w:rPr>
      </w:pPr>
      <w:r>
        <w:rPr>
          <w:sz w:val="24"/>
        </w:rPr>
        <w:t>In 2021/22, 10 (2020/21, 8) employees received remuneration in excess of the highest- paid director/member. Remuneration ranged from £20k to £209k (2020/21: £16k-</w:t>
      </w:r>
    </w:p>
    <w:p>
      <w:pPr>
        <w:spacing w:line="274" w:lineRule="exact" w:before="0"/>
        <w:ind w:left="120" w:right="0" w:firstLine="0"/>
        <w:jc w:val="left"/>
        <w:rPr>
          <w:sz w:val="24"/>
        </w:rPr>
      </w:pPr>
      <w:r>
        <w:rPr>
          <w:sz w:val="24"/>
        </w:rPr>
        <w:t>£154k)</w:t>
      </w:r>
    </w:p>
    <w:p>
      <w:pPr>
        <w:pStyle w:val="BodyText"/>
        <w:rPr>
          <w:sz w:val="33"/>
        </w:rPr>
      </w:pPr>
    </w:p>
    <w:p>
      <w:pPr>
        <w:spacing w:line="360" w:lineRule="auto" w:before="0"/>
        <w:ind w:left="120" w:right="810" w:firstLine="0"/>
        <w:jc w:val="left"/>
        <w:rPr>
          <w:sz w:val="24"/>
        </w:rPr>
      </w:pPr>
      <w:r>
        <w:rPr>
          <w:sz w:val="24"/>
        </w:rPr>
        <w:t>Total remuneration includes salary, non-consolidated performance-related pay, benefits-in-kind, but not severance payments. It does not include employer pension contributions and the cash equivalent transfer value of pensions.</w:t>
      </w:r>
    </w:p>
    <w:p>
      <w:pPr>
        <w:pStyle w:val="BodyText"/>
        <w:spacing w:before="8"/>
        <w:rPr>
          <w:sz w:val="20"/>
        </w:rPr>
      </w:pPr>
    </w:p>
    <w:p>
      <w:pPr>
        <w:spacing w:line="360" w:lineRule="auto" w:before="1"/>
        <w:ind w:left="120" w:right="534" w:firstLine="0"/>
        <w:jc w:val="both"/>
        <w:rPr>
          <w:sz w:val="24"/>
        </w:rPr>
      </w:pPr>
      <w:r>
        <w:rPr>
          <w:sz w:val="24"/>
        </w:rPr>
        <w:t>The changes in ratios and percentages reflect inflationary pay awards and anticipated incremental drift for employees under Agenda for Change terms and conditions whilst Very Senior Manager remuneration decreased.</w:t>
      </w:r>
    </w:p>
    <w:p>
      <w:pPr>
        <w:spacing w:after="0" w:line="360" w:lineRule="auto"/>
        <w:jc w:val="both"/>
        <w:rPr>
          <w:sz w:val="24"/>
        </w:rPr>
        <w:sectPr>
          <w:pgSz w:w="11920" w:h="16850"/>
          <w:pgMar w:header="0" w:footer="443" w:top="1600" w:bottom="640" w:left="1320" w:right="840"/>
        </w:sectPr>
      </w:pPr>
    </w:p>
    <w:p>
      <w:pPr>
        <w:spacing w:before="77"/>
        <w:ind w:left="120" w:right="0" w:firstLine="0"/>
        <w:jc w:val="left"/>
        <w:rPr>
          <w:b/>
          <w:sz w:val="28"/>
        </w:rPr>
      </w:pPr>
      <w:r>
        <w:rPr>
          <w:b/>
          <w:color w:val="4F81BB"/>
          <w:sz w:val="28"/>
        </w:rPr>
        <w:t>Staff Report</w:t>
      </w:r>
    </w:p>
    <w:p>
      <w:pPr>
        <w:pStyle w:val="BodyText"/>
        <w:spacing w:before="5"/>
        <w:rPr>
          <w:b/>
          <w:sz w:val="31"/>
        </w:rPr>
      </w:pPr>
    </w:p>
    <w:p>
      <w:pPr>
        <w:spacing w:before="1"/>
        <w:ind w:left="120" w:right="0" w:firstLine="0"/>
        <w:jc w:val="left"/>
        <w:rPr>
          <w:b/>
          <w:sz w:val="28"/>
        </w:rPr>
      </w:pPr>
      <w:r>
        <w:rPr>
          <w:b/>
          <w:color w:val="4F81BB"/>
          <w:sz w:val="28"/>
        </w:rPr>
        <w:t>Number of senior managers and Staff numbers and costs</w:t>
      </w:r>
    </w:p>
    <w:p>
      <w:pPr>
        <w:pStyle w:val="BodyText"/>
        <w:spacing w:before="164"/>
        <w:ind w:left="120" w:right="325"/>
        <w:jc w:val="both"/>
      </w:pPr>
      <w:r>
        <w:rPr/>
        <w:t>Please see table below for information on number of senior managers by band and analysed by ‘permanently employed’ and ‘other’ staff for NHS North Lincolnshire CCG between 1 April 2021 and 31 March 2022.</w:t>
      </w:r>
    </w:p>
    <w:p>
      <w:pPr>
        <w:pStyle w:val="BodyText"/>
        <w:rPr>
          <w:sz w:val="17"/>
        </w:rPr>
      </w:pPr>
    </w:p>
    <w:tbl>
      <w:tblPr>
        <w:tblW w:w="0" w:type="auto"/>
        <w:jc w:val="left"/>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726"/>
        <w:gridCol w:w="3384"/>
      </w:tblGrid>
      <w:tr>
        <w:trPr>
          <w:trHeight w:val="375" w:hRule="atLeast"/>
        </w:trPr>
        <w:tc>
          <w:tcPr>
            <w:tcW w:w="5726" w:type="dxa"/>
            <w:shd w:val="clear" w:color="auto" w:fill="93B3D5"/>
          </w:tcPr>
          <w:p>
            <w:pPr>
              <w:pStyle w:val="TableParagraph"/>
              <w:spacing w:before="64"/>
              <w:ind w:left="117"/>
              <w:rPr>
                <w:sz w:val="22"/>
              </w:rPr>
            </w:pPr>
            <w:r>
              <w:rPr>
                <w:sz w:val="22"/>
              </w:rPr>
              <w:t>Pay band</w:t>
            </w:r>
          </w:p>
        </w:tc>
        <w:tc>
          <w:tcPr>
            <w:tcW w:w="3384" w:type="dxa"/>
            <w:shd w:val="clear" w:color="auto" w:fill="93B3D5"/>
          </w:tcPr>
          <w:p>
            <w:pPr>
              <w:pStyle w:val="TableParagraph"/>
              <w:spacing w:before="64"/>
              <w:ind w:left="1436" w:right="1397"/>
              <w:jc w:val="center"/>
              <w:rPr>
                <w:sz w:val="22"/>
              </w:rPr>
            </w:pPr>
            <w:r>
              <w:rPr>
                <w:sz w:val="22"/>
              </w:rPr>
              <w:t>Total</w:t>
            </w:r>
          </w:p>
        </w:tc>
      </w:tr>
      <w:tr>
        <w:trPr>
          <w:trHeight w:val="345" w:hRule="atLeast"/>
        </w:trPr>
        <w:tc>
          <w:tcPr>
            <w:tcW w:w="5726" w:type="dxa"/>
            <w:tcBorders>
              <w:bottom w:val="single" w:sz="4" w:space="0" w:color="000000"/>
            </w:tcBorders>
          </w:tcPr>
          <w:p>
            <w:pPr>
              <w:pStyle w:val="TableParagraph"/>
              <w:spacing w:line="251" w:lineRule="exact" w:before="74"/>
              <w:ind w:left="117"/>
              <w:rPr>
                <w:sz w:val="22"/>
              </w:rPr>
            </w:pPr>
            <w:r>
              <w:rPr>
                <w:sz w:val="22"/>
              </w:rPr>
              <w:t>Band 8a</w:t>
            </w:r>
          </w:p>
        </w:tc>
        <w:tc>
          <w:tcPr>
            <w:tcW w:w="3384" w:type="dxa"/>
            <w:tcBorders>
              <w:bottom w:val="single" w:sz="4" w:space="0" w:color="000000"/>
            </w:tcBorders>
          </w:tcPr>
          <w:p>
            <w:pPr>
              <w:pStyle w:val="TableParagraph"/>
              <w:spacing w:line="251" w:lineRule="exact" w:before="74"/>
              <w:ind w:left="37"/>
              <w:jc w:val="center"/>
              <w:rPr>
                <w:sz w:val="22"/>
              </w:rPr>
            </w:pPr>
            <w:r>
              <w:rPr>
                <w:w w:val="100"/>
                <w:sz w:val="22"/>
              </w:rPr>
              <w:t>8</w:t>
            </w:r>
          </w:p>
        </w:tc>
      </w:tr>
      <w:tr>
        <w:trPr>
          <w:trHeight w:val="345" w:hRule="atLeast"/>
        </w:trPr>
        <w:tc>
          <w:tcPr>
            <w:tcW w:w="5726" w:type="dxa"/>
            <w:tcBorders>
              <w:top w:val="single" w:sz="4" w:space="0" w:color="000000"/>
              <w:bottom w:val="single" w:sz="4" w:space="0" w:color="000000"/>
            </w:tcBorders>
          </w:tcPr>
          <w:p>
            <w:pPr>
              <w:pStyle w:val="TableParagraph"/>
              <w:spacing w:line="251" w:lineRule="exact" w:before="74"/>
              <w:ind w:left="117"/>
              <w:rPr>
                <w:sz w:val="22"/>
              </w:rPr>
            </w:pPr>
            <w:r>
              <w:rPr>
                <w:sz w:val="22"/>
              </w:rPr>
              <w:t>Band 8b</w:t>
            </w:r>
          </w:p>
        </w:tc>
        <w:tc>
          <w:tcPr>
            <w:tcW w:w="3384" w:type="dxa"/>
            <w:tcBorders>
              <w:top w:val="single" w:sz="4" w:space="0" w:color="000000"/>
              <w:bottom w:val="single" w:sz="4" w:space="0" w:color="000000"/>
            </w:tcBorders>
          </w:tcPr>
          <w:p>
            <w:pPr>
              <w:pStyle w:val="TableParagraph"/>
              <w:spacing w:line="251" w:lineRule="exact" w:before="74"/>
              <w:ind w:left="37"/>
              <w:jc w:val="center"/>
              <w:rPr>
                <w:sz w:val="22"/>
              </w:rPr>
            </w:pPr>
            <w:r>
              <w:rPr>
                <w:w w:val="100"/>
                <w:sz w:val="22"/>
              </w:rPr>
              <w:t>5</w:t>
            </w:r>
          </w:p>
        </w:tc>
      </w:tr>
      <w:tr>
        <w:trPr>
          <w:trHeight w:val="345" w:hRule="atLeast"/>
        </w:trPr>
        <w:tc>
          <w:tcPr>
            <w:tcW w:w="5726" w:type="dxa"/>
            <w:tcBorders>
              <w:top w:val="single" w:sz="4" w:space="0" w:color="000000"/>
              <w:bottom w:val="single" w:sz="4" w:space="0" w:color="000000"/>
            </w:tcBorders>
          </w:tcPr>
          <w:p>
            <w:pPr>
              <w:pStyle w:val="TableParagraph"/>
              <w:spacing w:before="72"/>
              <w:ind w:left="117"/>
              <w:rPr>
                <w:sz w:val="22"/>
              </w:rPr>
            </w:pPr>
            <w:r>
              <w:rPr>
                <w:sz w:val="22"/>
              </w:rPr>
              <w:t>Band 8c</w:t>
            </w:r>
          </w:p>
        </w:tc>
        <w:tc>
          <w:tcPr>
            <w:tcW w:w="3384" w:type="dxa"/>
            <w:tcBorders>
              <w:top w:val="single" w:sz="4" w:space="0" w:color="000000"/>
              <w:bottom w:val="single" w:sz="4" w:space="0" w:color="000000"/>
            </w:tcBorders>
          </w:tcPr>
          <w:p>
            <w:pPr>
              <w:pStyle w:val="TableParagraph"/>
              <w:spacing w:before="72"/>
              <w:ind w:left="37"/>
              <w:jc w:val="center"/>
              <w:rPr>
                <w:sz w:val="22"/>
              </w:rPr>
            </w:pPr>
            <w:r>
              <w:rPr>
                <w:w w:val="100"/>
                <w:sz w:val="22"/>
              </w:rPr>
              <w:t>2</w:t>
            </w:r>
          </w:p>
        </w:tc>
      </w:tr>
      <w:tr>
        <w:trPr>
          <w:trHeight w:val="345" w:hRule="atLeast"/>
        </w:trPr>
        <w:tc>
          <w:tcPr>
            <w:tcW w:w="5726" w:type="dxa"/>
            <w:tcBorders>
              <w:top w:val="single" w:sz="4" w:space="0" w:color="000000"/>
              <w:bottom w:val="single" w:sz="4" w:space="0" w:color="000000"/>
            </w:tcBorders>
          </w:tcPr>
          <w:p>
            <w:pPr>
              <w:pStyle w:val="TableParagraph"/>
              <w:spacing w:before="72"/>
              <w:ind w:left="117"/>
              <w:rPr>
                <w:sz w:val="22"/>
              </w:rPr>
            </w:pPr>
            <w:r>
              <w:rPr>
                <w:sz w:val="22"/>
              </w:rPr>
              <w:t>Band 8d</w:t>
            </w:r>
          </w:p>
        </w:tc>
        <w:tc>
          <w:tcPr>
            <w:tcW w:w="3384" w:type="dxa"/>
            <w:tcBorders>
              <w:top w:val="single" w:sz="4" w:space="0" w:color="000000"/>
              <w:bottom w:val="single" w:sz="4" w:space="0" w:color="000000"/>
            </w:tcBorders>
          </w:tcPr>
          <w:p>
            <w:pPr>
              <w:pStyle w:val="TableParagraph"/>
              <w:spacing w:before="72"/>
              <w:ind w:left="37"/>
              <w:jc w:val="center"/>
              <w:rPr>
                <w:sz w:val="22"/>
              </w:rPr>
            </w:pPr>
            <w:r>
              <w:rPr>
                <w:w w:val="100"/>
                <w:sz w:val="22"/>
              </w:rPr>
              <w:t>1</w:t>
            </w:r>
          </w:p>
        </w:tc>
      </w:tr>
      <w:tr>
        <w:trPr>
          <w:trHeight w:val="345" w:hRule="atLeast"/>
        </w:trPr>
        <w:tc>
          <w:tcPr>
            <w:tcW w:w="5726" w:type="dxa"/>
            <w:tcBorders>
              <w:top w:val="single" w:sz="4" w:space="0" w:color="000000"/>
              <w:bottom w:val="single" w:sz="4" w:space="0" w:color="000000"/>
            </w:tcBorders>
          </w:tcPr>
          <w:p>
            <w:pPr>
              <w:pStyle w:val="TableParagraph"/>
              <w:spacing w:before="72"/>
              <w:ind w:left="117"/>
              <w:rPr>
                <w:sz w:val="22"/>
              </w:rPr>
            </w:pPr>
            <w:r>
              <w:rPr>
                <w:sz w:val="22"/>
              </w:rPr>
              <w:t>Band 9</w:t>
            </w:r>
          </w:p>
        </w:tc>
        <w:tc>
          <w:tcPr>
            <w:tcW w:w="3384" w:type="dxa"/>
            <w:tcBorders>
              <w:top w:val="single" w:sz="4" w:space="0" w:color="000000"/>
              <w:bottom w:val="single" w:sz="4" w:space="0" w:color="000000"/>
            </w:tcBorders>
          </w:tcPr>
          <w:p>
            <w:pPr>
              <w:pStyle w:val="TableParagraph"/>
              <w:spacing w:before="72"/>
              <w:ind w:left="37"/>
              <w:jc w:val="center"/>
              <w:rPr>
                <w:sz w:val="22"/>
              </w:rPr>
            </w:pPr>
            <w:r>
              <w:rPr>
                <w:w w:val="100"/>
                <w:sz w:val="22"/>
              </w:rPr>
              <w:t>1</w:t>
            </w:r>
          </w:p>
        </w:tc>
      </w:tr>
      <w:tr>
        <w:trPr>
          <w:trHeight w:val="342" w:hRule="atLeast"/>
        </w:trPr>
        <w:tc>
          <w:tcPr>
            <w:tcW w:w="5726" w:type="dxa"/>
            <w:tcBorders>
              <w:top w:val="single" w:sz="4" w:space="0" w:color="000000"/>
              <w:bottom w:val="single" w:sz="4" w:space="0" w:color="000000"/>
            </w:tcBorders>
          </w:tcPr>
          <w:p>
            <w:pPr>
              <w:pStyle w:val="TableParagraph"/>
              <w:spacing w:line="251" w:lineRule="exact" w:before="72"/>
              <w:ind w:left="117"/>
              <w:rPr>
                <w:sz w:val="22"/>
              </w:rPr>
            </w:pPr>
            <w:r>
              <w:rPr>
                <w:sz w:val="22"/>
              </w:rPr>
              <w:t>VSM</w:t>
            </w:r>
          </w:p>
        </w:tc>
        <w:tc>
          <w:tcPr>
            <w:tcW w:w="3384" w:type="dxa"/>
            <w:tcBorders>
              <w:top w:val="single" w:sz="4" w:space="0" w:color="000000"/>
              <w:bottom w:val="single" w:sz="4" w:space="0" w:color="000000"/>
            </w:tcBorders>
          </w:tcPr>
          <w:p>
            <w:pPr>
              <w:pStyle w:val="TableParagraph"/>
              <w:spacing w:line="251" w:lineRule="exact" w:before="72"/>
              <w:ind w:left="37"/>
              <w:jc w:val="center"/>
              <w:rPr>
                <w:sz w:val="22"/>
              </w:rPr>
            </w:pPr>
            <w:r>
              <w:rPr>
                <w:w w:val="100"/>
                <w:sz w:val="22"/>
              </w:rPr>
              <w:t>3</w:t>
            </w:r>
          </w:p>
        </w:tc>
      </w:tr>
      <w:tr>
        <w:trPr>
          <w:trHeight w:val="345" w:hRule="atLeast"/>
        </w:trPr>
        <w:tc>
          <w:tcPr>
            <w:tcW w:w="5726" w:type="dxa"/>
            <w:tcBorders>
              <w:top w:val="single" w:sz="4" w:space="0" w:color="000000"/>
              <w:bottom w:val="single" w:sz="4" w:space="0" w:color="000000"/>
            </w:tcBorders>
          </w:tcPr>
          <w:p>
            <w:pPr>
              <w:pStyle w:val="TableParagraph"/>
              <w:spacing w:before="72"/>
              <w:ind w:left="117"/>
              <w:rPr>
                <w:sz w:val="22"/>
              </w:rPr>
            </w:pPr>
            <w:r>
              <w:rPr>
                <w:sz w:val="22"/>
              </w:rPr>
              <w:t>Governing body</w:t>
            </w:r>
          </w:p>
        </w:tc>
        <w:tc>
          <w:tcPr>
            <w:tcW w:w="3384" w:type="dxa"/>
            <w:tcBorders>
              <w:top w:val="single" w:sz="4" w:space="0" w:color="000000"/>
              <w:bottom w:val="single" w:sz="4" w:space="0" w:color="000000"/>
            </w:tcBorders>
          </w:tcPr>
          <w:p>
            <w:pPr>
              <w:pStyle w:val="TableParagraph"/>
              <w:spacing w:before="72"/>
              <w:ind w:left="1435" w:right="1397"/>
              <w:jc w:val="center"/>
              <w:rPr>
                <w:sz w:val="22"/>
              </w:rPr>
            </w:pPr>
            <w:r>
              <w:rPr>
                <w:sz w:val="22"/>
              </w:rPr>
              <w:t>14 *</w:t>
            </w:r>
          </w:p>
        </w:tc>
      </w:tr>
      <w:tr>
        <w:trPr>
          <w:trHeight w:val="345" w:hRule="atLeast"/>
        </w:trPr>
        <w:tc>
          <w:tcPr>
            <w:tcW w:w="5726" w:type="dxa"/>
            <w:tcBorders>
              <w:top w:val="single" w:sz="4" w:space="0" w:color="000000"/>
            </w:tcBorders>
          </w:tcPr>
          <w:p>
            <w:pPr>
              <w:pStyle w:val="TableParagraph"/>
              <w:spacing w:before="72"/>
              <w:ind w:left="117"/>
              <w:rPr>
                <w:sz w:val="22"/>
              </w:rPr>
            </w:pPr>
            <w:r>
              <w:rPr>
                <w:sz w:val="22"/>
              </w:rPr>
              <w:t>Any other spot salary</w:t>
            </w:r>
          </w:p>
        </w:tc>
        <w:tc>
          <w:tcPr>
            <w:tcW w:w="3384" w:type="dxa"/>
            <w:tcBorders>
              <w:top w:val="single" w:sz="4" w:space="0" w:color="000000"/>
            </w:tcBorders>
          </w:tcPr>
          <w:p>
            <w:pPr>
              <w:pStyle w:val="TableParagraph"/>
              <w:spacing w:before="72"/>
              <w:ind w:left="1431" w:right="1397"/>
              <w:jc w:val="center"/>
              <w:rPr>
                <w:sz w:val="22"/>
              </w:rPr>
            </w:pPr>
            <w:r>
              <w:rPr>
                <w:sz w:val="22"/>
              </w:rPr>
              <w:t>18</w:t>
            </w:r>
          </w:p>
        </w:tc>
      </w:tr>
      <w:tr>
        <w:trPr>
          <w:trHeight w:val="342" w:hRule="atLeast"/>
        </w:trPr>
        <w:tc>
          <w:tcPr>
            <w:tcW w:w="5726" w:type="dxa"/>
            <w:shd w:val="clear" w:color="auto" w:fill="93B3D5"/>
          </w:tcPr>
          <w:p>
            <w:pPr>
              <w:pStyle w:val="TableParagraph"/>
              <w:spacing w:line="251" w:lineRule="exact" w:before="71"/>
              <w:ind w:left="117"/>
              <w:rPr>
                <w:sz w:val="22"/>
              </w:rPr>
            </w:pPr>
            <w:r>
              <w:rPr>
                <w:sz w:val="22"/>
              </w:rPr>
              <w:t>Assignment category</w:t>
            </w:r>
          </w:p>
        </w:tc>
        <w:tc>
          <w:tcPr>
            <w:tcW w:w="3384" w:type="dxa"/>
            <w:shd w:val="clear" w:color="auto" w:fill="93B3D5"/>
          </w:tcPr>
          <w:p>
            <w:pPr>
              <w:pStyle w:val="TableParagraph"/>
              <w:spacing w:line="251" w:lineRule="exact" w:before="71"/>
              <w:ind w:left="1436" w:right="1397"/>
              <w:jc w:val="center"/>
              <w:rPr>
                <w:sz w:val="22"/>
              </w:rPr>
            </w:pPr>
            <w:r>
              <w:rPr>
                <w:sz w:val="22"/>
              </w:rPr>
              <w:t>Total</w:t>
            </w:r>
          </w:p>
        </w:tc>
      </w:tr>
      <w:tr>
        <w:trPr>
          <w:trHeight w:val="344" w:hRule="atLeast"/>
        </w:trPr>
        <w:tc>
          <w:tcPr>
            <w:tcW w:w="5726" w:type="dxa"/>
            <w:tcBorders>
              <w:bottom w:val="single" w:sz="4" w:space="0" w:color="000000"/>
            </w:tcBorders>
          </w:tcPr>
          <w:p>
            <w:pPr>
              <w:pStyle w:val="TableParagraph"/>
              <w:spacing w:line="251" w:lineRule="exact" w:before="74"/>
              <w:ind w:left="117"/>
              <w:rPr>
                <w:sz w:val="22"/>
              </w:rPr>
            </w:pPr>
            <w:r>
              <w:rPr>
                <w:sz w:val="22"/>
              </w:rPr>
              <w:t>Permanent</w:t>
            </w:r>
          </w:p>
        </w:tc>
        <w:tc>
          <w:tcPr>
            <w:tcW w:w="3384" w:type="dxa"/>
            <w:tcBorders>
              <w:bottom w:val="single" w:sz="4" w:space="0" w:color="000000"/>
            </w:tcBorders>
          </w:tcPr>
          <w:p>
            <w:pPr>
              <w:pStyle w:val="TableParagraph"/>
              <w:spacing w:line="251" w:lineRule="exact" w:before="74"/>
              <w:ind w:left="1431" w:right="1397"/>
              <w:jc w:val="center"/>
              <w:rPr>
                <w:sz w:val="22"/>
              </w:rPr>
            </w:pPr>
            <w:r>
              <w:rPr>
                <w:sz w:val="22"/>
              </w:rPr>
              <w:t>63</w:t>
            </w:r>
          </w:p>
        </w:tc>
      </w:tr>
      <w:tr>
        <w:trPr>
          <w:trHeight w:val="345" w:hRule="atLeast"/>
        </w:trPr>
        <w:tc>
          <w:tcPr>
            <w:tcW w:w="5726" w:type="dxa"/>
            <w:tcBorders>
              <w:top w:val="single" w:sz="4" w:space="0" w:color="000000"/>
              <w:bottom w:val="single" w:sz="4" w:space="0" w:color="000000"/>
            </w:tcBorders>
          </w:tcPr>
          <w:p>
            <w:pPr>
              <w:pStyle w:val="TableParagraph"/>
              <w:spacing w:before="72"/>
              <w:ind w:left="117"/>
              <w:rPr>
                <w:sz w:val="22"/>
              </w:rPr>
            </w:pPr>
            <w:r>
              <w:rPr>
                <w:sz w:val="22"/>
              </w:rPr>
              <w:t>Fixed term</w:t>
            </w:r>
          </w:p>
        </w:tc>
        <w:tc>
          <w:tcPr>
            <w:tcW w:w="3384" w:type="dxa"/>
            <w:tcBorders>
              <w:top w:val="single" w:sz="4" w:space="0" w:color="000000"/>
              <w:bottom w:val="single" w:sz="4" w:space="0" w:color="000000"/>
            </w:tcBorders>
          </w:tcPr>
          <w:p>
            <w:pPr>
              <w:pStyle w:val="TableParagraph"/>
              <w:spacing w:before="72"/>
              <w:ind w:left="37"/>
              <w:jc w:val="center"/>
              <w:rPr>
                <w:sz w:val="22"/>
              </w:rPr>
            </w:pPr>
            <w:r>
              <w:rPr>
                <w:w w:val="100"/>
                <w:sz w:val="22"/>
              </w:rPr>
              <w:t>3</w:t>
            </w:r>
          </w:p>
        </w:tc>
      </w:tr>
      <w:tr>
        <w:trPr>
          <w:trHeight w:val="345" w:hRule="atLeast"/>
        </w:trPr>
        <w:tc>
          <w:tcPr>
            <w:tcW w:w="5726" w:type="dxa"/>
            <w:tcBorders>
              <w:top w:val="single" w:sz="4" w:space="0" w:color="000000"/>
              <w:bottom w:val="single" w:sz="4" w:space="0" w:color="000000"/>
            </w:tcBorders>
          </w:tcPr>
          <w:p>
            <w:pPr>
              <w:pStyle w:val="TableParagraph"/>
              <w:spacing w:before="72"/>
              <w:ind w:left="117"/>
              <w:rPr>
                <w:sz w:val="22"/>
              </w:rPr>
            </w:pPr>
            <w:r>
              <w:rPr>
                <w:sz w:val="22"/>
              </w:rPr>
              <w:t>Statutory office holders</w:t>
            </w:r>
          </w:p>
        </w:tc>
        <w:tc>
          <w:tcPr>
            <w:tcW w:w="3384" w:type="dxa"/>
            <w:tcBorders>
              <w:top w:val="single" w:sz="4" w:space="0" w:color="000000"/>
              <w:bottom w:val="single" w:sz="4" w:space="0" w:color="000000"/>
            </w:tcBorders>
          </w:tcPr>
          <w:p>
            <w:pPr>
              <w:pStyle w:val="TableParagraph"/>
              <w:spacing w:before="72"/>
              <w:ind w:left="37"/>
              <w:jc w:val="center"/>
              <w:rPr>
                <w:sz w:val="22"/>
              </w:rPr>
            </w:pPr>
            <w:r>
              <w:rPr>
                <w:w w:val="100"/>
                <w:sz w:val="22"/>
              </w:rPr>
              <w:t>8</w:t>
            </w:r>
          </w:p>
        </w:tc>
      </w:tr>
      <w:tr>
        <w:trPr>
          <w:trHeight w:val="345" w:hRule="atLeast"/>
        </w:trPr>
        <w:tc>
          <w:tcPr>
            <w:tcW w:w="5726" w:type="dxa"/>
            <w:tcBorders>
              <w:top w:val="single" w:sz="4" w:space="0" w:color="000000"/>
              <w:bottom w:val="single" w:sz="4" w:space="0" w:color="000000"/>
            </w:tcBorders>
          </w:tcPr>
          <w:p>
            <w:pPr>
              <w:pStyle w:val="TableParagraph"/>
              <w:spacing w:before="72"/>
              <w:ind w:left="117"/>
              <w:rPr>
                <w:sz w:val="22"/>
              </w:rPr>
            </w:pPr>
            <w:r>
              <w:rPr>
                <w:sz w:val="22"/>
              </w:rPr>
              <w:t>Bank</w:t>
            </w:r>
          </w:p>
        </w:tc>
        <w:tc>
          <w:tcPr>
            <w:tcW w:w="3384" w:type="dxa"/>
            <w:tcBorders>
              <w:top w:val="single" w:sz="4" w:space="0" w:color="000000"/>
              <w:bottom w:val="single" w:sz="4" w:space="0" w:color="000000"/>
            </w:tcBorders>
          </w:tcPr>
          <w:p>
            <w:pPr>
              <w:pStyle w:val="TableParagraph"/>
              <w:spacing w:before="72"/>
              <w:ind w:left="37"/>
              <w:jc w:val="center"/>
              <w:rPr>
                <w:sz w:val="22"/>
              </w:rPr>
            </w:pPr>
            <w:r>
              <w:rPr>
                <w:w w:val="100"/>
                <w:sz w:val="22"/>
              </w:rPr>
              <w:t>1</w:t>
            </w:r>
          </w:p>
        </w:tc>
      </w:tr>
      <w:tr>
        <w:trPr>
          <w:trHeight w:val="345" w:hRule="atLeast"/>
        </w:trPr>
        <w:tc>
          <w:tcPr>
            <w:tcW w:w="5726" w:type="dxa"/>
            <w:tcBorders>
              <w:top w:val="single" w:sz="4" w:space="0" w:color="000000"/>
            </w:tcBorders>
          </w:tcPr>
          <w:p>
            <w:pPr>
              <w:pStyle w:val="TableParagraph"/>
              <w:spacing w:before="72"/>
              <w:ind w:left="117"/>
              <w:rPr>
                <w:sz w:val="22"/>
              </w:rPr>
            </w:pPr>
            <w:r>
              <w:rPr>
                <w:sz w:val="22"/>
              </w:rPr>
              <w:t>Honorary</w:t>
            </w:r>
          </w:p>
        </w:tc>
        <w:tc>
          <w:tcPr>
            <w:tcW w:w="3384" w:type="dxa"/>
            <w:tcBorders>
              <w:top w:val="single" w:sz="4" w:space="0" w:color="000000"/>
            </w:tcBorders>
          </w:tcPr>
          <w:p>
            <w:pPr>
              <w:pStyle w:val="TableParagraph"/>
              <w:spacing w:before="72"/>
              <w:ind w:left="1431" w:right="1397"/>
              <w:jc w:val="center"/>
              <w:rPr>
                <w:sz w:val="22"/>
              </w:rPr>
            </w:pPr>
            <w:r>
              <w:rPr>
                <w:sz w:val="22"/>
              </w:rPr>
              <w:t>15</w:t>
            </w:r>
          </w:p>
        </w:tc>
      </w:tr>
    </w:tbl>
    <w:p>
      <w:pPr>
        <w:spacing w:before="200"/>
        <w:ind w:left="120" w:right="0" w:firstLine="0"/>
        <w:jc w:val="both"/>
        <w:rPr>
          <w:sz w:val="16"/>
        </w:rPr>
      </w:pPr>
      <w:r>
        <w:rPr>
          <w:sz w:val="16"/>
        </w:rPr>
        <w:t>*Includes VSM's and other spot salaries members</w:t>
      </w:r>
    </w:p>
    <w:p>
      <w:pPr>
        <w:pStyle w:val="BodyText"/>
        <w:rPr>
          <w:sz w:val="18"/>
        </w:rPr>
      </w:pPr>
    </w:p>
    <w:p>
      <w:pPr>
        <w:pStyle w:val="BodyText"/>
        <w:rPr>
          <w:sz w:val="18"/>
        </w:rPr>
      </w:pPr>
    </w:p>
    <w:p>
      <w:pPr>
        <w:spacing w:before="120"/>
        <w:ind w:left="120" w:right="0" w:firstLine="0"/>
        <w:jc w:val="left"/>
        <w:rPr>
          <w:b/>
          <w:sz w:val="28"/>
        </w:rPr>
      </w:pPr>
      <w:r>
        <w:rPr>
          <w:b/>
          <w:color w:val="4F81BB"/>
          <w:sz w:val="28"/>
        </w:rPr>
        <w:t>Staff composition</w:t>
      </w:r>
    </w:p>
    <w:p>
      <w:pPr>
        <w:pStyle w:val="BodyText"/>
        <w:spacing w:line="244" w:lineRule="auto" w:before="164"/>
        <w:ind w:left="119" w:right="300"/>
        <w:jc w:val="both"/>
      </w:pPr>
      <w:r>
        <w:rPr/>
        <w:t>Between</w:t>
      </w:r>
      <w:r>
        <w:rPr>
          <w:spacing w:val="-8"/>
        </w:rPr>
        <w:t> </w:t>
      </w:r>
      <w:r>
        <w:rPr/>
        <w:t>1</w:t>
      </w:r>
      <w:r>
        <w:rPr>
          <w:spacing w:val="-8"/>
        </w:rPr>
        <w:t> </w:t>
      </w:r>
      <w:r>
        <w:rPr/>
        <w:t>April</w:t>
      </w:r>
      <w:r>
        <w:rPr>
          <w:spacing w:val="-8"/>
        </w:rPr>
        <w:t> </w:t>
      </w:r>
      <w:r>
        <w:rPr/>
        <w:t>2021</w:t>
      </w:r>
      <w:r>
        <w:rPr>
          <w:spacing w:val="-8"/>
        </w:rPr>
        <w:t> </w:t>
      </w:r>
      <w:r>
        <w:rPr/>
        <w:t>and</w:t>
      </w:r>
      <w:r>
        <w:rPr>
          <w:spacing w:val="-8"/>
        </w:rPr>
        <w:t> </w:t>
      </w:r>
      <w:r>
        <w:rPr/>
        <w:t>31</w:t>
      </w:r>
      <w:r>
        <w:rPr>
          <w:spacing w:val="-7"/>
        </w:rPr>
        <w:t> </w:t>
      </w:r>
      <w:r>
        <w:rPr/>
        <w:t>March</w:t>
      </w:r>
      <w:r>
        <w:rPr>
          <w:spacing w:val="-8"/>
        </w:rPr>
        <w:t> </w:t>
      </w:r>
      <w:r>
        <w:rPr/>
        <w:t>2022</w:t>
      </w:r>
      <w:r>
        <w:rPr>
          <w:spacing w:val="-10"/>
        </w:rPr>
        <w:t> </w:t>
      </w:r>
      <w:r>
        <w:rPr/>
        <w:t>the</w:t>
      </w:r>
      <w:r>
        <w:rPr>
          <w:spacing w:val="-5"/>
        </w:rPr>
        <w:t> </w:t>
      </w:r>
      <w:r>
        <w:rPr/>
        <w:t>gender</w:t>
      </w:r>
      <w:r>
        <w:rPr>
          <w:spacing w:val="-4"/>
        </w:rPr>
        <w:t> </w:t>
      </w:r>
      <w:r>
        <w:rPr/>
        <w:t>composition</w:t>
      </w:r>
      <w:r>
        <w:rPr>
          <w:spacing w:val="-8"/>
        </w:rPr>
        <w:t> </w:t>
      </w:r>
      <w:r>
        <w:rPr>
          <w:spacing w:val="-3"/>
        </w:rPr>
        <w:t>of </w:t>
      </w:r>
      <w:r>
        <w:rPr/>
        <w:t>the</w:t>
      </w:r>
      <w:r>
        <w:rPr>
          <w:spacing w:val="5"/>
        </w:rPr>
        <w:t> </w:t>
      </w:r>
      <w:r>
        <w:rPr>
          <w:spacing w:val="-2"/>
        </w:rPr>
        <w:t>NHS</w:t>
      </w:r>
      <w:r>
        <w:rPr>
          <w:spacing w:val="6"/>
        </w:rPr>
        <w:t> </w:t>
      </w:r>
      <w:r>
        <w:rPr/>
        <w:t>North</w:t>
      </w:r>
      <w:r>
        <w:rPr>
          <w:spacing w:val="7"/>
        </w:rPr>
        <w:t> </w:t>
      </w:r>
      <w:r>
        <w:rPr/>
        <w:t>Lincolnshire CCG Board and Council of Members </w:t>
      </w:r>
      <w:r>
        <w:rPr>
          <w:spacing w:val="-3"/>
        </w:rPr>
        <w:t>was </w:t>
      </w:r>
      <w:r>
        <w:rPr/>
        <w:t>as</w:t>
      </w:r>
      <w:r>
        <w:rPr>
          <w:spacing w:val="-10"/>
        </w:rPr>
        <w:t> </w:t>
      </w:r>
      <w:r>
        <w:rPr/>
        <w:t>follows:</w:t>
      </w:r>
    </w:p>
    <w:p>
      <w:pPr>
        <w:pStyle w:val="BodyText"/>
        <w:spacing w:before="1"/>
        <w:rPr>
          <w:sz w:val="8"/>
        </w:rPr>
      </w:pPr>
    </w:p>
    <w:tbl>
      <w:tblPr>
        <w:tblW w:w="0" w:type="auto"/>
        <w:jc w:val="left"/>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820"/>
        <w:gridCol w:w="1747"/>
        <w:gridCol w:w="1745"/>
      </w:tblGrid>
      <w:tr>
        <w:trPr>
          <w:trHeight w:val="385" w:hRule="atLeast"/>
        </w:trPr>
        <w:tc>
          <w:tcPr>
            <w:tcW w:w="5820" w:type="dxa"/>
            <w:shd w:val="clear" w:color="auto" w:fill="93B3D5"/>
          </w:tcPr>
          <w:p>
            <w:pPr>
              <w:pStyle w:val="TableParagraph"/>
              <w:rPr>
                <w:rFonts w:ascii="Times New Roman"/>
                <w:sz w:val="22"/>
              </w:rPr>
            </w:pPr>
          </w:p>
        </w:tc>
        <w:tc>
          <w:tcPr>
            <w:tcW w:w="1747" w:type="dxa"/>
            <w:shd w:val="clear" w:color="auto" w:fill="93B3D5"/>
          </w:tcPr>
          <w:p>
            <w:pPr>
              <w:pStyle w:val="TableParagraph"/>
              <w:spacing w:line="248" w:lineRule="exact"/>
              <w:ind w:left="488" w:right="464"/>
              <w:jc w:val="center"/>
              <w:rPr>
                <w:sz w:val="22"/>
              </w:rPr>
            </w:pPr>
            <w:r>
              <w:rPr>
                <w:sz w:val="22"/>
              </w:rPr>
              <w:t>Female</w:t>
            </w:r>
          </w:p>
        </w:tc>
        <w:tc>
          <w:tcPr>
            <w:tcW w:w="1745" w:type="dxa"/>
            <w:shd w:val="clear" w:color="auto" w:fill="93B3D5"/>
          </w:tcPr>
          <w:p>
            <w:pPr>
              <w:pStyle w:val="TableParagraph"/>
              <w:spacing w:line="248" w:lineRule="exact"/>
              <w:ind w:left="610" w:right="597"/>
              <w:jc w:val="center"/>
              <w:rPr>
                <w:sz w:val="22"/>
              </w:rPr>
            </w:pPr>
            <w:r>
              <w:rPr>
                <w:sz w:val="22"/>
              </w:rPr>
              <w:t>Male</w:t>
            </w:r>
          </w:p>
        </w:tc>
      </w:tr>
      <w:tr>
        <w:trPr>
          <w:trHeight w:val="385" w:hRule="atLeast"/>
        </w:trPr>
        <w:tc>
          <w:tcPr>
            <w:tcW w:w="5820" w:type="dxa"/>
          </w:tcPr>
          <w:p>
            <w:pPr>
              <w:pStyle w:val="TableParagraph"/>
              <w:spacing w:before="2"/>
              <w:ind w:left="18"/>
              <w:rPr>
                <w:sz w:val="22"/>
              </w:rPr>
            </w:pPr>
            <w:r>
              <w:rPr>
                <w:sz w:val="22"/>
              </w:rPr>
              <w:t>CCG Board (Governing Body)</w:t>
            </w:r>
          </w:p>
        </w:tc>
        <w:tc>
          <w:tcPr>
            <w:tcW w:w="1747" w:type="dxa"/>
          </w:tcPr>
          <w:p>
            <w:pPr>
              <w:pStyle w:val="TableParagraph"/>
              <w:spacing w:before="69"/>
              <w:ind w:left="22"/>
              <w:jc w:val="center"/>
              <w:rPr>
                <w:sz w:val="22"/>
              </w:rPr>
            </w:pPr>
            <w:r>
              <w:rPr>
                <w:w w:val="100"/>
                <w:sz w:val="22"/>
              </w:rPr>
              <w:t>7</w:t>
            </w:r>
          </w:p>
        </w:tc>
        <w:tc>
          <w:tcPr>
            <w:tcW w:w="1745" w:type="dxa"/>
          </w:tcPr>
          <w:p>
            <w:pPr>
              <w:pStyle w:val="TableParagraph"/>
              <w:spacing w:before="69"/>
              <w:ind w:left="14"/>
              <w:jc w:val="center"/>
              <w:rPr>
                <w:sz w:val="22"/>
              </w:rPr>
            </w:pPr>
            <w:r>
              <w:rPr>
                <w:w w:val="100"/>
                <w:sz w:val="22"/>
              </w:rPr>
              <w:t>7</w:t>
            </w:r>
          </w:p>
        </w:tc>
      </w:tr>
      <w:tr>
        <w:trPr>
          <w:trHeight w:val="387" w:hRule="atLeast"/>
        </w:trPr>
        <w:tc>
          <w:tcPr>
            <w:tcW w:w="5820" w:type="dxa"/>
          </w:tcPr>
          <w:p>
            <w:pPr>
              <w:pStyle w:val="TableParagraph"/>
              <w:spacing w:line="250" w:lineRule="exact"/>
              <w:ind w:left="18"/>
              <w:rPr>
                <w:sz w:val="22"/>
              </w:rPr>
            </w:pPr>
            <w:r>
              <w:rPr>
                <w:sz w:val="22"/>
              </w:rPr>
              <w:t>CCG Membership (Council of Members)</w:t>
            </w:r>
          </w:p>
        </w:tc>
        <w:tc>
          <w:tcPr>
            <w:tcW w:w="1747" w:type="dxa"/>
          </w:tcPr>
          <w:p>
            <w:pPr>
              <w:pStyle w:val="TableParagraph"/>
              <w:spacing w:before="69"/>
              <w:ind w:left="22"/>
              <w:jc w:val="center"/>
              <w:rPr>
                <w:sz w:val="22"/>
              </w:rPr>
            </w:pPr>
            <w:r>
              <w:rPr>
                <w:w w:val="100"/>
                <w:sz w:val="22"/>
              </w:rPr>
              <w:t>3</w:t>
            </w:r>
          </w:p>
        </w:tc>
        <w:tc>
          <w:tcPr>
            <w:tcW w:w="1745" w:type="dxa"/>
          </w:tcPr>
          <w:p>
            <w:pPr>
              <w:pStyle w:val="TableParagraph"/>
              <w:spacing w:before="69"/>
              <w:ind w:left="608" w:right="597"/>
              <w:jc w:val="center"/>
              <w:rPr>
                <w:sz w:val="22"/>
              </w:rPr>
            </w:pPr>
            <w:r>
              <w:rPr>
                <w:sz w:val="22"/>
              </w:rPr>
              <w:t>16</w:t>
            </w:r>
          </w:p>
        </w:tc>
      </w:tr>
    </w:tbl>
    <w:p>
      <w:pPr>
        <w:pStyle w:val="BodyText"/>
        <w:spacing w:before="11"/>
        <w:rPr>
          <w:sz w:val="21"/>
        </w:rPr>
      </w:pPr>
    </w:p>
    <w:p>
      <w:pPr>
        <w:pStyle w:val="BodyText"/>
        <w:ind w:left="120" w:right="294"/>
        <w:jc w:val="both"/>
      </w:pPr>
      <w:r>
        <w:rPr/>
        <w:t>The gender composition for NHS North Lincolnshire CCG employees at 31 March 2022 was as follows:</w:t>
      </w:r>
    </w:p>
    <w:p>
      <w:pPr>
        <w:pStyle w:val="BodyText"/>
        <w:spacing w:before="11"/>
        <w:rPr>
          <w:sz w:val="21"/>
        </w:rPr>
      </w:pPr>
    </w:p>
    <w:tbl>
      <w:tblPr>
        <w:tblW w:w="0" w:type="auto"/>
        <w:jc w:val="left"/>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726"/>
        <w:gridCol w:w="1744"/>
        <w:gridCol w:w="1636"/>
      </w:tblGrid>
      <w:tr>
        <w:trPr>
          <w:trHeight w:val="303" w:hRule="atLeast"/>
        </w:trPr>
        <w:tc>
          <w:tcPr>
            <w:tcW w:w="5726" w:type="dxa"/>
            <w:shd w:val="clear" w:color="auto" w:fill="93B3D5"/>
          </w:tcPr>
          <w:p>
            <w:pPr>
              <w:pStyle w:val="TableParagraph"/>
              <w:spacing w:before="28"/>
              <w:ind w:left="117"/>
              <w:rPr>
                <w:sz w:val="22"/>
              </w:rPr>
            </w:pPr>
            <w:r>
              <w:rPr>
                <w:sz w:val="22"/>
              </w:rPr>
              <w:t>Pay band</w:t>
            </w:r>
          </w:p>
        </w:tc>
        <w:tc>
          <w:tcPr>
            <w:tcW w:w="1744" w:type="dxa"/>
            <w:shd w:val="clear" w:color="auto" w:fill="93B3D5"/>
          </w:tcPr>
          <w:p>
            <w:pPr>
              <w:pStyle w:val="TableParagraph"/>
              <w:spacing w:before="28"/>
              <w:ind w:left="494" w:right="456"/>
              <w:jc w:val="center"/>
              <w:rPr>
                <w:sz w:val="22"/>
              </w:rPr>
            </w:pPr>
            <w:r>
              <w:rPr>
                <w:sz w:val="22"/>
              </w:rPr>
              <w:t>Female</w:t>
            </w:r>
          </w:p>
        </w:tc>
        <w:tc>
          <w:tcPr>
            <w:tcW w:w="1636" w:type="dxa"/>
            <w:shd w:val="clear" w:color="auto" w:fill="93B3D5"/>
          </w:tcPr>
          <w:p>
            <w:pPr>
              <w:pStyle w:val="TableParagraph"/>
              <w:spacing w:before="28"/>
              <w:ind w:left="571" w:right="528"/>
              <w:jc w:val="center"/>
              <w:rPr>
                <w:sz w:val="22"/>
              </w:rPr>
            </w:pPr>
            <w:r>
              <w:rPr>
                <w:sz w:val="22"/>
              </w:rPr>
              <w:t>Male</w:t>
            </w:r>
          </w:p>
        </w:tc>
      </w:tr>
      <w:tr>
        <w:trPr>
          <w:trHeight w:val="292" w:hRule="atLeast"/>
        </w:trPr>
        <w:tc>
          <w:tcPr>
            <w:tcW w:w="5726" w:type="dxa"/>
            <w:tcBorders>
              <w:bottom w:val="single" w:sz="4" w:space="0" w:color="000000"/>
            </w:tcBorders>
          </w:tcPr>
          <w:p>
            <w:pPr>
              <w:pStyle w:val="TableParagraph"/>
              <w:spacing w:before="19"/>
              <w:ind w:left="117"/>
              <w:rPr>
                <w:sz w:val="22"/>
              </w:rPr>
            </w:pPr>
            <w:r>
              <w:rPr>
                <w:sz w:val="22"/>
              </w:rPr>
              <w:t>Band 8a</w:t>
            </w:r>
          </w:p>
        </w:tc>
        <w:tc>
          <w:tcPr>
            <w:tcW w:w="1744" w:type="dxa"/>
            <w:tcBorders>
              <w:bottom w:val="single" w:sz="4" w:space="0" w:color="000000"/>
            </w:tcBorders>
          </w:tcPr>
          <w:p>
            <w:pPr>
              <w:pStyle w:val="TableParagraph"/>
              <w:spacing w:before="19"/>
              <w:ind w:left="40"/>
              <w:jc w:val="center"/>
              <w:rPr>
                <w:sz w:val="22"/>
              </w:rPr>
            </w:pPr>
            <w:r>
              <w:rPr>
                <w:w w:val="100"/>
                <w:sz w:val="22"/>
              </w:rPr>
              <w:t>7</w:t>
            </w:r>
          </w:p>
        </w:tc>
        <w:tc>
          <w:tcPr>
            <w:tcW w:w="1636" w:type="dxa"/>
            <w:tcBorders>
              <w:bottom w:val="single" w:sz="4" w:space="0" w:color="000000"/>
            </w:tcBorders>
          </w:tcPr>
          <w:p>
            <w:pPr>
              <w:pStyle w:val="TableParagraph"/>
              <w:spacing w:before="19"/>
              <w:ind w:left="44"/>
              <w:jc w:val="center"/>
              <w:rPr>
                <w:sz w:val="22"/>
              </w:rPr>
            </w:pPr>
            <w:r>
              <w:rPr>
                <w:w w:val="100"/>
                <w:sz w:val="22"/>
              </w:rPr>
              <w:t>1</w:t>
            </w:r>
          </w:p>
        </w:tc>
      </w:tr>
      <w:tr>
        <w:trPr>
          <w:trHeight w:val="290" w:hRule="atLeast"/>
        </w:trPr>
        <w:tc>
          <w:tcPr>
            <w:tcW w:w="5726" w:type="dxa"/>
            <w:tcBorders>
              <w:top w:val="single" w:sz="4" w:space="0" w:color="000000"/>
              <w:bottom w:val="single" w:sz="4" w:space="0" w:color="000000"/>
            </w:tcBorders>
          </w:tcPr>
          <w:p>
            <w:pPr>
              <w:pStyle w:val="TableParagraph"/>
              <w:spacing w:before="16"/>
              <w:ind w:left="117"/>
              <w:rPr>
                <w:sz w:val="22"/>
              </w:rPr>
            </w:pPr>
            <w:r>
              <w:rPr>
                <w:sz w:val="22"/>
              </w:rPr>
              <w:t>Band 8b</w:t>
            </w:r>
          </w:p>
        </w:tc>
        <w:tc>
          <w:tcPr>
            <w:tcW w:w="1744" w:type="dxa"/>
            <w:tcBorders>
              <w:top w:val="single" w:sz="4" w:space="0" w:color="000000"/>
              <w:bottom w:val="single" w:sz="4" w:space="0" w:color="000000"/>
            </w:tcBorders>
          </w:tcPr>
          <w:p>
            <w:pPr>
              <w:pStyle w:val="TableParagraph"/>
              <w:spacing w:before="16"/>
              <w:ind w:left="40"/>
              <w:jc w:val="center"/>
              <w:rPr>
                <w:sz w:val="22"/>
              </w:rPr>
            </w:pPr>
            <w:r>
              <w:rPr>
                <w:w w:val="100"/>
                <w:sz w:val="22"/>
              </w:rPr>
              <w:t>3</w:t>
            </w:r>
          </w:p>
        </w:tc>
        <w:tc>
          <w:tcPr>
            <w:tcW w:w="1636" w:type="dxa"/>
            <w:tcBorders>
              <w:top w:val="single" w:sz="4" w:space="0" w:color="000000"/>
              <w:bottom w:val="single" w:sz="4" w:space="0" w:color="000000"/>
            </w:tcBorders>
          </w:tcPr>
          <w:p>
            <w:pPr>
              <w:pStyle w:val="TableParagraph"/>
              <w:spacing w:before="16"/>
              <w:ind w:left="44"/>
              <w:jc w:val="center"/>
              <w:rPr>
                <w:sz w:val="22"/>
              </w:rPr>
            </w:pPr>
            <w:r>
              <w:rPr>
                <w:w w:val="100"/>
                <w:sz w:val="22"/>
              </w:rPr>
              <w:t>2</w:t>
            </w:r>
          </w:p>
        </w:tc>
      </w:tr>
      <w:tr>
        <w:trPr>
          <w:trHeight w:val="292" w:hRule="atLeast"/>
        </w:trPr>
        <w:tc>
          <w:tcPr>
            <w:tcW w:w="5726" w:type="dxa"/>
            <w:tcBorders>
              <w:top w:val="single" w:sz="4" w:space="0" w:color="000000"/>
              <w:bottom w:val="single" w:sz="4" w:space="0" w:color="000000"/>
            </w:tcBorders>
          </w:tcPr>
          <w:p>
            <w:pPr>
              <w:pStyle w:val="TableParagraph"/>
              <w:spacing w:before="19"/>
              <w:ind w:left="117"/>
              <w:rPr>
                <w:sz w:val="22"/>
              </w:rPr>
            </w:pPr>
            <w:r>
              <w:rPr>
                <w:sz w:val="22"/>
              </w:rPr>
              <w:t>Band 8c</w:t>
            </w:r>
          </w:p>
        </w:tc>
        <w:tc>
          <w:tcPr>
            <w:tcW w:w="1744" w:type="dxa"/>
            <w:tcBorders>
              <w:top w:val="single" w:sz="4" w:space="0" w:color="000000"/>
              <w:bottom w:val="single" w:sz="4" w:space="0" w:color="000000"/>
            </w:tcBorders>
          </w:tcPr>
          <w:p>
            <w:pPr>
              <w:pStyle w:val="TableParagraph"/>
              <w:spacing w:before="19"/>
              <w:ind w:left="40"/>
              <w:jc w:val="center"/>
              <w:rPr>
                <w:sz w:val="22"/>
              </w:rPr>
            </w:pPr>
            <w:r>
              <w:rPr>
                <w:w w:val="100"/>
                <w:sz w:val="22"/>
              </w:rPr>
              <w:t>2</w:t>
            </w:r>
          </w:p>
        </w:tc>
        <w:tc>
          <w:tcPr>
            <w:tcW w:w="1636" w:type="dxa"/>
            <w:tcBorders>
              <w:top w:val="single" w:sz="4" w:space="0" w:color="000000"/>
              <w:bottom w:val="single" w:sz="4" w:space="0" w:color="000000"/>
            </w:tcBorders>
          </w:tcPr>
          <w:p>
            <w:pPr>
              <w:pStyle w:val="TableParagraph"/>
              <w:rPr>
                <w:rFonts w:ascii="Times New Roman"/>
                <w:sz w:val="20"/>
              </w:rPr>
            </w:pPr>
          </w:p>
        </w:tc>
      </w:tr>
      <w:tr>
        <w:trPr>
          <w:trHeight w:val="290" w:hRule="atLeast"/>
        </w:trPr>
        <w:tc>
          <w:tcPr>
            <w:tcW w:w="5726" w:type="dxa"/>
            <w:tcBorders>
              <w:top w:val="single" w:sz="4" w:space="0" w:color="000000"/>
              <w:bottom w:val="single" w:sz="4" w:space="0" w:color="000000"/>
            </w:tcBorders>
          </w:tcPr>
          <w:p>
            <w:pPr>
              <w:pStyle w:val="TableParagraph"/>
              <w:spacing w:line="251" w:lineRule="exact" w:before="19"/>
              <w:ind w:left="117"/>
              <w:rPr>
                <w:sz w:val="22"/>
              </w:rPr>
            </w:pPr>
            <w:r>
              <w:rPr>
                <w:sz w:val="22"/>
              </w:rPr>
              <w:t>Band 8d</w:t>
            </w:r>
          </w:p>
        </w:tc>
        <w:tc>
          <w:tcPr>
            <w:tcW w:w="1744" w:type="dxa"/>
            <w:tcBorders>
              <w:top w:val="single" w:sz="4" w:space="0" w:color="000000"/>
              <w:bottom w:val="single" w:sz="4" w:space="0" w:color="000000"/>
            </w:tcBorders>
          </w:tcPr>
          <w:p>
            <w:pPr>
              <w:pStyle w:val="TableParagraph"/>
              <w:spacing w:line="251" w:lineRule="exact" w:before="19"/>
              <w:ind w:left="40"/>
              <w:jc w:val="center"/>
              <w:rPr>
                <w:sz w:val="22"/>
              </w:rPr>
            </w:pPr>
            <w:r>
              <w:rPr>
                <w:w w:val="100"/>
                <w:sz w:val="22"/>
              </w:rPr>
              <w:t>1</w:t>
            </w:r>
          </w:p>
        </w:tc>
        <w:tc>
          <w:tcPr>
            <w:tcW w:w="1636" w:type="dxa"/>
            <w:tcBorders>
              <w:top w:val="single" w:sz="4" w:space="0" w:color="000000"/>
              <w:bottom w:val="single" w:sz="4" w:space="0" w:color="000000"/>
            </w:tcBorders>
          </w:tcPr>
          <w:p>
            <w:pPr>
              <w:pStyle w:val="TableParagraph"/>
              <w:rPr>
                <w:rFonts w:ascii="Times New Roman"/>
                <w:sz w:val="20"/>
              </w:rPr>
            </w:pPr>
          </w:p>
        </w:tc>
      </w:tr>
      <w:tr>
        <w:trPr>
          <w:trHeight w:val="292" w:hRule="atLeast"/>
        </w:trPr>
        <w:tc>
          <w:tcPr>
            <w:tcW w:w="5726" w:type="dxa"/>
            <w:tcBorders>
              <w:top w:val="single" w:sz="4" w:space="0" w:color="000000"/>
              <w:bottom w:val="single" w:sz="4" w:space="0" w:color="000000"/>
            </w:tcBorders>
          </w:tcPr>
          <w:p>
            <w:pPr>
              <w:pStyle w:val="TableParagraph"/>
              <w:spacing w:line="251" w:lineRule="exact" w:before="21"/>
              <w:ind w:left="117"/>
              <w:rPr>
                <w:sz w:val="22"/>
              </w:rPr>
            </w:pPr>
            <w:r>
              <w:rPr>
                <w:sz w:val="22"/>
              </w:rPr>
              <w:t>Band 9</w:t>
            </w:r>
          </w:p>
        </w:tc>
        <w:tc>
          <w:tcPr>
            <w:tcW w:w="1744" w:type="dxa"/>
            <w:tcBorders>
              <w:top w:val="single" w:sz="4" w:space="0" w:color="000000"/>
              <w:bottom w:val="single" w:sz="4" w:space="0" w:color="000000"/>
            </w:tcBorders>
          </w:tcPr>
          <w:p>
            <w:pPr>
              <w:pStyle w:val="TableParagraph"/>
              <w:spacing w:line="251" w:lineRule="exact" w:before="21"/>
              <w:ind w:left="40"/>
              <w:jc w:val="center"/>
              <w:rPr>
                <w:sz w:val="22"/>
              </w:rPr>
            </w:pPr>
            <w:r>
              <w:rPr>
                <w:w w:val="100"/>
                <w:sz w:val="22"/>
              </w:rPr>
              <w:t>1</w:t>
            </w:r>
          </w:p>
        </w:tc>
        <w:tc>
          <w:tcPr>
            <w:tcW w:w="1636" w:type="dxa"/>
            <w:tcBorders>
              <w:top w:val="single" w:sz="4" w:space="0" w:color="000000"/>
              <w:bottom w:val="single" w:sz="4" w:space="0" w:color="000000"/>
            </w:tcBorders>
          </w:tcPr>
          <w:p>
            <w:pPr>
              <w:pStyle w:val="TableParagraph"/>
              <w:rPr>
                <w:rFonts w:ascii="Times New Roman"/>
                <w:sz w:val="20"/>
              </w:rPr>
            </w:pPr>
          </w:p>
        </w:tc>
      </w:tr>
      <w:tr>
        <w:trPr>
          <w:trHeight w:val="292" w:hRule="atLeast"/>
        </w:trPr>
        <w:tc>
          <w:tcPr>
            <w:tcW w:w="5726" w:type="dxa"/>
            <w:tcBorders>
              <w:top w:val="single" w:sz="4" w:space="0" w:color="000000"/>
              <w:bottom w:val="single" w:sz="4" w:space="0" w:color="000000"/>
            </w:tcBorders>
          </w:tcPr>
          <w:p>
            <w:pPr>
              <w:pStyle w:val="TableParagraph"/>
              <w:spacing w:before="19"/>
              <w:ind w:left="117"/>
              <w:rPr>
                <w:sz w:val="22"/>
              </w:rPr>
            </w:pPr>
            <w:r>
              <w:rPr>
                <w:sz w:val="22"/>
              </w:rPr>
              <w:t>VSM</w:t>
            </w:r>
          </w:p>
        </w:tc>
        <w:tc>
          <w:tcPr>
            <w:tcW w:w="1744" w:type="dxa"/>
            <w:tcBorders>
              <w:top w:val="single" w:sz="4" w:space="0" w:color="000000"/>
              <w:bottom w:val="single" w:sz="4" w:space="0" w:color="000000"/>
            </w:tcBorders>
          </w:tcPr>
          <w:p>
            <w:pPr>
              <w:pStyle w:val="TableParagraph"/>
              <w:spacing w:before="19"/>
              <w:ind w:left="40"/>
              <w:jc w:val="center"/>
              <w:rPr>
                <w:sz w:val="22"/>
              </w:rPr>
            </w:pPr>
            <w:r>
              <w:rPr>
                <w:w w:val="100"/>
                <w:sz w:val="22"/>
              </w:rPr>
              <w:t>3</w:t>
            </w:r>
          </w:p>
        </w:tc>
        <w:tc>
          <w:tcPr>
            <w:tcW w:w="1636" w:type="dxa"/>
            <w:tcBorders>
              <w:top w:val="single" w:sz="4" w:space="0" w:color="000000"/>
              <w:bottom w:val="single" w:sz="4" w:space="0" w:color="000000"/>
            </w:tcBorders>
          </w:tcPr>
          <w:p>
            <w:pPr>
              <w:pStyle w:val="TableParagraph"/>
              <w:rPr>
                <w:rFonts w:ascii="Times New Roman"/>
                <w:sz w:val="20"/>
              </w:rPr>
            </w:pPr>
          </w:p>
        </w:tc>
      </w:tr>
      <w:tr>
        <w:trPr>
          <w:trHeight w:val="292" w:hRule="atLeast"/>
        </w:trPr>
        <w:tc>
          <w:tcPr>
            <w:tcW w:w="5726" w:type="dxa"/>
            <w:tcBorders>
              <w:top w:val="single" w:sz="4" w:space="0" w:color="000000"/>
              <w:bottom w:val="single" w:sz="4" w:space="0" w:color="000000"/>
            </w:tcBorders>
          </w:tcPr>
          <w:p>
            <w:pPr>
              <w:pStyle w:val="TableParagraph"/>
              <w:spacing w:before="19"/>
              <w:ind w:left="117"/>
              <w:rPr>
                <w:sz w:val="22"/>
              </w:rPr>
            </w:pPr>
            <w:r>
              <w:rPr>
                <w:sz w:val="22"/>
              </w:rPr>
              <w:t>Governing body**</w:t>
            </w:r>
          </w:p>
        </w:tc>
        <w:tc>
          <w:tcPr>
            <w:tcW w:w="1744" w:type="dxa"/>
            <w:tcBorders>
              <w:top w:val="single" w:sz="4" w:space="0" w:color="000000"/>
              <w:bottom w:val="single" w:sz="4" w:space="0" w:color="000000"/>
            </w:tcBorders>
          </w:tcPr>
          <w:p>
            <w:pPr>
              <w:pStyle w:val="TableParagraph"/>
              <w:spacing w:before="19"/>
              <w:ind w:left="40"/>
              <w:jc w:val="center"/>
              <w:rPr>
                <w:sz w:val="22"/>
              </w:rPr>
            </w:pPr>
            <w:r>
              <w:rPr>
                <w:w w:val="100"/>
                <w:sz w:val="22"/>
              </w:rPr>
              <w:t>7</w:t>
            </w:r>
          </w:p>
        </w:tc>
        <w:tc>
          <w:tcPr>
            <w:tcW w:w="1636" w:type="dxa"/>
            <w:tcBorders>
              <w:top w:val="single" w:sz="4" w:space="0" w:color="000000"/>
              <w:bottom w:val="single" w:sz="4" w:space="0" w:color="000000"/>
            </w:tcBorders>
          </w:tcPr>
          <w:p>
            <w:pPr>
              <w:pStyle w:val="TableParagraph"/>
              <w:spacing w:before="19"/>
              <w:ind w:left="44"/>
              <w:jc w:val="center"/>
              <w:rPr>
                <w:sz w:val="22"/>
              </w:rPr>
            </w:pPr>
            <w:r>
              <w:rPr>
                <w:w w:val="100"/>
                <w:sz w:val="22"/>
              </w:rPr>
              <w:t>7</w:t>
            </w:r>
          </w:p>
        </w:tc>
      </w:tr>
    </w:tbl>
    <w:p>
      <w:pPr>
        <w:spacing w:after="0"/>
        <w:jc w:val="center"/>
        <w:rPr>
          <w:sz w:val="22"/>
        </w:rPr>
        <w:sectPr>
          <w:pgSz w:w="11920" w:h="16850"/>
          <w:pgMar w:header="0" w:footer="443" w:top="1320" w:bottom="640" w:left="1320" w:right="840"/>
        </w:sectPr>
      </w:pPr>
    </w:p>
    <w:tbl>
      <w:tblPr>
        <w:tblW w:w="0" w:type="auto"/>
        <w:jc w:val="left"/>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726"/>
        <w:gridCol w:w="1744"/>
        <w:gridCol w:w="1636"/>
      </w:tblGrid>
      <w:tr>
        <w:trPr>
          <w:trHeight w:val="292" w:hRule="atLeast"/>
        </w:trPr>
        <w:tc>
          <w:tcPr>
            <w:tcW w:w="5726" w:type="dxa"/>
            <w:tcBorders>
              <w:top w:val="nil"/>
              <w:bottom w:val="single" w:sz="4" w:space="0" w:color="000000"/>
            </w:tcBorders>
          </w:tcPr>
          <w:p>
            <w:pPr>
              <w:pStyle w:val="TableParagraph"/>
              <w:spacing w:before="19"/>
              <w:ind w:left="117"/>
              <w:rPr>
                <w:sz w:val="22"/>
              </w:rPr>
            </w:pPr>
            <w:r>
              <w:rPr>
                <w:sz w:val="22"/>
              </w:rPr>
              <w:t>Any other spot salary</w:t>
            </w:r>
          </w:p>
        </w:tc>
        <w:tc>
          <w:tcPr>
            <w:tcW w:w="1744" w:type="dxa"/>
            <w:tcBorders>
              <w:top w:val="nil"/>
              <w:bottom w:val="single" w:sz="4" w:space="0" w:color="000000"/>
            </w:tcBorders>
          </w:tcPr>
          <w:p>
            <w:pPr>
              <w:pStyle w:val="TableParagraph"/>
              <w:spacing w:before="19"/>
              <w:ind w:left="45"/>
              <w:jc w:val="center"/>
              <w:rPr>
                <w:sz w:val="22"/>
              </w:rPr>
            </w:pPr>
            <w:r>
              <w:rPr>
                <w:w w:val="100"/>
                <w:sz w:val="22"/>
              </w:rPr>
              <w:t>6</w:t>
            </w:r>
          </w:p>
        </w:tc>
        <w:tc>
          <w:tcPr>
            <w:tcW w:w="1636" w:type="dxa"/>
            <w:tcBorders>
              <w:top w:val="nil"/>
              <w:bottom w:val="single" w:sz="4" w:space="0" w:color="000000"/>
            </w:tcBorders>
          </w:tcPr>
          <w:p>
            <w:pPr>
              <w:pStyle w:val="TableParagraph"/>
              <w:spacing w:before="19"/>
              <w:ind w:right="662"/>
              <w:jc w:val="right"/>
              <w:rPr>
                <w:sz w:val="22"/>
              </w:rPr>
            </w:pPr>
            <w:r>
              <w:rPr>
                <w:sz w:val="22"/>
              </w:rPr>
              <w:t>12</w:t>
            </w:r>
          </w:p>
        </w:tc>
      </w:tr>
      <w:tr>
        <w:trPr>
          <w:trHeight w:val="301" w:hRule="atLeast"/>
        </w:trPr>
        <w:tc>
          <w:tcPr>
            <w:tcW w:w="5726" w:type="dxa"/>
            <w:tcBorders>
              <w:top w:val="single" w:sz="4" w:space="0" w:color="000000"/>
            </w:tcBorders>
          </w:tcPr>
          <w:p>
            <w:pPr>
              <w:pStyle w:val="TableParagraph"/>
              <w:spacing w:before="26"/>
              <w:ind w:left="117"/>
              <w:rPr>
                <w:sz w:val="22"/>
              </w:rPr>
            </w:pPr>
            <w:r>
              <w:rPr>
                <w:sz w:val="22"/>
              </w:rPr>
              <w:t>All other employees (including apprentice if applicable)</w:t>
            </w:r>
          </w:p>
        </w:tc>
        <w:tc>
          <w:tcPr>
            <w:tcW w:w="1744" w:type="dxa"/>
            <w:tcBorders>
              <w:top w:val="single" w:sz="4" w:space="0" w:color="000000"/>
            </w:tcBorders>
          </w:tcPr>
          <w:p>
            <w:pPr>
              <w:pStyle w:val="TableParagraph"/>
              <w:spacing w:before="26"/>
              <w:ind w:left="494" w:right="452"/>
              <w:jc w:val="center"/>
              <w:rPr>
                <w:sz w:val="22"/>
              </w:rPr>
            </w:pPr>
            <w:r>
              <w:rPr>
                <w:sz w:val="22"/>
              </w:rPr>
              <w:t>40</w:t>
            </w:r>
          </w:p>
        </w:tc>
        <w:tc>
          <w:tcPr>
            <w:tcW w:w="1636" w:type="dxa"/>
            <w:tcBorders>
              <w:top w:val="single" w:sz="4" w:space="0" w:color="000000"/>
            </w:tcBorders>
          </w:tcPr>
          <w:p>
            <w:pPr>
              <w:pStyle w:val="TableParagraph"/>
              <w:spacing w:before="26"/>
              <w:ind w:right="722"/>
              <w:jc w:val="right"/>
              <w:rPr>
                <w:sz w:val="22"/>
              </w:rPr>
            </w:pPr>
            <w:r>
              <w:rPr>
                <w:w w:val="100"/>
                <w:sz w:val="22"/>
              </w:rPr>
              <w:t>4</w:t>
            </w:r>
          </w:p>
        </w:tc>
      </w:tr>
    </w:tbl>
    <w:p>
      <w:pPr>
        <w:pStyle w:val="BodyText"/>
        <w:spacing w:before="9"/>
        <w:rPr>
          <w:sz w:val="8"/>
        </w:rPr>
      </w:pPr>
    </w:p>
    <w:p>
      <w:pPr>
        <w:spacing w:before="96"/>
        <w:ind w:left="120" w:right="0" w:firstLine="0"/>
        <w:jc w:val="left"/>
        <w:rPr>
          <w:sz w:val="16"/>
        </w:rPr>
      </w:pPr>
      <w:r>
        <w:rPr>
          <w:sz w:val="16"/>
        </w:rPr>
        <w:t>** Includes VSM and other spot salary</w:t>
      </w:r>
      <w:r>
        <w:rPr>
          <w:spacing w:val="-31"/>
          <w:sz w:val="16"/>
        </w:rPr>
        <w:t> </w:t>
      </w:r>
      <w:r>
        <w:rPr>
          <w:sz w:val="16"/>
        </w:rPr>
        <w:t>staff</w:t>
      </w:r>
    </w:p>
    <w:p>
      <w:pPr>
        <w:pStyle w:val="BodyText"/>
        <w:rPr>
          <w:sz w:val="18"/>
        </w:rPr>
      </w:pPr>
    </w:p>
    <w:p>
      <w:pPr>
        <w:pStyle w:val="BodyText"/>
        <w:rPr>
          <w:sz w:val="18"/>
        </w:rPr>
      </w:pPr>
    </w:p>
    <w:p>
      <w:pPr>
        <w:pStyle w:val="Heading3"/>
        <w:spacing w:before="120"/>
        <w:ind w:left="120"/>
      </w:pPr>
      <w:bookmarkStart w:name="Sickness absence data" w:id="162"/>
      <w:bookmarkEnd w:id="162"/>
      <w:r>
        <w:rPr>
          <w:b w:val="0"/>
        </w:rPr>
      </w:r>
      <w:r>
        <w:rPr>
          <w:color w:val="4F81BB"/>
        </w:rPr>
        <w:t>Sickness absence</w:t>
      </w:r>
      <w:r>
        <w:rPr>
          <w:color w:val="4F81BB"/>
          <w:spacing w:val="-20"/>
        </w:rPr>
        <w:t> </w:t>
      </w:r>
      <w:r>
        <w:rPr>
          <w:color w:val="4F81BB"/>
        </w:rPr>
        <w:t>data</w:t>
      </w:r>
    </w:p>
    <w:p>
      <w:pPr>
        <w:pStyle w:val="BodyText"/>
        <w:spacing w:before="166"/>
        <w:ind w:left="120" w:right="864"/>
      </w:pPr>
      <w:r>
        <w:rPr/>
        <w:t>The sickness absence data for NHS North Lincolnshire CCG between 1 April 2021 and 31 March 2022 is below:</w:t>
      </w:r>
    </w:p>
    <w:p>
      <w:pPr>
        <w:pStyle w:val="BodyText"/>
        <w:spacing w:before="11"/>
        <w:rPr>
          <w:sz w:val="21"/>
        </w:rPr>
      </w:pPr>
    </w:p>
    <w:tbl>
      <w:tblPr>
        <w:tblW w:w="0" w:type="auto"/>
        <w:jc w:val="left"/>
        <w:tblInd w:w="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483"/>
        <w:gridCol w:w="1596"/>
      </w:tblGrid>
      <w:tr>
        <w:trPr>
          <w:trHeight w:val="327" w:hRule="atLeast"/>
        </w:trPr>
        <w:tc>
          <w:tcPr>
            <w:tcW w:w="7483" w:type="dxa"/>
            <w:shd w:val="clear" w:color="auto" w:fill="8DB3E0"/>
          </w:tcPr>
          <w:p>
            <w:pPr>
              <w:pStyle w:val="TableParagraph"/>
              <w:spacing w:before="55"/>
              <w:ind w:left="3298" w:right="3267"/>
              <w:jc w:val="center"/>
              <w:rPr>
                <w:sz w:val="22"/>
              </w:rPr>
            </w:pPr>
            <w:r>
              <w:rPr>
                <w:sz w:val="22"/>
              </w:rPr>
              <w:t>Absence</w:t>
            </w:r>
          </w:p>
        </w:tc>
        <w:tc>
          <w:tcPr>
            <w:tcW w:w="1596" w:type="dxa"/>
            <w:shd w:val="clear" w:color="auto" w:fill="8DB3E0"/>
          </w:tcPr>
          <w:p>
            <w:pPr>
              <w:pStyle w:val="TableParagraph"/>
              <w:spacing w:before="55"/>
              <w:ind w:left="448" w:right="412"/>
              <w:jc w:val="center"/>
              <w:rPr>
                <w:sz w:val="22"/>
              </w:rPr>
            </w:pPr>
            <w:r>
              <w:rPr>
                <w:sz w:val="22"/>
              </w:rPr>
              <w:t>Total</w:t>
            </w:r>
          </w:p>
        </w:tc>
      </w:tr>
      <w:tr>
        <w:trPr>
          <w:trHeight w:val="318" w:hRule="atLeast"/>
        </w:trPr>
        <w:tc>
          <w:tcPr>
            <w:tcW w:w="7483" w:type="dxa"/>
            <w:tcBorders>
              <w:bottom w:val="single" w:sz="4" w:space="0" w:color="000000"/>
            </w:tcBorders>
          </w:tcPr>
          <w:p>
            <w:pPr>
              <w:pStyle w:val="TableParagraph"/>
              <w:spacing w:before="45"/>
              <w:ind w:left="117"/>
              <w:rPr>
                <w:sz w:val="22"/>
              </w:rPr>
            </w:pPr>
            <w:r>
              <w:rPr>
                <w:sz w:val="22"/>
              </w:rPr>
              <w:t>Average sickness %</w:t>
            </w:r>
          </w:p>
        </w:tc>
        <w:tc>
          <w:tcPr>
            <w:tcW w:w="1596" w:type="dxa"/>
            <w:tcBorders>
              <w:bottom w:val="single" w:sz="4" w:space="0" w:color="000000"/>
            </w:tcBorders>
          </w:tcPr>
          <w:p>
            <w:pPr>
              <w:pStyle w:val="TableParagraph"/>
              <w:spacing w:before="45"/>
              <w:ind w:left="450" w:right="410"/>
              <w:jc w:val="center"/>
              <w:rPr>
                <w:sz w:val="22"/>
              </w:rPr>
            </w:pPr>
            <w:r>
              <w:rPr>
                <w:sz w:val="22"/>
              </w:rPr>
              <w:t>2.6%</w:t>
            </w:r>
          </w:p>
        </w:tc>
      </w:tr>
      <w:tr>
        <w:trPr>
          <w:trHeight w:val="328" w:hRule="atLeast"/>
        </w:trPr>
        <w:tc>
          <w:tcPr>
            <w:tcW w:w="7483" w:type="dxa"/>
            <w:tcBorders>
              <w:top w:val="single" w:sz="4" w:space="0" w:color="000000"/>
            </w:tcBorders>
          </w:tcPr>
          <w:p>
            <w:pPr>
              <w:pStyle w:val="TableParagraph"/>
              <w:spacing w:before="55"/>
              <w:ind w:left="117"/>
              <w:rPr>
                <w:sz w:val="22"/>
              </w:rPr>
            </w:pPr>
            <w:r>
              <w:rPr>
                <w:sz w:val="22"/>
              </w:rPr>
              <w:t>Total number of FTE days lost</w:t>
            </w:r>
          </w:p>
        </w:tc>
        <w:tc>
          <w:tcPr>
            <w:tcW w:w="1596" w:type="dxa"/>
            <w:tcBorders>
              <w:top w:val="single" w:sz="4" w:space="0" w:color="000000"/>
            </w:tcBorders>
          </w:tcPr>
          <w:p>
            <w:pPr>
              <w:pStyle w:val="TableParagraph"/>
              <w:spacing w:before="55"/>
              <w:ind w:left="450" w:right="412"/>
              <w:jc w:val="center"/>
              <w:rPr>
                <w:sz w:val="22"/>
              </w:rPr>
            </w:pPr>
            <w:r>
              <w:rPr>
                <w:sz w:val="22"/>
              </w:rPr>
              <w:t>571.85</w:t>
            </w:r>
          </w:p>
        </w:tc>
      </w:tr>
    </w:tbl>
    <w:p>
      <w:pPr>
        <w:pStyle w:val="BodyText"/>
        <w:rPr>
          <w:sz w:val="24"/>
        </w:rPr>
      </w:pPr>
    </w:p>
    <w:p>
      <w:pPr>
        <w:pStyle w:val="BodyText"/>
        <w:rPr>
          <w:sz w:val="20"/>
        </w:rPr>
      </w:pPr>
    </w:p>
    <w:p>
      <w:pPr>
        <w:pStyle w:val="BodyText"/>
        <w:ind w:left="120" w:right="286"/>
        <w:jc w:val="both"/>
      </w:pPr>
      <w:r>
        <w:rPr/>
        <w:t>The CCG regularly reviews reasons for absence and all sickness is managed in line with the organisation’s Attendance Management Policy which can be found at </w:t>
      </w:r>
      <w:hyperlink r:id="rId28">
        <w:r>
          <w:rPr>
            <w:color w:val="0000FF"/>
            <w:u w:val="single" w:color="0000FF"/>
          </w:rPr>
          <w:t>NHS North Lincolnshire</w:t>
        </w:r>
      </w:hyperlink>
      <w:bookmarkStart w:name="Staff turnover percentages" w:id="163"/>
      <w:bookmarkEnd w:id="163"/>
      <w:r>
        <w:rPr>
          <w:color w:val="0000FF"/>
        </w:rPr>
      </w:r>
      <w:r>
        <w:rPr>
          <w:color w:val="0000FF"/>
        </w:rPr>
        <w:t> </w:t>
      </w:r>
      <w:hyperlink r:id="rId28">
        <w:r>
          <w:rPr>
            <w:color w:val="0000FF"/>
            <w:u w:val="single" w:color="0000FF"/>
          </w:rPr>
          <w:t>CCG - Helping you build a healthy future</w:t>
        </w:r>
      </w:hyperlink>
      <w:r>
        <w:rPr/>
        <w:t>.</w:t>
      </w:r>
    </w:p>
    <w:p>
      <w:pPr>
        <w:pStyle w:val="Heading4"/>
        <w:spacing w:before="199"/>
        <w:ind w:left="120"/>
        <w:jc w:val="both"/>
      </w:pPr>
      <w:r>
        <w:rPr>
          <w:color w:val="4F81BB"/>
        </w:rPr>
        <w:t>Staff turnover percentages</w:t>
      </w:r>
    </w:p>
    <w:p>
      <w:pPr>
        <w:pStyle w:val="BodyText"/>
        <w:spacing w:before="139"/>
        <w:ind w:left="120" w:right="949"/>
      </w:pPr>
      <w:r>
        <w:rPr/>
        <w:t>The average staff turnover for NHS North Lincolnshire CCG between 1 April 2021 and 31 March 2022 is below:</w:t>
      </w:r>
    </w:p>
    <w:p>
      <w:pPr>
        <w:pStyle w:val="BodyText"/>
        <w:spacing w:before="11"/>
        <w:rPr>
          <w:sz w:val="21"/>
        </w:rPr>
      </w:pPr>
    </w:p>
    <w:tbl>
      <w:tblPr>
        <w:tblW w:w="0" w:type="auto"/>
        <w:jc w:val="left"/>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62"/>
        <w:gridCol w:w="1594"/>
      </w:tblGrid>
      <w:tr>
        <w:trPr>
          <w:trHeight w:val="313" w:hRule="atLeast"/>
        </w:trPr>
        <w:tc>
          <w:tcPr>
            <w:tcW w:w="7462" w:type="dxa"/>
            <w:shd w:val="clear" w:color="auto" w:fill="8DB3E0"/>
          </w:tcPr>
          <w:p>
            <w:pPr>
              <w:pStyle w:val="TableParagraph"/>
              <w:spacing w:line="251" w:lineRule="exact" w:before="43"/>
              <w:ind w:left="3275" w:right="3256"/>
              <w:jc w:val="center"/>
              <w:rPr>
                <w:sz w:val="22"/>
              </w:rPr>
            </w:pPr>
            <w:r>
              <w:rPr>
                <w:sz w:val="22"/>
              </w:rPr>
              <w:t>Turnover</w:t>
            </w:r>
          </w:p>
        </w:tc>
        <w:tc>
          <w:tcPr>
            <w:tcW w:w="1594" w:type="dxa"/>
            <w:shd w:val="clear" w:color="auto" w:fill="8DB3E0"/>
          </w:tcPr>
          <w:p>
            <w:pPr>
              <w:pStyle w:val="TableParagraph"/>
              <w:spacing w:line="251" w:lineRule="exact" w:before="43"/>
              <w:ind w:left="466" w:right="453"/>
              <w:jc w:val="center"/>
              <w:rPr>
                <w:sz w:val="22"/>
              </w:rPr>
            </w:pPr>
            <w:r>
              <w:rPr>
                <w:sz w:val="22"/>
              </w:rPr>
              <w:t>Total</w:t>
            </w:r>
          </w:p>
        </w:tc>
      </w:tr>
      <w:tr>
        <w:trPr>
          <w:trHeight w:val="316" w:hRule="atLeast"/>
        </w:trPr>
        <w:tc>
          <w:tcPr>
            <w:tcW w:w="7462" w:type="dxa"/>
          </w:tcPr>
          <w:p>
            <w:pPr>
              <w:pStyle w:val="TableParagraph"/>
              <w:rPr>
                <w:rFonts w:ascii="Times New Roman"/>
                <w:sz w:val="22"/>
              </w:rPr>
            </w:pPr>
          </w:p>
        </w:tc>
        <w:tc>
          <w:tcPr>
            <w:tcW w:w="1594" w:type="dxa"/>
          </w:tcPr>
          <w:p>
            <w:pPr>
              <w:pStyle w:val="TableParagraph"/>
              <w:spacing w:line="251" w:lineRule="exact" w:before="45"/>
              <w:ind w:left="467" w:right="453"/>
              <w:jc w:val="center"/>
              <w:rPr>
                <w:sz w:val="22"/>
              </w:rPr>
            </w:pPr>
            <w:r>
              <w:rPr>
                <w:sz w:val="22"/>
              </w:rPr>
              <w:t>1.14%</w:t>
            </w:r>
          </w:p>
        </w:tc>
      </w:tr>
    </w:tbl>
    <w:p>
      <w:pPr>
        <w:pStyle w:val="BodyText"/>
        <w:rPr>
          <w:sz w:val="24"/>
        </w:rPr>
      </w:pPr>
    </w:p>
    <w:p>
      <w:pPr>
        <w:pStyle w:val="BodyText"/>
        <w:spacing w:before="10"/>
        <w:rPr>
          <w:sz w:val="34"/>
        </w:rPr>
      </w:pPr>
    </w:p>
    <w:p>
      <w:pPr>
        <w:pStyle w:val="Heading4"/>
        <w:ind w:left="120"/>
      </w:pPr>
      <w:bookmarkStart w:name="Staff engagement percentages" w:id="164"/>
      <w:bookmarkEnd w:id="164"/>
      <w:r>
        <w:rPr>
          <w:b w:val="0"/>
        </w:rPr>
      </w:r>
      <w:r>
        <w:rPr>
          <w:color w:val="4F81BB"/>
        </w:rPr>
        <w:t>Staff engagement percentages</w:t>
      </w:r>
    </w:p>
    <w:p>
      <w:pPr>
        <w:pStyle w:val="BodyText"/>
        <w:spacing w:line="242" w:lineRule="auto" w:before="136"/>
        <w:ind w:left="120" w:right="802"/>
      </w:pPr>
      <w:r>
        <w:rPr/>
        <w:t>The CCG did not participate in a staff survey in 2021-22 therefore do not have a staff engagement percentage however below are details of activities undertaken to support staff engagement and workforce health and wellbeing:</w:t>
      </w:r>
    </w:p>
    <w:p>
      <w:pPr>
        <w:pStyle w:val="BodyText"/>
        <w:spacing w:before="192"/>
        <w:ind w:left="120" w:right="325"/>
      </w:pPr>
      <w:r>
        <w:rPr/>
        <w:t>The HR and OD team have delivered regular updates at bi-weekly team briefings including; training opportunities, Wellness Action Plans &amp; guides, national Health and Wellbeing Apps and useful websites to support wellbeing whilst staff continue to work predominately from home. A large number of staff have accessed 1:1 coaching support and training opportunities for those interested in becoming a qualified coach have also been offered.</w:t>
      </w:r>
    </w:p>
    <w:p>
      <w:pPr>
        <w:pStyle w:val="BodyText"/>
        <w:rPr>
          <w:sz w:val="24"/>
        </w:rPr>
      </w:pPr>
    </w:p>
    <w:p>
      <w:pPr>
        <w:pStyle w:val="BodyText"/>
        <w:spacing w:before="177"/>
        <w:ind w:left="120" w:right="692"/>
      </w:pPr>
      <w:r>
        <w:rPr/>
        <w:t>NHS North Lincolnshire CCG provides support to physical and emotional wellbeing through management and self-referral to occupational health services, including the ability to access counselling sessions and access to colleagues who are trained Mental Health First</w:t>
      </w:r>
    </w:p>
    <w:p>
      <w:pPr>
        <w:pStyle w:val="BodyText"/>
        <w:ind w:left="119" w:right="355" w:hanging="3"/>
      </w:pPr>
      <w:r>
        <w:rPr/>
        <w:t>Aiders. Staff and their immediate family members also have access to an Employee Assistance Programme; a support network that offers expert advice and compassionate guidance 24/7 covering a wide range of issues. Services include legal information, online CBT and bereavement support. In addition, staff also have access to a wellbeing portal which offers a virtual library of wellbeing information. The articles and self-help guides available through this library provide support on a range of health and advisory issues as well as instant guidance to aid physical and mental health. A smartphone app is also available as part of the support which includes access to features such as a weekly mood tracker, mini health checks and breathing techniques.</w:t>
      </w:r>
    </w:p>
    <w:p>
      <w:pPr>
        <w:spacing w:after="0"/>
        <w:sectPr>
          <w:pgSz w:w="11920" w:h="16850"/>
          <w:pgMar w:header="0" w:footer="443" w:top="1380" w:bottom="640" w:left="1320" w:right="840"/>
        </w:sectPr>
      </w:pPr>
    </w:p>
    <w:p>
      <w:pPr>
        <w:pStyle w:val="BodyText"/>
        <w:spacing w:before="81"/>
        <w:ind w:left="120" w:right="494"/>
        <w:jc w:val="both"/>
      </w:pPr>
      <w:r>
        <w:rPr/>
        <w:t>NHS North Lincolnshire CCG has also run a quarterly morale tracker; a short survey designed to give a better insight into morale, staff experiences at work and their health and</w:t>
      </w:r>
    </w:p>
    <w:p>
      <w:pPr>
        <w:pStyle w:val="BodyText"/>
        <w:ind w:left="120" w:right="405"/>
        <w:jc w:val="both"/>
      </w:pPr>
      <w:r>
        <w:rPr/>
        <w:t>wellbeing. The survey supports an integral part of the People Promise – “we each have a voice that counts” and provides regular insight into the working experience of staff to support actions for improvement.</w:t>
      </w:r>
    </w:p>
    <w:p>
      <w:pPr>
        <w:pStyle w:val="BodyText"/>
        <w:rPr>
          <w:sz w:val="24"/>
        </w:rPr>
      </w:pPr>
    </w:p>
    <w:p>
      <w:pPr>
        <w:pStyle w:val="BodyText"/>
        <w:spacing w:before="175"/>
        <w:ind w:left="120" w:right="359"/>
      </w:pPr>
      <w:r>
        <w:rPr/>
        <w:t>All staff have been offered the flu vaccination via Occupational Health and those staff who were identified by NHS North Lincolnshire CCG as being frontline have also been offered the Covid- 19 second vaccination. Individual staff risk assessments were undertaken early in the pandemic and personal plans developed to identify and mitigate any equality or diversity issues that my impact on staff safety and these remain in</w:t>
      </w:r>
      <w:r>
        <w:rPr>
          <w:spacing w:val="-17"/>
        </w:rPr>
        <w:t> </w:t>
      </w:r>
      <w:r>
        <w:rPr/>
        <w:t>place.</w:t>
      </w:r>
    </w:p>
    <w:p>
      <w:pPr>
        <w:pStyle w:val="BodyText"/>
        <w:rPr>
          <w:sz w:val="24"/>
        </w:rPr>
      </w:pPr>
    </w:p>
    <w:p>
      <w:pPr>
        <w:pStyle w:val="BodyText"/>
        <w:spacing w:before="175"/>
        <w:ind w:left="120" w:right="313"/>
      </w:pPr>
      <w:r>
        <w:rPr/>
        <w:t>All staff have the opportunity to discuss and agree their own individual objectives as part of their annual Personal Development Review, when any relevant training and development needs are also identified.</w:t>
      </w:r>
    </w:p>
    <w:p>
      <w:pPr>
        <w:pStyle w:val="Heading4"/>
        <w:spacing w:before="201"/>
        <w:ind w:left="120"/>
      </w:pPr>
      <w:bookmarkStart w:name="Staff policies" w:id="165"/>
      <w:bookmarkEnd w:id="165"/>
      <w:r>
        <w:rPr>
          <w:b w:val="0"/>
        </w:rPr>
      </w:r>
      <w:r>
        <w:rPr>
          <w:color w:val="4F81BB"/>
        </w:rPr>
        <w:t>Staff policies</w:t>
      </w:r>
    </w:p>
    <w:p>
      <w:pPr>
        <w:pStyle w:val="BodyText"/>
        <w:spacing w:before="139"/>
        <w:ind w:left="120"/>
      </w:pPr>
      <w:r>
        <w:rPr/>
        <w:t>Eight policies were reviewed/developed through to approval in 2021-22:</w:t>
      </w:r>
    </w:p>
    <w:p>
      <w:pPr>
        <w:pStyle w:val="ListParagraph"/>
        <w:numPr>
          <w:ilvl w:val="0"/>
          <w:numId w:val="16"/>
        </w:numPr>
        <w:tabs>
          <w:tab w:pos="840" w:val="left" w:leader="none"/>
          <w:tab w:pos="841" w:val="left" w:leader="none"/>
        </w:tabs>
        <w:spacing w:line="240" w:lineRule="auto" w:before="200" w:after="0"/>
        <w:ind w:left="840" w:right="0" w:hanging="364"/>
        <w:jc w:val="left"/>
        <w:rPr>
          <w:rFonts w:ascii="Symbol" w:hAnsi="Symbol"/>
          <w:sz w:val="22"/>
        </w:rPr>
      </w:pPr>
      <w:r>
        <w:rPr>
          <w:sz w:val="22"/>
        </w:rPr>
        <w:t>Professional</w:t>
      </w:r>
      <w:r>
        <w:rPr>
          <w:spacing w:val="-1"/>
          <w:sz w:val="22"/>
        </w:rPr>
        <w:t> </w:t>
      </w:r>
      <w:r>
        <w:rPr>
          <w:sz w:val="22"/>
        </w:rPr>
        <w:t>Registration</w:t>
      </w:r>
    </w:p>
    <w:p>
      <w:pPr>
        <w:pStyle w:val="ListParagraph"/>
        <w:numPr>
          <w:ilvl w:val="0"/>
          <w:numId w:val="16"/>
        </w:numPr>
        <w:tabs>
          <w:tab w:pos="840" w:val="left" w:leader="none"/>
          <w:tab w:pos="841" w:val="left" w:leader="none"/>
        </w:tabs>
        <w:spacing w:line="240" w:lineRule="auto" w:before="36" w:after="0"/>
        <w:ind w:left="840" w:right="0" w:hanging="364"/>
        <w:jc w:val="left"/>
        <w:rPr>
          <w:rFonts w:ascii="Symbol" w:hAnsi="Symbol"/>
          <w:sz w:val="22"/>
        </w:rPr>
      </w:pPr>
      <w:r>
        <w:rPr>
          <w:sz w:val="22"/>
        </w:rPr>
        <w:t>Menopause</w:t>
      </w:r>
    </w:p>
    <w:p>
      <w:pPr>
        <w:pStyle w:val="ListParagraph"/>
        <w:numPr>
          <w:ilvl w:val="0"/>
          <w:numId w:val="16"/>
        </w:numPr>
        <w:tabs>
          <w:tab w:pos="840" w:val="left" w:leader="none"/>
          <w:tab w:pos="841" w:val="left" w:leader="none"/>
        </w:tabs>
        <w:spacing w:line="240" w:lineRule="auto" w:before="33" w:after="0"/>
        <w:ind w:left="840" w:right="0" w:hanging="361"/>
        <w:jc w:val="left"/>
        <w:rPr>
          <w:rFonts w:ascii="Symbol" w:hAnsi="Symbol"/>
          <w:sz w:val="22"/>
        </w:rPr>
      </w:pPr>
      <w:r>
        <w:rPr>
          <w:sz w:val="22"/>
        </w:rPr>
        <w:t>Agile Working</w:t>
      </w:r>
    </w:p>
    <w:p>
      <w:pPr>
        <w:pStyle w:val="ListParagraph"/>
        <w:numPr>
          <w:ilvl w:val="0"/>
          <w:numId w:val="16"/>
        </w:numPr>
        <w:tabs>
          <w:tab w:pos="840" w:val="left" w:leader="none"/>
          <w:tab w:pos="841" w:val="left" w:leader="none"/>
        </w:tabs>
        <w:spacing w:line="240" w:lineRule="auto" w:before="35" w:after="0"/>
        <w:ind w:left="840" w:right="0" w:hanging="361"/>
        <w:jc w:val="left"/>
        <w:rPr>
          <w:rFonts w:ascii="Symbol" w:hAnsi="Symbol"/>
          <w:sz w:val="22"/>
        </w:rPr>
      </w:pPr>
      <w:r>
        <w:rPr>
          <w:sz w:val="22"/>
        </w:rPr>
        <w:t>Dignity and Respect</w:t>
      </w:r>
    </w:p>
    <w:p>
      <w:pPr>
        <w:pStyle w:val="ListParagraph"/>
        <w:numPr>
          <w:ilvl w:val="0"/>
          <w:numId w:val="16"/>
        </w:numPr>
        <w:tabs>
          <w:tab w:pos="841" w:val="left" w:leader="none"/>
          <w:tab w:pos="842" w:val="left" w:leader="none"/>
        </w:tabs>
        <w:spacing w:line="240" w:lineRule="auto" w:before="35" w:after="0"/>
        <w:ind w:left="841" w:right="0" w:hanging="361"/>
        <w:jc w:val="left"/>
        <w:rPr>
          <w:rFonts w:ascii="Symbol" w:hAnsi="Symbol"/>
          <w:sz w:val="22"/>
        </w:rPr>
      </w:pPr>
      <w:r>
        <w:rPr>
          <w:sz w:val="22"/>
        </w:rPr>
        <w:t>Attendance</w:t>
      </w:r>
      <w:r>
        <w:rPr>
          <w:spacing w:val="-7"/>
          <w:sz w:val="22"/>
        </w:rPr>
        <w:t> </w:t>
      </w:r>
      <w:r>
        <w:rPr>
          <w:sz w:val="22"/>
        </w:rPr>
        <w:t>Management</w:t>
      </w:r>
    </w:p>
    <w:p>
      <w:pPr>
        <w:pStyle w:val="ListParagraph"/>
        <w:numPr>
          <w:ilvl w:val="0"/>
          <w:numId w:val="16"/>
        </w:numPr>
        <w:tabs>
          <w:tab w:pos="841" w:val="left" w:leader="none"/>
          <w:tab w:pos="842" w:val="left" w:leader="none"/>
        </w:tabs>
        <w:spacing w:line="240" w:lineRule="auto" w:before="33" w:after="0"/>
        <w:ind w:left="841" w:right="0" w:hanging="361"/>
        <w:jc w:val="left"/>
        <w:rPr>
          <w:rFonts w:ascii="Symbol" w:hAnsi="Symbol"/>
          <w:sz w:val="22"/>
        </w:rPr>
      </w:pPr>
      <w:r>
        <w:rPr>
          <w:sz w:val="22"/>
        </w:rPr>
        <w:t>Pay</w:t>
      </w:r>
      <w:r>
        <w:rPr>
          <w:spacing w:val="-13"/>
          <w:sz w:val="22"/>
        </w:rPr>
        <w:t> </w:t>
      </w:r>
      <w:r>
        <w:rPr>
          <w:sz w:val="22"/>
        </w:rPr>
        <w:t>Progression</w:t>
      </w:r>
    </w:p>
    <w:p>
      <w:pPr>
        <w:pStyle w:val="ListParagraph"/>
        <w:numPr>
          <w:ilvl w:val="0"/>
          <w:numId w:val="16"/>
        </w:numPr>
        <w:tabs>
          <w:tab w:pos="841" w:val="left" w:leader="none"/>
          <w:tab w:pos="842" w:val="left" w:leader="none"/>
        </w:tabs>
        <w:spacing w:line="240" w:lineRule="auto" w:before="35" w:after="0"/>
        <w:ind w:left="841" w:right="0" w:hanging="361"/>
        <w:jc w:val="left"/>
        <w:rPr>
          <w:rFonts w:ascii="Symbol" w:hAnsi="Symbol"/>
          <w:sz w:val="22"/>
        </w:rPr>
      </w:pPr>
      <w:r>
        <w:rPr>
          <w:sz w:val="22"/>
        </w:rPr>
        <w:t>Flexible</w:t>
      </w:r>
      <w:r>
        <w:rPr>
          <w:spacing w:val="-19"/>
          <w:sz w:val="22"/>
        </w:rPr>
        <w:t> </w:t>
      </w:r>
      <w:r>
        <w:rPr>
          <w:sz w:val="22"/>
        </w:rPr>
        <w:t>Working</w:t>
      </w:r>
    </w:p>
    <w:p>
      <w:pPr>
        <w:pStyle w:val="ListParagraph"/>
        <w:numPr>
          <w:ilvl w:val="0"/>
          <w:numId w:val="16"/>
        </w:numPr>
        <w:tabs>
          <w:tab w:pos="841" w:val="left" w:leader="none"/>
          <w:tab w:pos="842" w:val="left" w:leader="none"/>
        </w:tabs>
        <w:spacing w:line="240" w:lineRule="auto" w:before="33" w:after="0"/>
        <w:ind w:left="841" w:right="0" w:hanging="361"/>
        <w:jc w:val="left"/>
        <w:rPr>
          <w:rFonts w:ascii="Symbol" w:hAnsi="Symbol"/>
          <w:sz w:val="22"/>
        </w:rPr>
      </w:pPr>
      <w:r>
        <w:rPr>
          <w:sz w:val="22"/>
        </w:rPr>
        <w:t>Starting</w:t>
      </w:r>
      <w:r>
        <w:rPr>
          <w:spacing w:val="-16"/>
          <w:sz w:val="22"/>
        </w:rPr>
        <w:t> </w:t>
      </w:r>
      <w:r>
        <w:rPr>
          <w:sz w:val="22"/>
        </w:rPr>
        <w:t>Salaries</w:t>
      </w:r>
    </w:p>
    <w:p>
      <w:pPr>
        <w:pStyle w:val="BodyText"/>
        <w:spacing w:before="4"/>
        <w:rPr>
          <w:sz w:val="28"/>
        </w:rPr>
      </w:pPr>
    </w:p>
    <w:p>
      <w:pPr>
        <w:pStyle w:val="BodyText"/>
        <w:spacing w:line="280" w:lineRule="auto"/>
        <w:ind w:left="120" w:right="913"/>
      </w:pPr>
      <w:r>
        <w:rPr/>
        <w:t>A number of policies are currently in consultation. Our policies are available at </w:t>
      </w:r>
      <w:hyperlink r:id="rId28">
        <w:r>
          <w:rPr>
            <w:color w:val="0000FF"/>
            <w:u w:val="single" w:color="0000FF"/>
          </w:rPr>
          <w:t>NHS North</w:t>
        </w:r>
      </w:hyperlink>
      <w:r>
        <w:rPr>
          <w:color w:val="0000FF"/>
        </w:rPr>
        <w:t> </w:t>
      </w:r>
      <w:hyperlink r:id="rId28">
        <w:r>
          <w:rPr>
            <w:color w:val="0000FF"/>
            <w:u w:val="single" w:color="0000FF"/>
          </w:rPr>
          <w:t>Lincolnshire CCG - Helping you build a healthy future</w:t>
        </w:r>
        <w:r>
          <w:rPr/>
          <w:t>.</w:t>
        </w:r>
      </w:hyperlink>
    </w:p>
    <w:p>
      <w:pPr>
        <w:pStyle w:val="BodyText"/>
        <w:rPr>
          <w:sz w:val="20"/>
        </w:rPr>
      </w:pPr>
    </w:p>
    <w:p>
      <w:pPr>
        <w:pStyle w:val="Heading4"/>
        <w:spacing w:before="213"/>
        <w:ind w:left="120"/>
      </w:pPr>
      <w:bookmarkStart w:name="Diversity and Inclusion" w:id="166"/>
      <w:bookmarkEnd w:id="166"/>
      <w:r>
        <w:rPr>
          <w:b w:val="0"/>
        </w:rPr>
      </w:r>
      <w:r>
        <w:rPr>
          <w:color w:val="4F81BB"/>
        </w:rPr>
        <w:t>Diversity and Inclusion</w:t>
      </w:r>
    </w:p>
    <w:p>
      <w:pPr>
        <w:pStyle w:val="BodyText"/>
        <w:spacing w:before="9"/>
        <w:rPr>
          <w:b/>
          <w:sz w:val="20"/>
        </w:rPr>
      </w:pPr>
    </w:p>
    <w:p>
      <w:pPr>
        <w:pStyle w:val="BodyText"/>
        <w:spacing w:before="1"/>
        <w:ind w:left="120" w:right="1549"/>
      </w:pPr>
      <w:r>
        <w:rPr/>
        <w:t>The CCG is committed to attracting, retaining, and developing a diverse and skilled workforce. To ensure the CCG meets these goals:</w:t>
      </w:r>
    </w:p>
    <w:p>
      <w:pPr>
        <w:pStyle w:val="BodyText"/>
        <w:spacing w:before="4"/>
      </w:pPr>
    </w:p>
    <w:p>
      <w:pPr>
        <w:pStyle w:val="ListParagraph"/>
        <w:numPr>
          <w:ilvl w:val="0"/>
          <w:numId w:val="16"/>
        </w:numPr>
        <w:tabs>
          <w:tab w:pos="839" w:val="left" w:leader="none"/>
          <w:tab w:pos="840" w:val="left" w:leader="none"/>
        </w:tabs>
        <w:spacing w:line="240" w:lineRule="auto" w:before="0" w:after="0"/>
        <w:ind w:left="840" w:right="603" w:hanging="360"/>
        <w:jc w:val="left"/>
        <w:rPr>
          <w:rFonts w:ascii="Symbol" w:hAnsi="Symbol"/>
          <w:sz w:val="20"/>
        </w:rPr>
      </w:pPr>
      <w:r>
        <w:rPr>
          <w:sz w:val="22"/>
        </w:rPr>
        <w:t>A bank of HR Policies and Procedures is available to support the workforce each with equality impact</w:t>
      </w:r>
      <w:r>
        <w:rPr>
          <w:spacing w:val="5"/>
          <w:sz w:val="22"/>
        </w:rPr>
        <w:t> </w:t>
      </w:r>
      <w:r>
        <w:rPr>
          <w:sz w:val="22"/>
        </w:rPr>
        <w:t>assessments</w:t>
      </w:r>
    </w:p>
    <w:p>
      <w:pPr>
        <w:pStyle w:val="ListParagraph"/>
        <w:numPr>
          <w:ilvl w:val="0"/>
          <w:numId w:val="16"/>
        </w:numPr>
        <w:tabs>
          <w:tab w:pos="839" w:val="left" w:leader="none"/>
          <w:tab w:pos="840" w:val="left" w:leader="none"/>
        </w:tabs>
        <w:spacing w:line="240" w:lineRule="auto" w:before="48" w:after="0"/>
        <w:ind w:left="840" w:right="0" w:hanging="361"/>
        <w:jc w:val="left"/>
        <w:rPr>
          <w:rFonts w:ascii="Symbol" w:hAnsi="Symbol"/>
          <w:sz w:val="20"/>
        </w:rPr>
      </w:pPr>
      <w:r>
        <w:rPr>
          <w:sz w:val="22"/>
        </w:rPr>
        <w:t>Statutory/mandatory training in equality and diversity which is monitored</w:t>
      </w:r>
      <w:r>
        <w:rPr>
          <w:spacing w:val="-33"/>
          <w:sz w:val="22"/>
        </w:rPr>
        <w:t> </w:t>
      </w:r>
      <w:r>
        <w:rPr>
          <w:sz w:val="22"/>
        </w:rPr>
        <w:t>monthly</w:t>
      </w:r>
    </w:p>
    <w:p>
      <w:pPr>
        <w:pStyle w:val="ListParagraph"/>
        <w:numPr>
          <w:ilvl w:val="0"/>
          <w:numId w:val="16"/>
        </w:numPr>
        <w:tabs>
          <w:tab w:pos="839" w:val="left" w:leader="none"/>
          <w:tab w:pos="840" w:val="left" w:leader="none"/>
        </w:tabs>
        <w:spacing w:line="240" w:lineRule="auto" w:before="55" w:after="0"/>
        <w:ind w:left="840" w:right="837" w:hanging="360"/>
        <w:jc w:val="left"/>
        <w:rPr>
          <w:rFonts w:ascii="Symbol" w:hAnsi="Symbol"/>
          <w:sz w:val="20"/>
        </w:rPr>
      </w:pPr>
      <w:r>
        <w:rPr>
          <w:sz w:val="22"/>
        </w:rPr>
        <w:t>Involve staff on equality and inclusion via all staff briefings and a Staff Engagement Group</w:t>
      </w:r>
    </w:p>
    <w:p>
      <w:pPr>
        <w:pStyle w:val="ListParagraph"/>
        <w:numPr>
          <w:ilvl w:val="0"/>
          <w:numId w:val="16"/>
        </w:numPr>
        <w:tabs>
          <w:tab w:pos="839" w:val="left" w:leader="none"/>
          <w:tab w:pos="840" w:val="left" w:leader="none"/>
        </w:tabs>
        <w:spacing w:line="240" w:lineRule="auto" w:before="53" w:after="0"/>
        <w:ind w:left="840" w:right="0" w:hanging="361"/>
        <w:jc w:val="left"/>
        <w:rPr>
          <w:rFonts w:ascii="Symbol" w:hAnsi="Symbol"/>
          <w:sz w:val="20"/>
        </w:rPr>
      </w:pPr>
      <w:r>
        <w:rPr>
          <w:sz w:val="22"/>
        </w:rPr>
        <w:t>Promoting key events and celebrations through all staff</w:t>
      </w:r>
      <w:r>
        <w:rPr>
          <w:spacing w:val="-23"/>
          <w:sz w:val="22"/>
        </w:rPr>
        <w:t> </w:t>
      </w:r>
      <w:r>
        <w:rPr>
          <w:sz w:val="22"/>
        </w:rPr>
        <w:t>communications</w:t>
      </w:r>
    </w:p>
    <w:p>
      <w:pPr>
        <w:pStyle w:val="ListParagraph"/>
        <w:numPr>
          <w:ilvl w:val="0"/>
          <w:numId w:val="16"/>
        </w:numPr>
        <w:tabs>
          <w:tab w:pos="839" w:val="left" w:leader="none"/>
          <w:tab w:pos="840" w:val="left" w:leader="none"/>
        </w:tabs>
        <w:spacing w:line="240" w:lineRule="auto" w:before="54" w:after="0"/>
        <w:ind w:left="840" w:right="344" w:hanging="361"/>
        <w:jc w:val="left"/>
        <w:rPr>
          <w:rFonts w:ascii="Symbol" w:hAnsi="Symbol"/>
          <w:sz w:val="20"/>
        </w:rPr>
      </w:pPr>
      <w:r>
        <w:rPr>
          <w:sz w:val="22"/>
        </w:rPr>
        <w:t>Identify and support the needs of diverse staff through appraisals, personal plans and 1- 1 risk</w:t>
      </w:r>
      <w:r>
        <w:rPr>
          <w:spacing w:val="-5"/>
          <w:sz w:val="22"/>
        </w:rPr>
        <w:t> </w:t>
      </w:r>
      <w:r>
        <w:rPr>
          <w:sz w:val="22"/>
        </w:rPr>
        <w:t>assessments</w:t>
      </w:r>
    </w:p>
    <w:p>
      <w:pPr>
        <w:pStyle w:val="ListParagraph"/>
        <w:numPr>
          <w:ilvl w:val="0"/>
          <w:numId w:val="16"/>
        </w:numPr>
        <w:tabs>
          <w:tab w:pos="839" w:val="left" w:leader="none"/>
          <w:tab w:pos="840" w:val="left" w:leader="none"/>
        </w:tabs>
        <w:spacing w:line="240" w:lineRule="auto" w:before="51" w:after="0"/>
        <w:ind w:left="840" w:right="0" w:hanging="361"/>
        <w:jc w:val="left"/>
        <w:rPr>
          <w:rFonts w:ascii="Symbol" w:hAnsi="Symbol"/>
          <w:sz w:val="20"/>
        </w:rPr>
      </w:pPr>
      <w:r>
        <w:rPr>
          <w:sz w:val="22"/>
        </w:rPr>
        <w:t>Collect, evaluate and monitor our workforce data.</w:t>
      </w:r>
    </w:p>
    <w:p>
      <w:pPr>
        <w:pStyle w:val="BodyText"/>
        <w:spacing w:before="121"/>
        <w:ind w:left="120" w:right="584"/>
      </w:pPr>
      <w:r>
        <w:rPr/>
        <w:t>The CCG's Equality Annual report is available on the CCG website which demonstrates how NHS North Lincolnshire CCG is meeting its public sector equality duties and NHS England equality standards and includes details on workforce reporting. The report goes beyond compliance, to reflect the equality programme of work. The Workforce Equality Report is also on the CCG website which provides an update on the CCG’s progress with regards to NHS</w:t>
      </w:r>
    </w:p>
    <w:p>
      <w:pPr>
        <w:spacing w:after="0"/>
        <w:sectPr>
          <w:pgSz w:w="11920" w:h="16850"/>
          <w:pgMar w:header="0" w:footer="443" w:top="1320" w:bottom="640" w:left="1320" w:right="840"/>
        </w:sectPr>
      </w:pPr>
    </w:p>
    <w:p>
      <w:pPr>
        <w:pStyle w:val="BodyText"/>
        <w:spacing w:before="81"/>
        <w:ind w:left="120" w:right="547"/>
        <w:jc w:val="both"/>
      </w:pPr>
      <w:r>
        <w:rPr/>
        <w:t>England equality standards: Workforce Race Equality Standard, Workforce Disability Equality Standard, Equality Delivery Systems. The CCG NHS People Plan Action Plan also includes a number of national and regional initiatives to develop equality and diversity.</w:t>
      </w:r>
    </w:p>
    <w:p>
      <w:pPr>
        <w:pStyle w:val="BodyText"/>
        <w:spacing w:line="242" w:lineRule="auto" w:before="119"/>
        <w:ind w:left="115" w:right="661" w:firstLine="4"/>
      </w:pPr>
      <w:r>
        <w:rPr/>
        <w:t>As an employer the CCG recognises and values people as individuals and accommodates differences wherever possible by making adjustments to working arrangements or practices. Policies and processes in place to support this include:</w:t>
      </w:r>
    </w:p>
    <w:p>
      <w:pPr>
        <w:pStyle w:val="ListParagraph"/>
        <w:numPr>
          <w:ilvl w:val="0"/>
          <w:numId w:val="16"/>
        </w:numPr>
        <w:tabs>
          <w:tab w:pos="832" w:val="left" w:leader="none"/>
          <w:tab w:pos="833" w:val="left" w:leader="none"/>
        </w:tabs>
        <w:spacing w:line="269" w:lineRule="exact" w:before="183" w:after="0"/>
        <w:ind w:left="832" w:right="0" w:hanging="361"/>
        <w:jc w:val="left"/>
        <w:rPr>
          <w:rFonts w:ascii="Symbol" w:hAnsi="Symbol"/>
          <w:sz w:val="22"/>
        </w:rPr>
      </w:pPr>
      <w:r>
        <w:rPr>
          <w:sz w:val="22"/>
        </w:rPr>
        <w:t>Staff</w:t>
      </w:r>
      <w:r>
        <w:rPr>
          <w:spacing w:val="-4"/>
          <w:sz w:val="22"/>
        </w:rPr>
        <w:t> </w:t>
      </w:r>
      <w:r>
        <w:rPr>
          <w:sz w:val="22"/>
        </w:rPr>
        <w:t>Induction</w:t>
      </w:r>
    </w:p>
    <w:p>
      <w:pPr>
        <w:pStyle w:val="ListParagraph"/>
        <w:numPr>
          <w:ilvl w:val="0"/>
          <w:numId w:val="16"/>
        </w:numPr>
        <w:tabs>
          <w:tab w:pos="832" w:val="left" w:leader="none"/>
          <w:tab w:pos="833" w:val="left" w:leader="none"/>
        </w:tabs>
        <w:spacing w:line="269" w:lineRule="exact" w:before="0" w:after="0"/>
        <w:ind w:left="832" w:right="0" w:hanging="361"/>
        <w:jc w:val="left"/>
        <w:rPr>
          <w:rFonts w:ascii="Symbol" w:hAnsi="Symbol"/>
          <w:sz w:val="22"/>
        </w:rPr>
      </w:pPr>
      <w:r>
        <w:rPr>
          <w:sz w:val="22"/>
        </w:rPr>
        <w:t>Dignity and</w:t>
      </w:r>
      <w:r>
        <w:rPr>
          <w:spacing w:val="-3"/>
          <w:sz w:val="22"/>
        </w:rPr>
        <w:t> </w:t>
      </w:r>
      <w:r>
        <w:rPr>
          <w:spacing w:val="-4"/>
          <w:sz w:val="22"/>
        </w:rPr>
        <w:t>Respect</w:t>
      </w:r>
    </w:p>
    <w:p>
      <w:pPr>
        <w:pStyle w:val="ListParagraph"/>
        <w:numPr>
          <w:ilvl w:val="0"/>
          <w:numId w:val="16"/>
        </w:numPr>
        <w:tabs>
          <w:tab w:pos="832" w:val="left" w:leader="none"/>
          <w:tab w:pos="833" w:val="left" w:leader="none"/>
        </w:tabs>
        <w:spacing w:line="269" w:lineRule="exact" w:before="0" w:after="0"/>
        <w:ind w:left="832" w:right="0" w:hanging="361"/>
        <w:jc w:val="left"/>
        <w:rPr>
          <w:rFonts w:ascii="Symbol" w:hAnsi="Symbol"/>
          <w:sz w:val="22"/>
        </w:rPr>
      </w:pPr>
      <w:r>
        <w:rPr>
          <w:sz w:val="22"/>
        </w:rPr>
        <w:t>Attendance</w:t>
      </w:r>
      <w:r>
        <w:rPr>
          <w:spacing w:val="-7"/>
          <w:sz w:val="22"/>
        </w:rPr>
        <w:t> </w:t>
      </w:r>
      <w:r>
        <w:rPr>
          <w:sz w:val="22"/>
        </w:rPr>
        <w:t>Management</w:t>
      </w:r>
    </w:p>
    <w:p>
      <w:pPr>
        <w:pStyle w:val="ListParagraph"/>
        <w:numPr>
          <w:ilvl w:val="0"/>
          <w:numId w:val="16"/>
        </w:numPr>
        <w:tabs>
          <w:tab w:pos="832" w:val="left" w:leader="none"/>
          <w:tab w:pos="833" w:val="left" w:leader="none"/>
        </w:tabs>
        <w:spacing w:line="269" w:lineRule="exact" w:before="0" w:after="0"/>
        <w:ind w:left="832" w:right="0" w:hanging="361"/>
        <w:jc w:val="left"/>
        <w:rPr>
          <w:rFonts w:ascii="Symbol" w:hAnsi="Symbol"/>
          <w:sz w:val="22"/>
        </w:rPr>
      </w:pPr>
      <w:r>
        <w:rPr>
          <w:sz w:val="22"/>
        </w:rPr>
        <w:t>Recruitment and</w:t>
      </w:r>
      <w:r>
        <w:rPr>
          <w:spacing w:val="-6"/>
          <w:sz w:val="22"/>
        </w:rPr>
        <w:t> </w:t>
      </w:r>
      <w:r>
        <w:rPr>
          <w:sz w:val="22"/>
        </w:rPr>
        <w:t>Selection</w:t>
      </w:r>
    </w:p>
    <w:p>
      <w:pPr>
        <w:pStyle w:val="ListParagraph"/>
        <w:numPr>
          <w:ilvl w:val="0"/>
          <w:numId w:val="16"/>
        </w:numPr>
        <w:tabs>
          <w:tab w:pos="832" w:val="left" w:leader="none"/>
          <w:tab w:pos="833" w:val="left" w:leader="none"/>
        </w:tabs>
        <w:spacing w:line="268" w:lineRule="exact" w:before="0" w:after="0"/>
        <w:ind w:left="832" w:right="0" w:hanging="361"/>
        <w:jc w:val="left"/>
        <w:rPr>
          <w:rFonts w:ascii="Symbol" w:hAnsi="Symbol"/>
          <w:sz w:val="22"/>
        </w:rPr>
      </w:pPr>
      <w:r>
        <w:rPr>
          <w:sz w:val="22"/>
        </w:rPr>
        <w:t>Agile</w:t>
      </w:r>
      <w:r>
        <w:rPr>
          <w:spacing w:val="-5"/>
          <w:sz w:val="22"/>
        </w:rPr>
        <w:t> </w:t>
      </w:r>
      <w:r>
        <w:rPr>
          <w:sz w:val="22"/>
        </w:rPr>
        <w:t>Working</w:t>
      </w:r>
    </w:p>
    <w:p>
      <w:pPr>
        <w:pStyle w:val="ListParagraph"/>
        <w:numPr>
          <w:ilvl w:val="0"/>
          <w:numId w:val="16"/>
        </w:numPr>
        <w:tabs>
          <w:tab w:pos="833" w:val="left" w:leader="none"/>
          <w:tab w:pos="834" w:val="left" w:leader="none"/>
        </w:tabs>
        <w:spacing w:line="268" w:lineRule="exact" w:before="0" w:after="0"/>
        <w:ind w:left="833" w:right="0" w:hanging="361"/>
        <w:jc w:val="left"/>
        <w:rPr>
          <w:rFonts w:ascii="Symbol" w:hAnsi="Symbol"/>
          <w:sz w:val="22"/>
        </w:rPr>
      </w:pPr>
      <w:r>
        <w:rPr>
          <w:sz w:val="22"/>
        </w:rPr>
        <w:t>Menopause</w:t>
      </w:r>
    </w:p>
    <w:p>
      <w:pPr>
        <w:pStyle w:val="ListParagraph"/>
        <w:numPr>
          <w:ilvl w:val="0"/>
          <w:numId w:val="16"/>
        </w:numPr>
        <w:tabs>
          <w:tab w:pos="833" w:val="left" w:leader="none"/>
          <w:tab w:pos="834" w:val="left" w:leader="none"/>
        </w:tabs>
        <w:spacing w:line="269" w:lineRule="exact" w:before="0" w:after="0"/>
        <w:ind w:left="833" w:right="0" w:hanging="361"/>
        <w:jc w:val="left"/>
        <w:rPr>
          <w:rFonts w:ascii="Symbol" w:hAnsi="Symbol"/>
          <w:sz w:val="22"/>
        </w:rPr>
      </w:pPr>
      <w:r>
        <w:rPr>
          <w:sz w:val="22"/>
        </w:rPr>
        <w:t>Flexible Working</w:t>
      </w:r>
    </w:p>
    <w:p>
      <w:pPr>
        <w:pStyle w:val="BodyText"/>
        <w:spacing w:before="2"/>
      </w:pPr>
    </w:p>
    <w:p>
      <w:pPr>
        <w:pStyle w:val="BodyText"/>
        <w:spacing w:line="244" w:lineRule="auto"/>
        <w:ind w:left="112" w:right="480"/>
      </w:pPr>
      <w:r>
        <w:rPr/>
        <w:t>In 2021/22 the CCG has undertaken numerous activities to improve the diversity and inclusion of the workforce which are detailed below:</w:t>
      </w:r>
    </w:p>
    <w:p>
      <w:pPr>
        <w:pStyle w:val="BodyText"/>
        <w:spacing w:before="190"/>
        <w:ind w:left="112" w:right="321"/>
      </w:pPr>
      <w:r>
        <w:rPr/>
        <w:t>The CCG has adopted an agile working policy which allows employees greater flexibility in how they manage their work and personal life and offers more choice in when and where employees undertake their role and mandates an individual personal plan is created and regularly reviewed for all employees. This will benefit staff with various protected characteristics and allow for individualised approaches to work.</w:t>
      </w:r>
    </w:p>
    <w:p>
      <w:pPr>
        <w:pStyle w:val="BodyText"/>
        <w:spacing w:before="201"/>
        <w:ind w:left="112" w:right="493"/>
        <w:jc w:val="both"/>
      </w:pPr>
      <w:r>
        <w:rPr/>
        <w:t>The CCG has also reviewed their Attendance Management policy in 2022 which now includes the provision of disability leave to help employees manage their disability and will be launched in the near future.</w:t>
      </w:r>
    </w:p>
    <w:p>
      <w:pPr>
        <w:pStyle w:val="BodyText"/>
        <w:spacing w:before="198"/>
        <w:ind w:left="112" w:right="467"/>
      </w:pPr>
      <w:r>
        <w:rPr/>
        <w:t>The CCG has continued to increase knowledge and support for people going through menopause and has launched a menopause policy. Numerous training events have been held educating both managers and employees on menopause.</w:t>
      </w:r>
    </w:p>
    <w:p>
      <w:pPr>
        <w:pStyle w:val="BodyText"/>
        <w:spacing w:before="201"/>
        <w:ind w:left="112" w:right="677"/>
      </w:pPr>
      <w:r>
        <w:rPr/>
        <w:t>The HR team have run multiple recruitment and selection training sessions for employees to attend to raise awareness and knowledge on unconscious biases, equality legislation, improving diversity and positive action.</w:t>
      </w:r>
    </w:p>
    <w:p>
      <w:pPr>
        <w:pStyle w:val="BodyText"/>
        <w:rPr>
          <w:sz w:val="24"/>
        </w:rPr>
      </w:pPr>
    </w:p>
    <w:p>
      <w:pPr>
        <w:pStyle w:val="BodyText"/>
        <w:spacing w:before="8"/>
        <w:rPr>
          <w:sz w:val="34"/>
        </w:rPr>
      </w:pPr>
    </w:p>
    <w:p>
      <w:pPr>
        <w:pStyle w:val="Heading4"/>
        <w:ind w:left="120"/>
      </w:pPr>
      <w:bookmarkStart w:name="Trade Union Facility Time Reporting Requ" w:id="167"/>
      <w:bookmarkEnd w:id="167"/>
      <w:r>
        <w:rPr>
          <w:b w:val="0"/>
        </w:rPr>
      </w:r>
      <w:r>
        <w:rPr>
          <w:color w:val="4F81BB"/>
        </w:rPr>
        <w:t>Trade Union Facility Time Reporting Requirements</w:t>
      </w:r>
    </w:p>
    <w:p>
      <w:pPr>
        <w:pStyle w:val="BodyText"/>
        <w:spacing w:before="2"/>
        <w:rPr>
          <w:b/>
          <w:sz w:val="29"/>
        </w:rPr>
      </w:pPr>
    </w:p>
    <w:p>
      <w:pPr>
        <w:pStyle w:val="BodyText"/>
        <w:ind w:left="120"/>
      </w:pPr>
      <w:r>
        <w:rPr/>
        <w:t>Not Applicable.</w:t>
      </w:r>
    </w:p>
    <w:p>
      <w:pPr>
        <w:pStyle w:val="BodyText"/>
        <w:rPr>
          <w:sz w:val="24"/>
        </w:rPr>
      </w:pPr>
    </w:p>
    <w:p>
      <w:pPr>
        <w:pStyle w:val="BodyText"/>
        <w:spacing w:before="11"/>
        <w:rPr>
          <w:sz w:val="27"/>
        </w:rPr>
      </w:pPr>
    </w:p>
    <w:p>
      <w:pPr>
        <w:pStyle w:val="Heading4"/>
        <w:ind w:left="120"/>
      </w:pPr>
      <w:bookmarkStart w:name="Other employee matters" w:id="168"/>
      <w:bookmarkEnd w:id="168"/>
      <w:r>
        <w:rPr>
          <w:b w:val="0"/>
        </w:rPr>
      </w:r>
      <w:r>
        <w:rPr>
          <w:color w:val="4F81BB"/>
        </w:rPr>
        <w:t>Other employee matters</w:t>
      </w:r>
    </w:p>
    <w:p>
      <w:pPr>
        <w:pStyle w:val="BodyText"/>
        <w:spacing w:before="136"/>
        <w:ind w:left="120" w:right="265"/>
      </w:pPr>
      <w:r>
        <w:rPr/>
        <w:t>Recognising the benefits of partnership working, North Lincolnshire CCG is an active member of the Humber and North Yorkshire CCG Social Partnership Forum which is organised by the Human Resources Team.</w:t>
      </w:r>
    </w:p>
    <w:p>
      <w:pPr>
        <w:pStyle w:val="BodyText"/>
        <w:spacing w:before="201"/>
        <w:ind w:left="117" w:right="500"/>
      </w:pPr>
      <w:r>
        <w:rPr/>
        <w:t>The forum works across the six Humber CCGs: Hull, East Riding of Yorkshire, North Lincolnshire, North Yorkshire, Vale of York and North-East Lincolnshire CCG. The aim of the Partnership Forum is to provide a formal negotiation and consultation group for the CCGs and the Trade Unions to discuss and debate issues in an environment of mutual trust and respect.</w:t>
      </w:r>
    </w:p>
    <w:p>
      <w:pPr>
        <w:pStyle w:val="BodyText"/>
        <w:spacing w:before="200"/>
        <w:ind w:left="120" w:right="644"/>
      </w:pPr>
      <w:r>
        <w:rPr/>
        <w:t>The CCG also attends both the Humber Coast and Vale SPF. HR policies are reviewed, and job descriptions evaluated and banded in partnership with staff side colleagues.</w:t>
      </w:r>
    </w:p>
    <w:p>
      <w:pPr>
        <w:spacing w:after="0"/>
        <w:sectPr>
          <w:pgSz w:w="11920" w:h="16850"/>
          <w:pgMar w:header="0" w:footer="443" w:top="1320" w:bottom="640" w:left="1320" w:right="840"/>
        </w:sectPr>
      </w:pPr>
    </w:p>
    <w:p>
      <w:pPr>
        <w:pStyle w:val="BodyText"/>
        <w:spacing w:before="5"/>
        <w:rPr>
          <w:sz w:val="28"/>
        </w:rPr>
      </w:pPr>
    </w:p>
    <w:tbl>
      <w:tblPr>
        <w:tblW w:w="0" w:type="auto"/>
        <w:jc w:val="left"/>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52"/>
        <w:gridCol w:w="1589"/>
        <w:gridCol w:w="1573"/>
        <w:gridCol w:w="1526"/>
        <w:gridCol w:w="1426"/>
        <w:gridCol w:w="1338"/>
        <w:gridCol w:w="1355"/>
      </w:tblGrid>
      <w:tr>
        <w:trPr>
          <w:trHeight w:val="483" w:hRule="atLeast"/>
        </w:trPr>
        <w:tc>
          <w:tcPr>
            <w:tcW w:w="5752" w:type="dxa"/>
          </w:tcPr>
          <w:p>
            <w:pPr>
              <w:pStyle w:val="TableParagraph"/>
              <w:spacing w:line="268" w:lineRule="exact"/>
              <w:ind w:left="-8"/>
              <w:rPr>
                <w:b/>
                <w:sz w:val="24"/>
              </w:rPr>
            </w:pPr>
            <w:r>
              <w:rPr>
                <w:b/>
                <w:color w:val="4F81BB"/>
                <w:sz w:val="24"/>
              </w:rPr>
              <w:t>Staff Numbers (subject to audit)</w:t>
            </w:r>
          </w:p>
        </w:tc>
        <w:tc>
          <w:tcPr>
            <w:tcW w:w="1589" w:type="dxa"/>
          </w:tcPr>
          <w:p>
            <w:pPr>
              <w:pStyle w:val="TableParagraph"/>
              <w:rPr>
                <w:rFonts w:ascii="Times New Roman"/>
                <w:sz w:val="18"/>
              </w:rPr>
            </w:pPr>
          </w:p>
        </w:tc>
        <w:tc>
          <w:tcPr>
            <w:tcW w:w="1573" w:type="dxa"/>
          </w:tcPr>
          <w:p>
            <w:pPr>
              <w:pStyle w:val="TableParagraph"/>
              <w:rPr>
                <w:rFonts w:ascii="Times New Roman"/>
                <w:sz w:val="18"/>
              </w:rPr>
            </w:pPr>
          </w:p>
        </w:tc>
        <w:tc>
          <w:tcPr>
            <w:tcW w:w="1526" w:type="dxa"/>
          </w:tcPr>
          <w:p>
            <w:pPr>
              <w:pStyle w:val="TableParagraph"/>
              <w:rPr>
                <w:rFonts w:ascii="Times New Roman"/>
                <w:sz w:val="18"/>
              </w:rPr>
            </w:pPr>
          </w:p>
        </w:tc>
        <w:tc>
          <w:tcPr>
            <w:tcW w:w="1426" w:type="dxa"/>
          </w:tcPr>
          <w:p>
            <w:pPr>
              <w:pStyle w:val="TableParagraph"/>
              <w:rPr>
                <w:rFonts w:ascii="Times New Roman"/>
                <w:sz w:val="18"/>
              </w:rPr>
            </w:pPr>
          </w:p>
        </w:tc>
        <w:tc>
          <w:tcPr>
            <w:tcW w:w="1338" w:type="dxa"/>
          </w:tcPr>
          <w:p>
            <w:pPr>
              <w:pStyle w:val="TableParagraph"/>
              <w:rPr>
                <w:rFonts w:ascii="Times New Roman"/>
                <w:sz w:val="18"/>
              </w:rPr>
            </w:pPr>
          </w:p>
        </w:tc>
        <w:tc>
          <w:tcPr>
            <w:tcW w:w="1355" w:type="dxa"/>
          </w:tcPr>
          <w:p>
            <w:pPr>
              <w:pStyle w:val="TableParagraph"/>
              <w:rPr>
                <w:rFonts w:ascii="Times New Roman"/>
                <w:sz w:val="18"/>
              </w:rPr>
            </w:pPr>
          </w:p>
        </w:tc>
      </w:tr>
      <w:tr>
        <w:trPr>
          <w:trHeight w:val="221" w:hRule="atLeast"/>
        </w:trPr>
        <w:tc>
          <w:tcPr>
            <w:tcW w:w="5752" w:type="dxa"/>
            <w:tcBorders>
              <w:left w:val="single" w:sz="6" w:space="0" w:color="0000D0"/>
            </w:tcBorders>
          </w:tcPr>
          <w:p>
            <w:pPr>
              <w:pStyle w:val="TableParagraph"/>
              <w:rPr>
                <w:rFonts w:ascii="Times New Roman"/>
                <w:sz w:val="14"/>
              </w:rPr>
            </w:pPr>
          </w:p>
        </w:tc>
        <w:tc>
          <w:tcPr>
            <w:tcW w:w="1589" w:type="dxa"/>
          </w:tcPr>
          <w:p>
            <w:pPr>
              <w:pStyle w:val="TableParagraph"/>
              <w:rPr>
                <w:rFonts w:ascii="Times New Roman"/>
                <w:sz w:val="14"/>
              </w:rPr>
            </w:pPr>
          </w:p>
        </w:tc>
        <w:tc>
          <w:tcPr>
            <w:tcW w:w="1573" w:type="dxa"/>
          </w:tcPr>
          <w:p>
            <w:pPr>
              <w:pStyle w:val="TableParagraph"/>
              <w:spacing w:line="191" w:lineRule="exact" w:before="11"/>
              <w:ind w:left="343"/>
              <w:rPr>
                <w:b/>
                <w:sz w:val="17"/>
              </w:rPr>
            </w:pPr>
            <w:r>
              <w:rPr>
                <w:b/>
                <w:sz w:val="17"/>
              </w:rPr>
              <w:t>2021-22</w:t>
            </w:r>
          </w:p>
        </w:tc>
        <w:tc>
          <w:tcPr>
            <w:tcW w:w="1526" w:type="dxa"/>
          </w:tcPr>
          <w:p>
            <w:pPr>
              <w:pStyle w:val="TableParagraph"/>
              <w:rPr>
                <w:rFonts w:ascii="Times New Roman"/>
                <w:sz w:val="14"/>
              </w:rPr>
            </w:pPr>
          </w:p>
        </w:tc>
        <w:tc>
          <w:tcPr>
            <w:tcW w:w="1426" w:type="dxa"/>
          </w:tcPr>
          <w:p>
            <w:pPr>
              <w:pStyle w:val="TableParagraph"/>
              <w:rPr>
                <w:rFonts w:ascii="Times New Roman"/>
                <w:sz w:val="14"/>
              </w:rPr>
            </w:pPr>
          </w:p>
        </w:tc>
        <w:tc>
          <w:tcPr>
            <w:tcW w:w="1338" w:type="dxa"/>
          </w:tcPr>
          <w:p>
            <w:pPr>
              <w:pStyle w:val="TableParagraph"/>
              <w:spacing w:line="191" w:lineRule="exact" w:before="11"/>
              <w:ind w:left="258"/>
              <w:rPr>
                <w:b/>
                <w:sz w:val="17"/>
              </w:rPr>
            </w:pPr>
            <w:r>
              <w:rPr>
                <w:b/>
                <w:sz w:val="17"/>
              </w:rPr>
              <w:t>2020-21</w:t>
            </w:r>
          </w:p>
        </w:tc>
        <w:tc>
          <w:tcPr>
            <w:tcW w:w="1355" w:type="dxa"/>
          </w:tcPr>
          <w:p>
            <w:pPr>
              <w:pStyle w:val="TableParagraph"/>
              <w:rPr>
                <w:rFonts w:ascii="Times New Roman"/>
                <w:sz w:val="14"/>
              </w:rPr>
            </w:pPr>
          </w:p>
        </w:tc>
      </w:tr>
      <w:tr>
        <w:trPr>
          <w:trHeight w:val="221" w:hRule="atLeast"/>
        </w:trPr>
        <w:tc>
          <w:tcPr>
            <w:tcW w:w="5752" w:type="dxa"/>
            <w:tcBorders>
              <w:left w:val="single" w:sz="6" w:space="0" w:color="0000D0"/>
            </w:tcBorders>
          </w:tcPr>
          <w:p>
            <w:pPr>
              <w:pStyle w:val="TableParagraph"/>
              <w:rPr>
                <w:rFonts w:ascii="Times New Roman"/>
                <w:sz w:val="14"/>
              </w:rPr>
            </w:pPr>
          </w:p>
        </w:tc>
        <w:tc>
          <w:tcPr>
            <w:tcW w:w="1589" w:type="dxa"/>
          </w:tcPr>
          <w:p>
            <w:pPr>
              <w:pStyle w:val="TableParagraph"/>
              <w:spacing w:line="192" w:lineRule="exact" w:before="10"/>
              <w:ind w:left="108"/>
              <w:rPr>
                <w:b/>
                <w:sz w:val="17"/>
              </w:rPr>
            </w:pPr>
            <w:r>
              <w:rPr>
                <w:b/>
                <w:sz w:val="17"/>
              </w:rPr>
              <w:t>Permanently</w:t>
            </w:r>
          </w:p>
        </w:tc>
        <w:tc>
          <w:tcPr>
            <w:tcW w:w="1573" w:type="dxa"/>
          </w:tcPr>
          <w:p>
            <w:pPr>
              <w:pStyle w:val="TableParagraph"/>
              <w:rPr>
                <w:rFonts w:ascii="Times New Roman"/>
                <w:sz w:val="14"/>
              </w:rPr>
            </w:pPr>
          </w:p>
        </w:tc>
        <w:tc>
          <w:tcPr>
            <w:tcW w:w="1526" w:type="dxa"/>
          </w:tcPr>
          <w:p>
            <w:pPr>
              <w:pStyle w:val="TableParagraph"/>
              <w:rPr>
                <w:rFonts w:ascii="Times New Roman"/>
                <w:sz w:val="14"/>
              </w:rPr>
            </w:pPr>
          </w:p>
        </w:tc>
        <w:tc>
          <w:tcPr>
            <w:tcW w:w="1426" w:type="dxa"/>
          </w:tcPr>
          <w:p>
            <w:pPr>
              <w:pStyle w:val="TableParagraph"/>
              <w:spacing w:line="192" w:lineRule="exact" w:before="10"/>
              <w:ind w:left="151"/>
              <w:rPr>
                <w:b/>
                <w:sz w:val="17"/>
              </w:rPr>
            </w:pPr>
            <w:r>
              <w:rPr>
                <w:b/>
                <w:sz w:val="17"/>
              </w:rPr>
              <w:t>Permanently</w:t>
            </w:r>
          </w:p>
        </w:tc>
        <w:tc>
          <w:tcPr>
            <w:tcW w:w="1338" w:type="dxa"/>
          </w:tcPr>
          <w:p>
            <w:pPr>
              <w:pStyle w:val="TableParagraph"/>
              <w:rPr>
                <w:rFonts w:ascii="Times New Roman"/>
                <w:sz w:val="14"/>
              </w:rPr>
            </w:pPr>
          </w:p>
        </w:tc>
        <w:tc>
          <w:tcPr>
            <w:tcW w:w="1355" w:type="dxa"/>
          </w:tcPr>
          <w:p>
            <w:pPr>
              <w:pStyle w:val="TableParagraph"/>
              <w:rPr>
                <w:rFonts w:ascii="Times New Roman"/>
                <w:sz w:val="14"/>
              </w:rPr>
            </w:pPr>
          </w:p>
        </w:tc>
      </w:tr>
      <w:tr>
        <w:trPr>
          <w:trHeight w:val="228" w:hRule="atLeast"/>
        </w:trPr>
        <w:tc>
          <w:tcPr>
            <w:tcW w:w="5752" w:type="dxa"/>
            <w:tcBorders>
              <w:left w:val="single" w:sz="6" w:space="0" w:color="0000D0"/>
            </w:tcBorders>
          </w:tcPr>
          <w:p>
            <w:pPr>
              <w:pStyle w:val="TableParagraph"/>
              <w:rPr>
                <w:rFonts w:ascii="Times New Roman"/>
                <w:sz w:val="16"/>
              </w:rPr>
            </w:pPr>
          </w:p>
        </w:tc>
        <w:tc>
          <w:tcPr>
            <w:tcW w:w="1589" w:type="dxa"/>
          </w:tcPr>
          <w:p>
            <w:pPr>
              <w:pStyle w:val="TableParagraph"/>
              <w:spacing w:before="11"/>
              <w:ind w:left="228"/>
              <w:rPr>
                <w:b/>
                <w:sz w:val="17"/>
              </w:rPr>
            </w:pPr>
            <w:r>
              <w:rPr>
                <w:b/>
                <w:sz w:val="17"/>
              </w:rPr>
              <w:t>employed</w:t>
            </w:r>
          </w:p>
        </w:tc>
        <w:tc>
          <w:tcPr>
            <w:tcW w:w="1573" w:type="dxa"/>
          </w:tcPr>
          <w:p>
            <w:pPr>
              <w:pStyle w:val="TableParagraph"/>
              <w:spacing w:before="11"/>
              <w:ind w:left="384"/>
              <w:rPr>
                <w:b/>
                <w:sz w:val="17"/>
              </w:rPr>
            </w:pPr>
            <w:r>
              <w:rPr>
                <w:b/>
                <w:sz w:val="17"/>
              </w:rPr>
              <w:t>Other</w:t>
            </w:r>
          </w:p>
        </w:tc>
        <w:tc>
          <w:tcPr>
            <w:tcW w:w="1526" w:type="dxa"/>
          </w:tcPr>
          <w:p>
            <w:pPr>
              <w:pStyle w:val="TableParagraph"/>
              <w:spacing w:before="11"/>
              <w:ind w:left="424"/>
              <w:rPr>
                <w:b/>
                <w:sz w:val="17"/>
              </w:rPr>
            </w:pPr>
            <w:r>
              <w:rPr>
                <w:b/>
                <w:sz w:val="17"/>
              </w:rPr>
              <w:t>Total</w:t>
            </w:r>
          </w:p>
        </w:tc>
        <w:tc>
          <w:tcPr>
            <w:tcW w:w="1426" w:type="dxa"/>
          </w:tcPr>
          <w:p>
            <w:pPr>
              <w:pStyle w:val="TableParagraph"/>
              <w:spacing w:before="11"/>
              <w:ind w:left="204"/>
              <w:rPr>
                <w:b/>
                <w:sz w:val="17"/>
              </w:rPr>
            </w:pPr>
            <w:r>
              <w:rPr>
                <w:b/>
                <w:sz w:val="17"/>
              </w:rPr>
              <w:t>employed</w:t>
            </w:r>
          </w:p>
        </w:tc>
        <w:tc>
          <w:tcPr>
            <w:tcW w:w="1338" w:type="dxa"/>
          </w:tcPr>
          <w:p>
            <w:pPr>
              <w:pStyle w:val="TableParagraph"/>
              <w:spacing w:before="11"/>
              <w:ind w:left="326"/>
              <w:rPr>
                <w:b/>
                <w:sz w:val="17"/>
              </w:rPr>
            </w:pPr>
            <w:r>
              <w:rPr>
                <w:b/>
                <w:sz w:val="17"/>
              </w:rPr>
              <w:t>Other</w:t>
            </w:r>
          </w:p>
        </w:tc>
        <w:tc>
          <w:tcPr>
            <w:tcW w:w="1355" w:type="dxa"/>
          </w:tcPr>
          <w:p>
            <w:pPr>
              <w:pStyle w:val="TableParagraph"/>
              <w:spacing w:before="11"/>
              <w:ind w:left="360"/>
              <w:rPr>
                <w:b/>
                <w:sz w:val="17"/>
              </w:rPr>
            </w:pPr>
            <w:r>
              <w:rPr>
                <w:b/>
                <w:sz w:val="17"/>
              </w:rPr>
              <w:t>Total</w:t>
            </w:r>
          </w:p>
        </w:tc>
      </w:tr>
      <w:tr>
        <w:trPr>
          <w:trHeight w:val="342" w:hRule="atLeast"/>
        </w:trPr>
        <w:tc>
          <w:tcPr>
            <w:tcW w:w="5752" w:type="dxa"/>
            <w:tcBorders>
              <w:left w:val="single" w:sz="6" w:space="0" w:color="0000D0"/>
            </w:tcBorders>
          </w:tcPr>
          <w:p>
            <w:pPr>
              <w:pStyle w:val="TableParagraph"/>
              <w:rPr>
                <w:rFonts w:ascii="Times New Roman"/>
                <w:sz w:val="18"/>
              </w:rPr>
            </w:pPr>
          </w:p>
        </w:tc>
        <w:tc>
          <w:tcPr>
            <w:tcW w:w="1589" w:type="dxa"/>
          </w:tcPr>
          <w:p>
            <w:pPr>
              <w:pStyle w:val="TableParagraph"/>
              <w:spacing w:before="16"/>
              <w:ind w:left="320"/>
              <w:rPr>
                <w:b/>
                <w:sz w:val="17"/>
              </w:rPr>
            </w:pPr>
            <w:r>
              <w:rPr>
                <w:b/>
                <w:sz w:val="17"/>
              </w:rPr>
              <w:t>Number</w:t>
            </w:r>
          </w:p>
        </w:tc>
        <w:tc>
          <w:tcPr>
            <w:tcW w:w="1573" w:type="dxa"/>
          </w:tcPr>
          <w:p>
            <w:pPr>
              <w:pStyle w:val="TableParagraph"/>
              <w:spacing w:before="16"/>
              <w:ind w:left="291"/>
              <w:rPr>
                <w:b/>
                <w:sz w:val="17"/>
              </w:rPr>
            </w:pPr>
            <w:r>
              <w:rPr>
                <w:b/>
                <w:sz w:val="17"/>
              </w:rPr>
              <w:t>Number</w:t>
            </w:r>
          </w:p>
        </w:tc>
        <w:tc>
          <w:tcPr>
            <w:tcW w:w="1526" w:type="dxa"/>
          </w:tcPr>
          <w:p>
            <w:pPr>
              <w:pStyle w:val="TableParagraph"/>
              <w:spacing w:before="16"/>
              <w:ind w:left="304"/>
              <w:rPr>
                <w:b/>
                <w:sz w:val="17"/>
              </w:rPr>
            </w:pPr>
            <w:r>
              <w:rPr>
                <w:b/>
                <w:sz w:val="17"/>
              </w:rPr>
              <w:t>Number</w:t>
            </w:r>
          </w:p>
        </w:tc>
        <w:tc>
          <w:tcPr>
            <w:tcW w:w="1426" w:type="dxa"/>
          </w:tcPr>
          <w:p>
            <w:pPr>
              <w:pStyle w:val="TableParagraph"/>
              <w:spacing w:before="16"/>
              <w:ind w:left="297"/>
              <w:rPr>
                <w:b/>
                <w:sz w:val="17"/>
              </w:rPr>
            </w:pPr>
            <w:r>
              <w:rPr>
                <w:b/>
                <w:sz w:val="17"/>
              </w:rPr>
              <w:t>Number</w:t>
            </w:r>
          </w:p>
        </w:tc>
        <w:tc>
          <w:tcPr>
            <w:tcW w:w="1338" w:type="dxa"/>
          </w:tcPr>
          <w:p>
            <w:pPr>
              <w:pStyle w:val="TableParagraph"/>
              <w:spacing w:before="16"/>
              <w:ind w:left="232"/>
              <w:rPr>
                <w:b/>
                <w:sz w:val="17"/>
              </w:rPr>
            </w:pPr>
            <w:r>
              <w:rPr>
                <w:b/>
                <w:sz w:val="17"/>
              </w:rPr>
              <w:t>Number</w:t>
            </w:r>
          </w:p>
        </w:tc>
        <w:tc>
          <w:tcPr>
            <w:tcW w:w="1355" w:type="dxa"/>
          </w:tcPr>
          <w:p>
            <w:pPr>
              <w:pStyle w:val="TableParagraph"/>
              <w:spacing w:before="16"/>
              <w:ind w:left="252"/>
              <w:rPr>
                <w:b/>
                <w:sz w:val="17"/>
              </w:rPr>
            </w:pPr>
            <w:r>
              <w:rPr>
                <w:b/>
                <w:sz w:val="17"/>
              </w:rPr>
              <w:t>Number</w:t>
            </w:r>
          </w:p>
        </w:tc>
      </w:tr>
      <w:tr>
        <w:trPr>
          <w:trHeight w:val="450" w:hRule="atLeast"/>
        </w:trPr>
        <w:tc>
          <w:tcPr>
            <w:tcW w:w="5752" w:type="dxa"/>
            <w:tcBorders>
              <w:left w:val="single" w:sz="6" w:space="0" w:color="0000D0"/>
            </w:tcBorders>
          </w:tcPr>
          <w:p>
            <w:pPr>
              <w:pStyle w:val="TableParagraph"/>
              <w:spacing w:before="125"/>
              <w:ind w:left="23"/>
              <w:rPr>
                <w:b/>
                <w:sz w:val="17"/>
              </w:rPr>
            </w:pPr>
            <w:r>
              <w:rPr>
                <w:b/>
                <w:sz w:val="17"/>
              </w:rPr>
              <w:t>Total</w:t>
            </w:r>
          </w:p>
        </w:tc>
        <w:tc>
          <w:tcPr>
            <w:tcW w:w="1589" w:type="dxa"/>
          </w:tcPr>
          <w:p>
            <w:pPr>
              <w:pStyle w:val="TableParagraph"/>
              <w:spacing w:before="125"/>
              <w:ind w:right="278"/>
              <w:jc w:val="right"/>
              <w:rPr>
                <w:b/>
                <w:sz w:val="17"/>
              </w:rPr>
            </w:pPr>
            <w:r>
              <w:rPr>
                <w:b/>
                <w:sz w:val="17"/>
              </w:rPr>
              <w:t>71.00</w:t>
            </w:r>
          </w:p>
        </w:tc>
        <w:tc>
          <w:tcPr>
            <w:tcW w:w="1573" w:type="dxa"/>
          </w:tcPr>
          <w:p>
            <w:pPr>
              <w:pStyle w:val="TableParagraph"/>
              <w:spacing w:before="125"/>
              <w:ind w:right="289"/>
              <w:jc w:val="right"/>
              <w:rPr>
                <w:b/>
                <w:sz w:val="17"/>
              </w:rPr>
            </w:pPr>
            <w:r>
              <w:rPr>
                <w:b/>
                <w:sz w:val="17"/>
              </w:rPr>
              <w:t>2.41</w:t>
            </w:r>
          </w:p>
        </w:tc>
        <w:tc>
          <w:tcPr>
            <w:tcW w:w="1526" w:type="dxa"/>
          </w:tcPr>
          <w:p>
            <w:pPr>
              <w:pStyle w:val="TableParagraph"/>
              <w:spacing w:before="125"/>
              <w:ind w:right="190"/>
              <w:jc w:val="right"/>
              <w:rPr>
                <w:b/>
                <w:sz w:val="17"/>
              </w:rPr>
            </w:pPr>
            <w:r>
              <w:rPr>
                <w:b/>
                <w:sz w:val="17"/>
              </w:rPr>
              <w:t>73.41</w:t>
            </w:r>
          </w:p>
        </w:tc>
        <w:tc>
          <w:tcPr>
            <w:tcW w:w="1426" w:type="dxa"/>
          </w:tcPr>
          <w:p>
            <w:pPr>
              <w:pStyle w:val="TableParagraph"/>
              <w:spacing w:before="125"/>
              <w:ind w:right="217"/>
              <w:jc w:val="right"/>
              <w:rPr>
                <w:b/>
                <w:sz w:val="17"/>
              </w:rPr>
            </w:pPr>
            <w:r>
              <w:rPr>
                <w:b/>
                <w:sz w:val="17"/>
              </w:rPr>
              <w:t>64.57</w:t>
            </w:r>
          </w:p>
        </w:tc>
        <w:tc>
          <w:tcPr>
            <w:tcW w:w="1338" w:type="dxa"/>
          </w:tcPr>
          <w:p>
            <w:pPr>
              <w:pStyle w:val="TableParagraph"/>
              <w:spacing w:before="125"/>
              <w:ind w:right="232"/>
              <w:jc w:val="right"/>
              <w:rPr>
                <w:b/>
                <w:sz w:val="17"/>
              </w:rPr>
            </w:pPr>
            <w:r>
              <w:rPr>
                <w:b/>
                <w:sz w:val="17"/>
              </w:rPr>
              <w:t>0.71</w:t>
            </w:r>
          </w:p>
        </w:tc>
        <w:tc>
          <w:tcPr>
            <w:tcW w:w="1355" w:type="dxa"/>
          </w:tcPr>
          <w:p>
            <w:pPr>
              <w:pStyle w:val="TableParagraph"/>
              <w:spacing w:before="125"/>
              <w:ind w:right="190"/>
              <w:jc w:val="right"/>
              <w:rPr>
                <w:b/>
                <w:sz w:val="17"/>
              </w:rPr>
            </w:pPr>
            <w:r>
              <w:rPr>
                <w:b/>
                <w:sz w:val="17"/>
              </w:rPr>
              <w:t>65.28</w:t>
            </w:r>
          </w:p>
        </w:tc>
      </w:tr>
      <w:tr>
        <w:trPr>
          <w:trHeight w:val="787" w:hRule="atLeast"/>
        </w:trPr>
        <w:tc>
          <w:tcPr>
            <w:tcW w:w="5752" w:type="dxa"/>
            <w:tcBorders>
              <w:left w:val="single" w:sz="6" w:space="0" w:color="0000D0"/>
            </w:tcBorders>
          </w:tcPr>
          <w:p>
            <w:pPr>
              <w:pStyle w:val="TableParagraph"/>
              <w:spacing w:before="124"/>
              <w:ind w:left="21"/>
              <w:rPr>
                <w:sz w:val="17"/>
              </w:rPr>
            </w:pPr>
            <w:r>
              <w:rPr>
                <w:sz w:val="17"/>
              </w:rPr>
              <w:t>Of the above:</w:t>
            </w:r>
          </w:p>
          <w:p>
            <w:pPr>
              <w:pStyle w:val="TableParagraph"/>
              <w:spacing w:line="220" w:lineRule="atLeast" w:before="5"/>
              <w:ind w:left="23" w:right="855"/>
              <w:rPr>
                <w:b/>
                <w:sz w:val="17"/>
              </w:rPr>
            </w:pPr>
            <w:r>
              <w:rPr>
                <w:b/>
                <w:sz w:val="17"/>
              </w:rPr>
              <w:t>Number of whole time equivalent people engaged on capital projects</w:t>
            </w:r>
          </w:p>
        </w:tc>
        <w:tc>
          <w:tcPr>
            <w:tcW w:w="1589" w:type="dxa"/>
          </w:tcPr>
          <w:p>
            <w:pPr>
              <w:pStyle w:val="TableParagraph"/>
              <w:rPr>
                <w:sz w:val="18"/>
              </w:rPr>
            </w:pPr>
          </w:p>
          <w:p>
            <w:pPr>
              <w:pStyle w:val="TableParagraph"/>
              <w:rPr>
                <w:sz w:val="18"/>
              </w:rPr>
            </w:pPr>
          </w:p>
          <w:p>
            <w:pPr>
              <w:pStyle w:val="TableParagraph"/>
              <w:spacing w:before="156"/>
              <w:ind w:right="274"/>
              <w:jc w:val="right"/>
              <w:rPr>
                <w:b/>
                <w:sz w:val="17"/>
              </w:rPr>
            </w:pPr>
            <w:r>
              <w:rPr>
                <w:b/>
                <w:w w:val="100"/>
                <w:sz w:val="17"/>
              </w:rPr>
              <w:t>-</w:t>
            </w:r>
          </w:p>
        </w:tc>
        <w:tc>
          <w:tcPr>
            <w:tcW w:w="1573" w:type="dxa"/>
          </w:tcPr>
          <w:p>
            <w:pPr>
              <w:pStyle w:val="TableParagraph"/>
              <w:rPr>
                <w:sz w:val="18"/>
              </w:rPr>
            </w:pPr>
          </w:p>
          <w:p>
            <w:pPr>
              <w:pStyle w:val="TableParagraph"/>
              <w:rPr>
                <w:sz w:val="18"/>
              </w:rPr>
            </w:pPr>
          </w:p>
          <w:p>
            <w:pPr>
              <w:pStyle w:val="TableParagraph"/>
              <w:spacing w:before="156"/>
              <w:ind w:right="287"/>
              <w:jc w:val="right"/>
              <w:rPr>
                <w:b/>
                <w:sz w:val="17"/>
              </w:rPr>
            </w:pPr>
            <w:r>
              <w:rPr>
                <w:b/>
                <w:w w:val="100"/>
                <w:sz w:val="17"/>
              </w:rPr>
              <w:t>-</w:t>
            </w:r>
          </w:p>
        </w:tc>
        <w:tc>
          <w:tcPr>
            <w:tcW w:w="1526" w:type="dxa"/>
          </w:tcPr>
          <w:p>
            <w:pPr>
              <w:pStyle w:val="TableParagraph"/>
              <w:rPr>
                <w:sz w:val="18"/>
              </w:rPr>
            </w:pPr>
          </w:p>
          <w:p>
            <w:pPr>
              <w:pStyle w:val="TableParagraph"/>
              <w:rPr>
                <w:sz w:val="18"/>
              </w:rPr>
            </w:pPr>
          </w:p>
          <w:p>
            <w:pPr>
              <w:pStyle w:val="TableParagraph"/>
              <w:spacing w:before="156"/>
              <w:ind w:right="186"/>
              <w:jc w:val="right"/>
              <w:rPr>
                <w:b/>
                <w:sz w:val="17"/>
              </w:rPr>
            </w:pPr>
            <w:r>
              <w:rPr>
                <w:b/>
                <w:w w:val="100"/>
                <w:sz w:val="17"/>
              </w:rPr>
              <w:t>-</w:t>
            </w:r>
          </w:p>
        </w:tc>
        <w:tc>
          <w:tcPr>
            <w:tcW w:w="1426" w:type="dxa"/>
          </w:tcPr>
          <w:p>
            <w:pPr>
              <w:pStyle w:val="TableParagraph"/>
              <w:rPr>
                <w:sz w:val="18"/>
              </w:rPr>
            </w:pPr>
          </w:p>
          <w:p>
            <w:pPr>
              <w:pStyle w:val="TableParagraph"/>
              <w:rPr>
                <w:sz w:val="18"/>
              </w:rPr>
            </w:pPr>
          </w:p>
          <w:p>
            <w:pPr>
              <w:pStyle w:val="TableParagraph"/>
              <w:spacing w:before="156"/>
              <w:ind w:right="212"/>
              <w:jc w:val="right"/>
              <w:rPr>
                <w:b/>
                <w:sz w:val="17"/>
              </w:rPr>
            </w:pPr>
            <w:r>
              <w:rPr>
                <w:b/>
                <w:w w:val="100"/>
                <w:sz w:val="17"/>
              </w:rPr>
              <w:t>-</w:t>
            </w:r>
          </w:p>
        </w:tc>
        <w:tc>
          <w:tcPr>
            <w:tcW w:w="1338" w:type="dxa"/>
          </w:tcPr>
          <w:p>
            <w:pPr>
              <w:pStyle w:val="TableParagraph"/>
              <w:rPr>
                <w:sz w:val="18"/>
              </w:rPr>
            </w:pPr>
          </w:p>
          <w:p>
            <w:pPr>
              <w:pStyle w:val="TableParagraph"/>
              <w:rPr>
                <w:sz w:val="18"/>
              </w:rPr>
            </w:pPr>
          </w:p>
          <w:p>
            <w:pPr>
              <w:pStyle w:val="TableParagraph"/>
              <w:spacing w:before="156"/>
              <w:ind w:right="230"/>
              <w:jc w:val="right"/>
              <w:rPr>
                <w:b/>
                <w:sz w:val="17"/>
              </w:rPr>
            </w:pPr>
            <w:r>
              <w:rPr>
                <w:b/>
                <w:w w:val="100"/>
                <w:sz w:val="17"/>
              </w:rPr>
              <w:t>-</w:t>
            </w:r>
          </w:p>
        </w:tc>
        <w:tc>
          <w:tcPr>
            <w:tcW w:w="1355" w:type="dxa"/>
          </w:tcPr>
          <w:p>
            <w:pPr>
              <w:pStyle w:val="TableParagraph"/>
              <w:rPr>
                <w:sz w:val="18"/>
              </w:rPr>
            </w:pPr>
          </w:p>
          <w:p>
            <w:pPr>
              <w:pStyle w:val="TableParagraph"/>
              <w:rPr>
                <w:sz w:val="18"/>
              </w:rPr>
            </w:pPr>
          </w:p>
          <w:p>
            <w:pPr>
              <w:pStyle w:val="TableParagraph"/>
              <w:spacing w:before="156"/>
              <w:ind w:right="186"/>
              <w:jc w:val="right"/>
              <w:rPr>
                <w:b/>
                <w:sz w:val="17"/>
              </w:rPr>
            </w:pPr>
            <w:r>
              <w:rPr>
                <w:b/>
                <w:w w:val="100"/>
                <w:sz w:val="17"/>
              </w:rPr>
              <w:t>-</w:t>
            </w:r>
          </w:p>
        </w:tc>
      </w:tr>
      <w:tr>
        <w:trPr>
          <w:trHeight w:val="509" w:hRule="atLeast"/>
        </w:trPr>
        <w:tc>
          <w:tcPr>
            <w:tcW w:w="5752" w:type="dxa"/>
          </w:tcPr>
          <w:p>
            <w:pPr>
              <w:pStyle w:val="TableParagraph"/>
              <w:spacing w:line="256" w:lineRule="exact" w:before="233"/>
              <w:ind w:left="-8"/>
              <w:rPr>
                <w:b/>
                <w:sz w:val="24"/>
              </w:rPr>
            </w:pPr>
            <w:r>
              <w:rPr>
                <w:b/>
                <w:color w:val="4F81BB"/>
                <w:sz w:val="24"/>
              </w:rPr>
              <w:t>Staff Costs table 2021-22 (subject to audit)</w:t>
            </w:r>
          </w:p>
        </w:tc>
        <w:tc>
          <w:tcPr>
            <w:tcW w:w="1589" w:type="dxa"/>
          </w:tcPr>
          <w:p>
            <w:pPr>
              <w:pStyle w:val="TableParagraph"/>
              <w:rPr>
                <w:rFonts w:ascii="Times New Roman"/>
                <w:sz w:val="18"/>
              </w:rPr>
            </w:pPr>
          </w:p>
        </w:tc>
        <w:tc>
          <w:tcPr>
            <w:tcW w:w="1573" w:type="dxa"/>
          </w:tcPr>
          <w:p>
            <w:pPr>
              <w:pStyle w:val="TableParagraph"/>
              <w:rPr>
                <w:rFonts w:ascii="Times New Roman"/>
                <w:sz w:val="18"/>
              </w:rPr>
            </w:pPr>
          </w:p>
        </w:tc>
        <w:tc>
          <w:tcPr>
            <w:tcW w:w="1526" w:type="dxa"/>
          </w:tcPr>
          <w:p>
            <w:pPr>
              <w:pStyle w:val="TableParagraph"/>
              <w:rPr>
                <w:rFonts w:ascii="Times New Roman"/>
                <w:sz w:val="18"/>
              </w:rPr>
            </w:pPr>
          </w:p>
        </w:tc>
        <w:tc>
          <w:tcPr>
            <w:tcW w:w="1426" w:type="dxa"/>
          </w:tcPr>
          <w:p>
            <w:pPr>
              <w:pStyle w:val="TableParagraph"/>
              <w:rPr>
                <w:rFonts w:ascii="Times New Roman"/>
                <w:sz w:val="18"/>
              </w:rPr>
            </w:pPr>
          </w:p>
        </w:tc>
        <w:tc>
          <w:tcPr>
            <w:tcW w:w="1338" w:type="dxa"/>
          </w:tcPr>
          <w:p>
            <w:pPr>
              <w:pStyle w:val="TableParagraph"/>
              <w:rPr>
                <w:rFonts w:ascii="Times New Roman"/>
                <w:sz w:val="18"/>
              </w:rPr>
            </w:pPr>
          </w:p>
        </w:tc>
        <w:tc>
          <w:tcPr>
            <w:tcW w:w="1355" w:type="dxa"/>
          </w:tcPr>
          <w:p>
            <w:pPr>
              <w:pStyle w:val="TableParagraph"/>
              <w:rPr>
                <w:rFonts w:ascii="Times New Roman"/>
                <w:sz w:val="18"/>
              </w:rPr>
            </w:pPr>
          </w:p>
        </w:tc>
      </w:tr>
    </w:tbl>
    <w:p>
      <w:pPr>
        <w:pStyle w:val="BodyText"/>
        <w:spacing w:before="3"/>
        <w:rPr>
          <w:sz w:val="19"/>
        </w:rPr>
      </w:pPr>
      <w:r>
        <w:rPr/>
        <w:drawing>
          <wp:anchor distT="0" distB="0" distL="0" distR="0" allowOverlap="1" layoutInCell="1" locked="0" behindDoc="0" simplePos="0" relativeHeight="24">
            <wp:simplePos x="0" y="0"/>
            <wp:positionH relativeFrom="page">
              <wp:posOffset>630555</wp:posOffset>
            </wp:positionH>
            <wp:positionV relativeFrom="paragraph">
              <wp:posOffset>165494</wp:posOffset>
            </wp:positionV>
            <wp:extent cx="8640407" cy="3176111"/>
            <wp:effectExtent l="0" t="0" r="0" b="0"/>
            <wp:wrapTopAndBottom/>
            <wp:docPr id="23" name="image12.png"/>
            <wp:cNvGraphicFramePr>
              <a:graphicFrameLocks noChangeAspect="1"/>
            </wp:cNvGraphicFramePr>
            <a:graphic>
              <a:graphicData uri="http://schemas.openxmlformats.org/drawingml/2006/picture">
                <pic:pic>
                  <pic:nvPicPr>
                    <pic:cNvPr id="24" name="image12.png"/>
                    <pic:cNvPicPr/>
                  </pic:nvPicPr>
                  <pic:blipFill>
                    <a:blip r:embed="rId43" cstate="print"/>
                    <a:stretch>
                      <a:fillRect/>
                    </a:stretch>
                  </pic:blipFill>
                  <pic:spPr>
                    <a:xfrm>
                      <a:off x="0" y="0"/>
                      <a:ext cx="8640407" cy="3176111"/>
                    </a:xfrm>
                    <a:prstGeom prst="rect">
                      <a:avLst/>
                    </a:prstGeom>
                  </pic:spPr>
                </pic:pic>
              </a:graphicData>
            </a:graphic>
          </wp:anchor>
        </w:drawing>
      </w:r>
    </w:p>
    <w:p>
      <w:pPr>
        <w:spacing w:after="0"/>
        <w:rPr>
          <w:sz w:val="19"/>
        </w:rPr>
        <w:sectPr>
          <w:footerReference w:type="default" r:id="rId42"/>
          <w:pgSz w:w="16850" w:h="11920" w:orient="landscape"/>
          <w:pgMar w:footer="365" w:header="0" w:top="1100" w:bottom="560" w:left="880" w:right="1140"/>
        </w:sectPr>
      </w:pPr>
    </w:p>
    <w:p>
      <w:pPr>
        <w:pStyle w:val="Heading3"/>
        <w:spacing w:before="79"/>
        <w:ind w:left="100"/>
      </w:pPr>
      <w:bookmarkStart w:name="Expenditure on consultancy" w:id="169"/>
      <w:bookmarkEnd w:id="169"/>
      <w:r>
        <w:rPr>
          <w:b w:val="0"/>
        </w:rPr>
      </w:r>
      <w:bookmarkStart w:name="North Lincolnshire CCG spend on consulta" w:id="170"/>
      <w:bookmarkEnd w:id="170"/>
      <w:r>
        <w:rPr>
          <w:b w:val="0"/>
        </w:rPr>
      </w:r>
      <w:r>
        <w:rPr/>
        <w:t>Expenditure on consultancy</w:t>
      </w:r>
    </w:p>
    <w:p>
      <w:pPr>
        <w:pStyle w:val="Heading5"/>
        <w:spacing w:before="246"/>
        <w:ind w:left="100"/>
      </w:pPr>
      <w:r>
        <w:rPr/>
        <w:t>North Lincolnshire CCG spend on consultancy in 2021-22 is £2k (nil 2020-21)</w:t>
      </w:r>
    </w:p>
    <w:p>
      <w:pPr>
        <w:pStyle w:val="BodyText"/>
        <w:spacing w:before="4"/>
        <w:rPr>
          <w:sz w:val="29"/>
        </w:rPr>
      </w:pPr>
    </w:p>
    <w:p>
      <w:pPr>
        <w:spacing w:before="0"/>
        <w:ind w:left="100" w:right="0" w:firstLine="0"/>
        <w:jc w:val="left"/>
        <w:rPr>
          <w:b/>
          <w:sz w:val="28"/>
        </w:rPr>
      </w:pPr>
      <w:r>
        <w:rPr>
          <w:b/>
          <w:sz w:val="28"/>
        </w:rPr>
        <w:t>Off-payroll engagements</w:t>
      </w:r>
    </w:p>
    <w:p>
      <w:pPr>
        <w:spacing w:before="162"/>
        <w:ind w:left="100" w:right="0" w:firstLine="0"/>
        <w:jc w:val="left"/>
        <w:rPr>
          <w:b/>
          <w:sz w:val="24"/>
        </w:rPr>
      </w:pPr>
      <w:r>
        <w:rPr>
          <w:b/>
          <w:sz w:val="24"/>
        </w:rPr>
        <w:t>Table 1: Off-payroll engagements longer than 6 months</w:t>
      </w:r>
    </w:p>
    <w:p>
      <w:pPr>
        <w:pStyle w:val="BodyText"/>
        <w:spacing w:before="9"/>
        <w:rPr>
          <w:b/>
          <w:sz w:val="24"/>
        </w:rPr>
      </w:pPr>
    </w:p>
    <w:p>
      <w:pPr>
        <w:spacing w:line="360" w:lineRule="auto" w:before="0"/>
        <w:ind w:left="100" w:right="314" w:firstLine="0"/>
        <w:jc w:val="left"/>
        <w:rPr>
          <w:sz w:val="24"/>
        </w:rPr>
      </w:pPr>
      <w:r>
        <w:rPr>
          <w:sz w:val="24"/>
        </w:rPr>
        <w:t>For all off-payroll engagements as at 31 March 2022 for more than £245* per day and that last longer than six months:</w:t>
      </w:r>
    </w:p>
    <w:p>
      <w:pPr>
        <w:pStyle w:val="BodyText"/>
        <w:spacing w:before="7" w:after="1"/>
        <w:rPr>
          <w:sz w:val="2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7"/>
        <w:gridCol w:w="1414"/>
      </w:tblGrid>
      <w:tr>
        <w:trPr>
          <w:trHeight w:val="407" w:hRule="atLeast"/>
        </w:trPr>
        <w:tc>
          <w:tcPr>
            <w:tcW w:w="7517" w:type="dxa"/>
            <w:tcBorders>
              <w:top w:val="nil"/>
              <w:left w:val="nil"/>
            </w:tcBorders>
          </w:tcPr>
          <w:p>
            <w:pPr>
              <w:pStyle w:val="TableParagraph"/>
              <w:rPr>
                <w:rFonts w:ascii="Times New Roman"/>
                <w:sz w:val="20"/>
              </w:rPr>
            </w:pPr>
          </w:p>
        </w:tc>
        <w:tc>
          <w:tcPr>
            <w:tcW w:w="1414" w:type="dxa"/>
          </w:tcPr>
          <w:p>
            <w:pPr>
              <w:pStyle w:val="TableParagraph"/>
              <w:spacing w:before="14"/>
              <w:ind w:left="277" w:right="255"/>
              <w:jc w:val="center"/>
              <w:rPr>
                <w:b/>
                <w:sz w:val="22"/>
              </w:rPr>
            </w:pPr>
            <w:r>
              <w:rPr>
                <w:b/>
                <w:sz w:val="22"/>
              </w:rPr>
              <w:t>Number</w:t>
            </w:r>
          </w:p>
        </w:tc>
      </w:tr>
      <w:tr>
        <w:trPr>
          <w:trHeight w:val="410" w:hRule="atLeast"/>
        </w:trPr>
        <w:tc>
          <w:tcPr>
            <w:tcW w:w="7517" w:type="dxa"/>
          </w:tcPr>
          <w:p>
            <w:pPr>
              <w:pStyle w:val="TableParagraph"/>
              <w:spacing w:before="16"/>
              <w:ind w:left="112"/>
              <w:rPr>
                <w:sz w:val="22"/>
              </w:rPr>
            </w:pPr>
            <w:r>
              <w:rPr>
                <w:sz w:val="22"/>
              </w:rPr>
              <w:t>Number of existing engagements as of 31 March 2022</w:t>
            </w:r>
          </w:p>
        </w:tc>
        <w:tc>
          <w:tcPr>
            <w:tcW w:w="1414" w:type="dxa"/>
          </w:tcPr>
          <w:p>
            <w:pPr>
              <w:pStyle w:val="TableParagraph"/>
              <w:spacing w:before="16"/>
              <w:ind w:left="18"/>
              <w:jc w:val="center"/>
              <w:rPr>
                <w:sz w:val="22"/>
              </w:rPr>
            </w:pPr>
            <w:r>
              <w:rPr>
                <w:w w:val="100"/>
                <w:sz w:val="22"/>
              </w:rPr>
              <w:t>1</w:t>
            </w:r>
          </w:p>
        </w:tc>
      </w:tr>
      <w:tr>
        <w:trPr>
          <w:trHeight w:val="407" w:hRule="atLeast"/>
        </w:trPr>
        <w:tc>
          <w:tcPr>
            <w:tcW w:w="8931" w:type="dxa"/>
            <w:gridSpan w:val="2"/>
            <w:shd w:val="clear" w:color="auto" w:fill="D9D9D9"/>
          </w:tcPr>
          <w:p>
            <w:pPr>
              <w:pStyle w:val="TableParagraph"/>
              <w:spacing w:before="14"/>
              <w:ind w:left="112"/>
              <w:rPr>
                <w:i/>
                <w:sz w:val="22"/>
              </w:rPr>
            </w:pPr>
            <w:r>
              <w:rPr>
                <w:i/>
                <w:sz w:val="22"/>
              </w:rPr>
              <w:t>Of which, the number that have existed:</w:t>
            </w:r>
          </w:p>
        </w:tc>
      </w:tr>
      <w:tr>
        <w:trPr>
          <w:trHeight w:val="407" w:hRule="atLeast"/>
        </w:trPr>
        <w:tc>
          <w:tcPr>
            <w:tcW w:w="7517" w:type="dxa"/>
          </w:tcPr>
          <w:p>
            <w:pPr>
              <w:pStyle w:val="TableParagraph"/>
              <w:spacing w:before="16"/>
              <w:ind w:left="333"/>
              <w:rPr>
                <w:sz w:val="22"/>
              </w:rPr>
            </w:pPr>
            <w:r>
              <w:rPr>
                <w:sz w:val="22"/>
              </w:rPr>
              <w:t>for less than one year at the time of reporting</w:t>
            </w:r>
          </w:p>
        </w:tc>
        <w:tc>
          <w:tcPr>
            <w:tcW w:w="1414" w:type="dxa"/>
          </w:tcPr>
          <w:p>
            <w:pPr>
              <w:pStyle w:val="TableParagraph"/>
              <w:rPr>
                <w:rFonts w:ascii="Times New Roman"/>
                <w:sz w:val="20"/>
              </w:rPr>
            </w:pPr>
          </w:p>
        </w:tc>
      </w:tr>
      <w:tr>
        <w:trPr>
          <w:trHeight w:val="409" w:hRule="atLeast"/>
        </w:trPr>
        <w:tc>
          <w:tcPr>
            <w:tcW w:w="7517" w:type="dxa"/>
          </w:tcPr>
          <w:p>
            <w:pPr>
              <w:pStyle w:val="TableParagraph"/>
              <w:spacing w:before="14"/>
              <w:ind w:left="355"/>
              <w:rPr>
                <w:sz w:val="22"/>
              </w:rPr>
            </w:pPr>
            <w:r>
              <w:rPr>
                <w:sz w:val="22"/>
              </w:rPr>
              <w:t>for between one and two years at the time of reporting</w:t>
            </w:r>
          </w:p>
        </w:tc>
        <w:tc>
          <w:tcPr>
            <w:tcW w:w="1414" w:type="dxa"/>
          </w:tcPr>
          <w:p>
            <w:pPr>
              <w:pStyle w:val="TableParagraph"/>
              <w:spacing w:before="14"/>
              <w:ind w:left="18"/>
              <w:jc w:val="center"/>
              <w:rPr>
                <w:sz w:val="22"/>
              </w:rPr>
            </w:pPr>
            <w:r>
              <w:rPr>
                <w:w w:val="100"/>
                <w:sz w:val="22"/>
              </w:rPr>
              <w:t>1</w:t>
            </w:r>
          </w:p>
        </w:tc>
      </w:tr>
      <w:tr>
        <w:trPr>
          <w:trHeight w:val="407" w:hRule="atLeast"/>
        </w:trPr>
        <w:tc>
          <w:tcPr>
            <w:tcW w:w="7517" w:type="dxa"/>
          </w:tcPr>
          <w:p>
            <w:pPr>
              <w:pStyle w:val="TableParagraph"/>
              <w:spacing w:before="14"/>
              <w:ind w:left="333"/>
              <w:rPr>
                <w:sz w:val="22"/>
              </w:rPr>
            </w:pPr>
            <w:r>
              <w:rPr>
                <w:sz w:val="22"/>
              </w:rPr>
              <w:t>for between 2 and 3 years at the time of reporting</w:t>
            </w:r>
          </w:p>
        </w:tc>
        <w:tc>
          <w:tcPr>
            <w:tcW w:w="1414" w:type="dxa"/>
          </w:tcPr>
          <w:p>
            <w:pPr>
              <w:pStyle w:val="TableParagraph"/>
              <w:rPr>
                <w:rFonts w:ascii="Times New Roman"/>
                <w:sz w:val="20"/>
              </w:rPr>
            </w:pPr>
          </w:p>
        </w:tc>
      </w:tr>
      <w:tr>
        <w:trPr>
          <w:trHeight w:val="410" w:hRule="atLeast"/>
        </w:trPr>
        <w:tc>
          <w:tcPr>
            <w:tcW w:w="7517" w:type="dxa"/>
          </w:tcPr>
          <w:p>
            <w:pPr>
              <w:pStyle w:val="TableParagraph"/>
              <w:spacing w:before="16"/>
              <w:ind w:left="333"/>
              <w:rPr>
                <w:sz w:val="22"/>
              </w:rPr>
            </w:pPr>
            <w:r>
              <w:rPr>
                <w:sz w:val="22"/>
              </w:rPr>
              <w:t>for between 3 and 4 years at the time of reporting</w:t>
            </w:r>
          </w:p>
        </w:tc>
        <w:tc>
          <w:tcPr>
            <w:tcW w:w="1414" w:type="dxa"/>
          </w:tcPr>
          <w:p>
            <w:pPr>
              <w:pStyle w:val="TableParagraph"/>
              <w:rPr>
                <w:rFonts w:ascii="Times New Roman"/>
                <w:sz w:val="20"/>
              </w:rPr>
            </w:pPr>
          </w:p>
        </w:tc>
      </w:tr>
      <w:tr>
        <w:trPr>
          <w:trHeight w:val="410" w:hRule="atLeast"/>
        </w:trPr>
        <w:tc>
          <w:tcPr>
            <w:tcW w:w="7517" w:type="dxa"/>
          </w:tcPr>
          <w:p>
            <w:pPr>
              <w:pStyle w:val="TableParagraph"/>
              <w:spacing w:before="14"/>
              <w:ind w:left="333"/>
              <w:rPr>
                <w:sz w:val="22"/>
              </w:rPr>
            </w:pPr>
            <w:r>
              <w:rPr>
                <w:sz w:val="22"/>
              </w:rPr>
              <w:t>for 4 or more years at the time of reporting</w:t>
            </w:r>
          </w:p>
        </w:tc>
        <w:tc>
          <w:tcPr>
            <w:tcW w:w="1414" w:type="dxa"/>
          </w:tcPr>
          <w:p>
            <w:pPr>
              <w:pStyle w:val="TableParagraph"/>
              <w:rPr>
                <w:rFonts w:ascii="Times New Roman"/>
                <w:sz w:val="20"/>
              </w:rPr>
            </w:pPr>
          </w:p>
        </w:tc>
      </w:tr>
    </w:tbl>
    <w:p>
      <w:pPr>
        <w:pStyle w:val="BodyText"/>
        <w:ind w:left="100"/>
        <w:rPr>
          <w:rFonts w:ascii="Calibri" w:hAnsi="Calibri"/>
        </w:rPr>
      </w:pPr>
      <w:r>
        <w:rPr>
          <w:rFonts w:ascii="Calibri" w:hAnsi="Calibri"/>
        </w:rPr>
        <w:t>*The £245 threshold is set to approximate the minimum point of the pay scale for a Senior Civil Servant.</w:t>
      </w:r>
    </w:p>
    <w:p>
      <w:pPr>
        <w:pStyle w:val="BodyText"/>
        <w:spacing w:before="7"/>
        <w:rPr>
          <w:rFonts w:ascii="Calibri"/>
          <w:sz w:val="30"/>
        </w:rPr>
      </w:pPr>
    </w:p>
    <w:p>
      <w:pPr>
        <w:spacing w:before="0"/>
        <w:ind w:left="100" w:right="0" w:firstLine="0"/>
        <w:jc w:val="left"/>
        <w:rPr>
          <w:b/>
          <w:sz w:val="24"/>
        </w:rPr>
      </w:pPr>
      <w:r>
        <w:rPr>
          <w:b/>
          <w:sz w:val="24"/>
        </w:rPr>
        <w:t>Table 2: Off-payroll workers engaged at any point during the financial year</w:t>
      </w:r>
    </w:p>
    <w:p>
      <w:pPr>
        <w:pStyle w:val="BodyText"/>
        <w:spacing w:before="11"/>
        <w:rPr>
          <w:b/>
          <w:sz w:val="32"/>
        </w:rPr>
      </w:pPr>
    </w:p>
    <w:p>
      <w:pPr>
        <w:pStyle w:val="Heading5"/>
        <w:spacing w:line="456" w:lineRule="auto" w:after="14"/>
        <w:ind w:left="100" w:right="1221"/>
      </w:pPr>
      <w:bookmarkStart w:name="For all off-payroll engagements between " w:id="171"/>
      <w:bookmarkEnd w:id="171"/>
      <w:r>
        <w:rPr/>
      </w:r>
      <w:r>
        <w:rPr/>
        <w:t>For all off-payroll engagements between 1 April 2021 and 31 March 2022, for more than £245</w:t>
      </w:r>
      <w:r>
        <w:rPr>
          <w:position w:val="8"/>
          <w:sz w:val="16"/>
        </w:rPr>
        <w:t>(1) </w:t>
      </w:r>
      <w:r>
        <w:rPr/>
        <w:t>per day:</w:t>
      </w: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87"/>
        <w:gridCol w:w="1101"/>
      </w:tblGrid>
      <w:tr>
        <w:trPr>
          <w:trHeight w:val="424" w:hRule="atLeast"/>
        </w:trPr>
        <w:tc>
          <w:tcPr>
            <w:tcW w:w="7387" w:type="dxa"/>
            <w:tcBorders>
              <w:top w:val="nil"/>
              <w:left w:val="nil"/>
            </w:tcBorders>
          </w:tcPr>
          <w:p>
            <w:pPr>
              <w:pStyle w:val="TableParagraph"/>
              <w:rPr>
                <w:rFonts w:ascii="Times New Roman"/>
                <w:sz w:val="20"/>
              </w:rPr>
            </w:pPr>
          </w:p>
        </w:tc>
        <w:tc>
          <w:tcPr>
            <w:tcW w:w="1101" w:type="dxa"/>
          </w:tcPr>
          <w:p>
            <w:pPr>
              <w:pStyle w:val="TableParagraph"/>
              <w:spacing w:before="21"/>
              <w:ind w:left="116" w:right="102"/>
              <w:jc w:val="center"/>
              <w:rPr>
                <w:b/>
                <w:sz w:val="22"/>
              </w:rPr>
            </w:pPr>
            <w:r>
              <w:rPr>
                <w:b/>
                <w:sz w:val="22"/>
              </w:rPr>
              <w:t>Number</w:t>
            </w:r>
          </w:p>
        </w:tc>
      </w:tr>
      <w:tr>
        <w:trPr>
          <w:trHeight w:val="758" w:hRule="atLeast"/>
        </w:trPr>
        <w:tc>
          <w:tcPr>
            <w:tcW w:w="7387" w:type="dxa"/>
          </w:tcPr>
          <w:p>
            <w:pPr>
              <w:pStyle w:val="TableParagraph"/>
              <w:ind w:left="141"/>
              <w:rPr>
                <w:sz w:val="22"/>
              </w:rPr>
            </w:pPr>
            <w:r>
              <w:rPr>
                <w:sz w:val="22"/>
              </w:rPr>
              <w:t>No. of temporary off-payroll workers engaged between 1 April 2021 and</w:t>
            </w:r>
          </w:p>
          <w:p>
            <w:pPr>
              <w:pStyle w:val="TableParagraph"/>
              <w:spacing w:before="126"/>
              <w:ind w:left="141"/>
              <w:rPr>
                <w:sz w:val="22"/>
              </w:rPr>
            </w:pPr>
            <w:r>
              <w:rPr>
                <w:sz w:val="22"/>
              </w:rPr>
              <w:t>31 March 2022</w:t>
            </w:r>
          </w:p>
        </w:tc>
        <w:tc>
          <w:tcPr>
            <w:tcW w:w="1101" w:type="dxa"/>
          </w:tcPr>
          <w:p>
            <w:pPr>
              <w:pStyle w:val="TableParagraph"/>
              <w:spacing w:before="189"/>
              <w:ind w:left="15"/>
              <w:jc w:val="center"/>
              <w:rPr>
                <w:sz w:val="22"/>
              </w:rPr>
            </w:pPr>
            <w:r>
              <w:rPr>
                <w:w w:val="100"/>
                <w:sz w:val="22"/>
              </w:rPr>
              <w:t>5</w:t>
            </w:r>
          </w:p>
        </w:tc>
      </w:tr>
      <w:tr>
        <w:trPr>
          <w:trHeight w:val="422" w:hRule="atLeast"/>
        </w:trPr>
        <w:tc>
          <w:tcPr>
            <w:tcW w:w="8488" w:type="dxa"/>
            <w:gridSpan w:val="2"/>
            <w:shd w:val="clear" w:color="auto" w:fill="D9D9D9"/>
          </w:tcPr>
          <w:p>
            <w:pPr>
              <w:pStyle w:val="TableParagraph"/>
              <w:spacing w:before="24"/>
              <w:ind w:left="112"/>
              <w:rPr>
                <w:i/>
                <w:sz w:val="22"/>
              </w:rPr>
            </w:pPr>
            <w:r>
              <w:rPr>
                <w:i/>
                <w:sz w:val="22"/>
              </w:rPr>
              <w:t>Of which:</w:t>
            </w:r>
          </w:p>
        </w:tc>
      </w:tr>
      <w:tr>
        <w:trPr>
          <w:trHeight w:val="424" w:hRule="atLeast"/>
        </w:trPr>
        <w:tc>
          <w:tcPr>
            <w:tcW w:w="7387" w:type="dxa"/>
          </w:tcPr>
          <w:p>
            <w:pPr>
              <w:pStyle w:val="TableParagraph"/>
              <w:spacing w:before="40"/>
              <w:ind w:left="141"/>
              <w:rPr>
                <w:sz w:val="13"/>
              </w:rPr>
            </w:pPr>
            <w:r>
              <w:rPr>
                <w:sz w:val="20"/>
              </w:rPr>
              <w:t>No. not subject to off-payroll legislation</w:t>
            </w:r>
            <w:r>
              <w:rPr>
                <w:position w:val="6"/>
                <w:sz w:val="13"/>
              </w:rPr>
              <w:t>(2)</w:t>
            </w:r>
          </w:p>
        </w:tc>
        <w:tc>
          <w:tcPr>
            <w:tcW w:w="1101" w:type="dxa"/>
          </w:tcPr>
          <w:p>
            <w:pPr>
              <w:pStyle w:val="TableParagraph"/>
              <w:spacing w:before="24"/>
              <w:ind w:left="15"/>
              <w:jc w:val="center"/>
              <w:rPr>
                <w:sz w:val="22"/>
              </w:rPr>
            </w:pPr>
            <w:r>
              <w:rPr>
                <w:w w:val="100"/>
                <w:sz w:val="22"/>
              </w:rPr>
              <w:t>0</w:t>
            </w:r>
          </w:p>
        </w:tc>
      </w:tr>
      <w:tr>
        <w:trPr>
          <w:trHeight w:val="424" w:hRule="atLeast"/>
        </w:trPr>
        <w:tc>
          <w:tcPr>
            <w:tcW w:w="7387" w:type="dxa"/>
          </w:tcPr>
          <w:p>
            <w:pPr>
              <w:pStyle w:val="TableParagraph"/>
              <w:spacing w:before="38"/>
              <w:ind w:left="141"/>
              <w:rPr>
                <w:sz w:val="13"/>
              </w:rPr>
            </w:pPr>
            <w:r>
              <w:rPr>
                <w:sz w:val="20"/>
              </w:rPr>
              <w:t>No. subject to off-payroll legislation and determined as in-scope of IR35</w:t>
            </w:r>
            <w:r>
              <w:rPr>
                <w:position w:val="6"/>
                <w:sz w:val="13"/>
              </w:rPr>
              <w:t>(2)</w:t>
            </w:r>
          </w:p>
        </w:tc>
        <w:tc>
          <w:tcPr>
            <w:tcW w:w="1101" w:type="dxa"/>
          </w:tcPr>
          <w:p>
            <w:pPr>
              <w:pStyle w:val="TableParagraph"/>
              <w:spacing w:before="21"/>
              <w:ind w:left="15"/>
              <w:jc w:val="center"/>
              <w:rPr>
                <w:sz w:val="22"/>
              </w:rPr>
            </w:pPr>
            <w:r>
              <w:rPr>
                <w:w w:val="100"/>
                <w:sz w:val="22"/>
              </w:rPr>
              <w:t>0</w:t>
            </w:r>
          </w:p>
        </w:tc>
      </w:tr>
      <w:tr>
        <w:trPr>
          <w:trHeight w:val="421" w:hRule="atLeast"/>
        </w:trPr>
        <w:tc>
          <w:tcPr>
            <w:tcW w:w="7387" w:type="dxa"/>
          </w:tcPr>
          <w:p>
            <w:pPr>
              <w:pStyle w:val="TableParagraph"/>
              <w:spacing w:before="38"/>
              <w:ind w:left="141"/>
              <w:rPr>
                <w:sz w:val="13"/>
              </w:rPr>
            </w:pPr>
            <w:r>
              <w:rPr>
                <w:sz w:val="20"/>
              </w:rPr>
              <w:t>No. subject to off-payroll legislation and determined as out of scope of IR35</w:t>
            </w:r>
            <w:r>
              <w:rPr>
                <w:position w:val="6"/>
                <w:sz w:val="13"/>
              </w:rPr>
              <w:t>(2)</w:t>
            </w:r>
          </w:p>
        </w:tc>
        <w:tc>
          <w:tcPr>
            <w:tcW w:w="1101" w:type="dxa"/>
          </w:tcPr>
          <w:p>
            <w:pPr>
              <w:pStyle w:val="TableParagraph"/>
              <w:spacing w:before="21"/>
              <w:ind w:left="15"/>
              <w:jc w:val="center"/>
              <w:rPr>
                <w:sz w:val="22"/>
              </w:rPr>
            </w:pPr>
            <w:r>
              <w:rPr>
                <w:w w:val="100"/>
                <w:sz w:val="22"/>
              </w:rPr>
              <w:t>5</w:t>
            </w:r>
          </w:p>
        </w:tc>
      </w:tr>
      <w:tr>
        <w:trPr>
          <w:trHeight w:val="688" w:hRule="atLeast"/>
        </w:trPr>
        <w:tc>
          <w:tcPr>
            <w:tcW w:w="7387" w:type="dxa"/>
          </w:tcPr>
          <w:p>
            <w:pPr>
              <w:pStyle w:val="TableParagraph"/>
              <w:spacing w:line="229" w:lineRule="exact"/>
              <w:ind w:left="141"/>
              <w:rPr>
                <w:sz w:val="20"/>
              </w:rPr>
            </w:pPr>
            <w:r>
              <w:rPr>
                <w:sz w:val="20"/>
              </w:rPr>
              <w:t>the number of engagements reassessed for compliance or assurance purposes</w:t>
            </w:r>
          </w:p>
          <w:p>
            <w:pPr>
              <w:pStyle w:val="TableParagraph"/>
              <w:spacing w:before="113"/>
              <w:ind w:left="141"/>
              <w:rPr>
                <w:sz w:val="20"/>
              </w:rPr>
            </w:pPr>
            <w:r>
              <w:rPr>
                <w:sz w:val="20"/>
              </w:rPr>
              <w:t>during the year</w:t>
            </w:r>
          </w:p>
        </w:tc>
        <w:tc>
          <w:tcPr>
            <w:tcW w:w="1101" w:type="dxa"/>
          </w:tcPr>
          <w:p>
            <w:pPr>
              <w:pStyle w:val="TableParagraph"/>
              <w:spacing w:before="156"/>
              <w:ind w:left="15"/>
              <w:jc w:val="center"/>
              <w:rPr>
                <w:sz w:val="22"/>
              </w:rPr>
            </w:pPr>
            <w:r>
              <w:rPr>
                <w:w w:val="100"/>
                <w:sz w:val="22"/>
              </w:rPr>
              <w:t>0</w:t>
            </w:r>
          </w:p>
        </w:tc>
      </w:tr>
      <w:tr>
        <w:trPr>
          <w:trHeight w:val="424" w:hRule="atLeast"/>
        </w:trPr>
        <w:tc>
          <w:tcPr>
            <w:tcW w:w="7387" w:type="dxa"/>
          </w:tcPr>
          <w:p>
            <w:pPr>
              <w:pStyle w:val="TableParagraph"/>
              <w:spacing w:before="38"/>
              <w:ind w:left="141"/>
              <w:rPr>
                <w:sz w:val="20"/>
              </w:rPr>
            </w:pPr>
            <w:r>
              <w:rPr>
                <w:sz w:val="20"/>
              </w:rPr>
              <w:t>Of which: no. of engagements that saw a change to IR35 status following review</w:t>
            </w:r>
          </w:p>
        </w:tc>
        <w:tc>
          <w:tcPr>
            <w:tcW w:w="1101" w:type="dxa"/>
          </w:tcPr>
          <w:p>
            <w:pPr>
              <w:pStyle w:val="TableParagraph"/>
              <w:spacing w:before="21"/>
              <w:ind w:left="15"/>
              <w:jc w:val="center"/>
              <w:rPr>
                <w:sz w:val="22"/>
              </w:rPr>
            </w:pPr>
            <w:r>
              <w:rPr>
                <w:w w:val="100"/>
                <w:sz w:val="22"/>
              </w:rPr>
              <w:t>0</w:t>
            </w:r>
          </w:p>
        </w:tc>
      </w:tr>
    </w:tbl>
    <w:p>
      <w:pPr>
        <w:spacing w:before="235"/>
        <w:ind w:left="100" w:right="0" w:firstLine="0"/>
        <w:jc w:val="left"/>
        <w:rPr>
          <w:sz w:val="18"/>
        </w:rPr>
      </w:pPr>
      <w:r>
        <w:rPr>
          <w:position w:val="6"/>
          <w:sz w:val="12"/>
        </w:rPr>
        <w:t>(1) </w:t>
      </w:r>
      <w:r>
        <w:rPr>
          <w:sz w:val="18"/>
        </w:rPr>
        <w:t>The £245 threshold is set to approximate the minimum point of the pay scale for a Senior Civil Servant.</w:t>
      </w:r>
    </w:p>
    <w:p>
      <w:pPr>
        <w:spacing w:after="0"/>
        <w:jc w:val="left"/>
        <w:rPr>
          <w:sz w:val="18"/>
        </w:rPr>
        <w:sectPr>
          <w:footerReference w:type="default" r:id="rId44"/>
          <w:pgSz w:w="11920" w:h="16850"/>
          <w:pgMar w:footer="443" w:header="0" w:top="1320" w:bottom="640" w:left="1340" w:right="1060"/>
          <w:pgNumType w:start="100"/>
        </w:sectPr>
      </w:pPr>
    </w:p>
    <w:p>
      <w:pPr>
        <w:spacing w:line="360" w:lineRule="auto" w:before="74"/>
        <w:ind w:left="100" w:right="526" w:hanging="1"/>
        <w:jc w:val="left"/>
        <w:rPr>
          <w:sz w:val="18"/>
        </w:rPr>
      </w:pPr>
      <w:r>
        <w:rPr>
          <w:position w:val="6"/>
          <w:sz w:val="12"/>
        </w:rPr>
        <w:t>(2) </w:t>
      </w:r>
      <w:r>
        <w:rPr>
          <w:sz w:val="18"/>
        </w:rPr>
        <w:t>A worker that provides their services through their own limited company or another type of intermediary to the client will be subject to off-payroll legislation and the Department must undertake an assessment to determine whether that worker is in-scope of Intermediaries legislation (IR35) or out-of-scope for tax purposes.</w:t>
      </w:r>
    </w:p>
    <w:p>
      <w:pPr>
        <w:pStyle w:val="BodyText"/>
        <w:spacing w:before="10"/>
        <w:rPr>
          <w:sz w:val="20"/>
        </w:rPr>
      </w:pPr>
    </w:p>
    <w:p>
      <w:pPr>
        <w:pStyle w:val="Heading4"/>
        <w:spacing w:before="1"/>
        <w:ind w:left="100"/>
      </w:pPr>
      <w:bookmarkStart w:name="Table 3: Off-payroll engagements / senio" w:id="172"/>
      <w:bookmarkEnd w:id="172"/>
      <w:r>
        <w:rPr>
          <w:b w:val="0"/>
        </w:rPr>
      </w:r>
      <w:r>
        <w:rPr/>
        <w:t>Table 3: Off-payroll engagements / senior official engagements</w:t>
      </w:r>
    </w:p>
    <w:p>
      <w:pPr>
        <w:pStyle w:val="BodyText"/>
        <w:spacing w:before="11"/>
        <w:rPr>
          <w:b/>
          <w:sz w:val="32"/>
        </w:rPr>
      </w:pPr>
    </w:p>
    <w:p>
      <w:pPr>
        <w:pStyle w:val="Heading5"/>
        <w:spacing w:line="360" w:lineRule="auto"/>
        <w:ind w:left="100" w:right="942"/>
      </w:pPr>
      <w:bookmarkStart w:name="For any off-payroll engagements of Board" w:id="173"/>
      <w:bookmarkEnd w:id="173"/>
      <w:r>
        <w:rPr/>
      </w:r>
      <w:r>
        <w:rPr/>
        <w:t>For any off-payroll engagements of Board members and / or senior officials with significant financial responsibility, between 01 April 2021 and 31 March 2022:</w:t>
      </w:r>
    </w:p>
    <w:p>
      <w:pPr>
        <w:pStyle w:val="BodyText"/>
        <w:spacing w:before="7"/>
        <w:rPr>
          <w:sz w:val="20"/>
        </w:rPr>
      </w:pPr>
    </w:p>
    <w:tbl>
      <w:tblPr>
        <w:tblW w:w="0" w:type="auto"/>
        <w:jc w:val="left"/>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35"/>
        <w:gridCol w:w="1545"/>
      </w:tblGrid>
      <w:tr>
        <w:trPr>
          <w:trHeight w:val="1139" w:hRule="atLeast"/>
        </w:trPr>
        <w:tc>
          <w:tcPr>
            <w:tcW w:w="6835" w:type="dxa"/>
          </w:tcPr>
          <w:p>
            <w:pPr>
              <w:pStyle w:val="TableParagraph"/>
              <w:spacing w:before="2"/>
              <w:ind w:left="112"/>
              <w:rPr>
                <w:sz w:val="22"/>
              </w:rPr>
            </w:pPr>
            <w:r>
              <w:rPr>
                <w:sz w:val="22"/>
              </w:rPr>
              <w:t>Number of off-payroll engagements of board members, and/or</w:t>
            </w:r>
          </w:p>
          <w:p>
            <w:pPr>
              <w:pStyle w:val="TableParagraph"/>
              <w:spacing w:line="380" w:lineRule="atLeast" w:before="2"/>
              <w:ind w:left="112" w:right="530"/>
              <w:rPr>
                <w:sz w:val="14"/>
              </w:rPr>
            </w:pPr>
            <w:r>
              <w:rPr>
                <w:sz w:val="22"/>
              </w:rPr>
              <w:t>senior officers with significant financial responsibility, during the financial year </w:t>
            </w:r>
            <w:r>
              <w:rPr>
                <w:position w:val="8"/>
                <w:sz w:val="14"/>
              </w:rPr>
              <w:t>(1)</w:t>
            </w:r>
          </w:p>
        </w:tc>
        <w:tc>
          <w:tcPr>
            <w:tcW w:w="1545" w:type="dxa"/>
          </w:tcPr>
          <w:p>
            <w:pPr>
              <w:pStyle w:val="TableParagraph"/>
              <w:spacing w:before="1"/>
              <w:rPr>
                <w:sz w:val="33"/>
              </w:rPr>
            </w:pPr>
          </w:p>
          <w:p>
            <w:pPr>
              <w:pStyle w:val="TableParagraph"/>
              <w:spacing w:before="1"/>
              <w:ind w:left="717"/>
              <w:rPr>
                <w:sz w:val="22"/>
              </w:rPr>
            </w:pPr>
            <w:r>
              <w:rPr>
                <w:w w:val="100"/>
                <w:sz w:val="22"/>
              </w:rPr>
              <w:t>0</w:t>
            </w:r>
          </w:p>
        </w:tc>
      </w:tr>
      <w:tr>
        <w:trPr>
          <w:trHeight w:val="1518" w:hRule="atLeast"/>
        </w:trPr>
        <w:tc>
          <w:tcPr>
            <w:tcW w:w="6835" w:type="dxa"/>
          </w:tcPr>
          <w:p>
            <w:pPr>
              <w:pStyle w:val="TableParagraph"/>
              <w:spacing w:line="360" w:lineRule="auto"/>
              <w:ind w:left="112" w:right="162"/>
              <w:rPr>
                <w:sz w:val="22"/>
              </w:rPr>
            </w:pPr>
            <w:r>
              <w:rPr>
                <w:sz w:val="22"/>
              </w:rPr>
              <w:t>Total no. of individuals on payroll and off-payroll that have been deemed “board members, and/or, senior officials with significant financial responsibility”, during the financial year. This figure should</w:t>
            </w:r>
          </w:p>
          <w:p>
            <w:pPr>
              <w:pStyle w:val="TableParagraph"/>
              <w:spacing w:line="247" w:lineRule="exact"/>
              <w:ind w:left="112"/>
              <w:rPr>
                <w:sz w:val="14"/>
              </w:rPr>
            </w:pPr>
            <w:r>
              <w:rPr>
                <w:sz w:val="22"/>
              </w:rPr>
              <w:t>include both on payroll and off-payroll engagements. </w:t>
            </w:r>
            <w:r>
              <w:rPr>
                <w:position w:val="8"/>
                <w:sz w:val="14"/>
              </w:rPr>
              <w:t>(2)</w:t>
            </w:r>
          </w:p>
        </w:tc>
        <w:tc>
          <w:tcPr>
            <w:tcW w:w="1545" w:type="dxa"/>
          </w:tcPr>
          <w:p>
            <w:pPr>
              <w:pStyle w:val="TableParagraph"/>
              <w:rPr>
                <w:sz w:val="24"/>
              </w:rPr>
            </w:pPr>
          </w:p>
          <w:p>
            <w:pPr>
              <w:pStyle w:val="TableParagraph"/>
              <w:spacing w:before="5"/>
              <w:rPr>
                <w:sz w:val="25"/>
              </w:rPr>
            </w:pPr>
          </w:p>
          <w:p>
            <w:pPr>
              <w:pStyle w:val="TableParagraph"/>
              <w:ind w:left="717"/>
              <w:rPr>
                <w:sz w:val="22"/>
              </w:rPr>
            </w:pPr>
            <w:r>
              <w:rPr>
                <w:w w:val="100"/>
                <w:sz w:val="22"/>
              </w:rPr>
              <w:t>4</w:t>
            </w:r>
          </w:p>
        </w:tc>
      </w:tr>
    </w:tbl>
    <w:p>
      <w:pPr>
        <w:spacing w:after="0"/>
        <w:rPr>
          <w:sz w:val="22"/>
        </w:rPr>
        <w:sectPr>
          <w:pgSz w:w="11920" w:h="16850"/>
          <w:pgMar w:header="0" w:footer="443" w:top="1320" w:bottom="640" w:left="1340" w:right="1060"/>
        </w:sectPr>
      </w:pPr>
    </w:p>
    <w:p>
      <w:pPr>
        <w:pStyle w:val="BodyText"/>
        <w:spacing w:before="10"/>
        <w:rPr>
          <w:sz w:val="19"/>
        </w:rPr>
      </w:pPr>
    </w:p>
    <w:p>
      <w:pPr>
        <w:spacing w:before="92"/>
        <w:ind w:left="120" w:right="0" w:firstLine="0"/>
        <w:jc w:val="left"/>
        <w:rPr>
          <w:b/>
          <w:sz w:val="28"/>
        </w:rPr>
      </w:pPr>
      <w:r>
        <w:rPr>
          <w:b/>
          <w:sz w:val="28"/>
        </w:rPr>
        <w:t>Exit packages, including special (non-contractual) payments</w:t>
      </w:r>
    </w:p>
    <w:p>
      <w:pPr>
        <w:spacing w:before="162"/>
        <w:ind w:left="120" w:right="0" w:firstLine="0"/>
        <w:jc w:val="left"/>
        <w:rPr>
          <w:b/>
          <w:sz w:val="24"/>
        </w:rPr>
      </w:pPr>
      <w:r>
        <w:rPr>
          <w:b/>
          <w:sz w:val="24"/>
        </w:rPr>
        <w:t>Table 1: Exit Packages</w:t>
      </w:r>
    </w:p>
    <w:p>
      <w:pPr>
        <w:pStyle w:val="BodyText"/>
        <w:spacing w:before="4"/>
        <w:rPr>
          <w:b/>
          <w:sz w:val="29"/>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1560"/>
        <w:gridCol w:w="1558"/>
        <w:gridCol w:w="1277"/>
        <w:gridCol w:w="1558"/>
        <w:gridCol w:w="1419"/>
        <w:gridCol w:w="1563"/>
        <w:gridCol w:w="1558"/>
        <w:gridCol w:w="1846"/>
      </w:tblGrid>
      <w:tr>
        <w:trPr>
          <w:trHeight w:val="1381" w:hRule="atLeast"/>
        </w:trPr>
        <w:tc>
          <w:tcPr>
            <w:tcW w:w="1526" w:type="dxa"/>
          </w:tcPr>
          <w:p>
            <w:pPr>
              <w:pStyle w:val="TableParagraph"/>
              <w:ind w:left="165" w:right="143"/>
              <w:jc w:val="center"/>
              <w:rPr>
                <w:b/>
                <w:sz w:val="20"/>
              </w:rPr>
            </w:pPr>
            <w:r>
              <w:rPr>
                <w:b/>
                <w:sz w:val="20"/>
              </w:rPr>
              <w:t>Exit</w:t>
            </w:r>
            <w:r>
              <w:rPr>
                <w:b/>
                <w:spacing w:val="-32"/>
                <w:sz w:val="20"/>
              </w:rPr>
              <w:t> </w:t>
            </w:r>
            <w:r>
              <w:rPr>
                <w:b/>
                <w:sz w:val="20"/>
              </w:rPr>
              <w:t>package cost band (inc. any special payment</w:t>
            </w:r>
          </w:p>
          <w:p>
            <w:pPr>
              <w:pStyle w:val="TableParagraph"/>
              <w:spacing w:line="213" w:lineRule="exact"/>
              <w:ind w:left="161" w:right="143"/>
              <w:jc w:val="center"/>
              <w:rPr>
                <w:b/>
                <w:sz w:val="20"/>
              </w:rPr>
            </w:pPr>
            <w:r>
              <w:rPr>
                <w:b/>
                <w:sz w:val="20"/>
              </w:rPr>
              <w:t>element</w:t>
            </w:r>
          </w:p>
        </w:tc>
        <w:tc>
          <w:tcPr>
            <w:tcW w:w="1560" w:type="dxa"/>
          </w:tcPr>
          <w:p>
            <w:pPr>
              <w:pStyle w:val="TableParagraph"/>
              <w:ind w:left="165" w:right="148" w:firstLine="3"/>
              <w:jc w:val="center"/>
              <w:rPr>
                <w:b/>
                <w:sz w:val="20"/>
              </w:rPr>
            </w:pPr>
            <w:r>
              <w:rPr>
                <w:b/>
                <w:sz w:val="20"/>
              </w:rPr>
              <w:t>Number of compulsory </w:t>
            </w:r>
            <w:r>
              <w:rPr>
                <w:b/>
                <w:w w:val="90"/>
                <w:sz w:val="20"/>
              </w:rPr>
              <w:t>redundancies</w:t>
            </w:r>
          </w:p>
        </w:tc>
        <w:tc>
          <w:tcPr>
            <w:tcW w:w="1558" w:type="dxa"/>
          </w:tcPr>
          <w:p>
            <w:pPr>
              <w:pStyle w:val="TableParagraph"/>
              <w:ind w:left="163" w:right="149" w:firstLine="1"/>
              <w:jc w:val="center"/>
              <w:rPr>
                <w:b/>
                <w:sz w:val="20"/>
              </w:rPr>
            </w:pPr>
            <w:r>
              <w:rPr>
                <w:b/>
                <w:sz w:val="20"/>
              </w:rPr>
              <w:t>Cost of compulsory </w:t>
            </w:r>
            <w:r>
              <w:rPr>
                <w:b/>
                <w:w w:val="90"/>
                <w:sz w:val="20"/>
              </w:rPr>
              <w:t>redundancies</w:t>
            </w:r>
          </w:p>
        </w:tc>
        <w:tc>
          <w:tcPr>
            <w:tcW w:w="1277" w:type="dxa"/>
          </w:tcPr>
          <w:p>
            <w:pPr>
              <w:pStyle w:val="TableParagraph"/>
              <w:ind w:left="143" w:right="123"/>
              <w:jc w:val="center"/>
              <w:rPr>
                <w:b/>
                <w:sz w:val="20"/>
              </w:rPr>
            </w:pPr>
            <w:r>
              <w:rPr>
                <w:b/>
                <w:sz w:val="20"/>
              </w:rPr>
              <w:t>Number of other </w:t>
            </w:r>
            <w:r>
              <w:rPr>
                <w:b/>
                <w:w w:val="95"/>
                <w:sz w:val="20"/>
              </w:rPr>
              <w:t>departures </w:t>
            </w:r>
            <w:r>
              <w:rPr>
                <w:b/>
                <w:sz w:val="20"/>
              </w:rPr>
              <w:t>agreed</w:t>
            </w:r>
          </w:p>
        </w:tc>
        <w:tc>
          <w:tcPr>
            <w:tcW w:w="1558" w:type="dxa"/>
          </w:tcPr>
          <w:p>
            <w:pPr>
              <w:pStyle w:val="TableParagraph"/>
              <w:ind w:left="162" w:right="139"/>
              <w:jc w:val="center"/>
              <w:rPr>
                <w:b/>
                <w:sz w:val="20"/>
              </w:rPr>
            </w:pPr>
            <w:r>
              <w:rPr>
                <w:b/>
                <w:sz w:val="20"/>
              </w:rPr>
              <w:t>Cost of other departures agreed</w:t>
            </w:r>
          </w:p>
        </w:tc>
        <w:tc>
          <w:tcPr>
            <w:tcW w:w="1419" w:type="dxa"/>
          </w:tcPr>
          <w:p>
            <w:pPr>
              <w:pStyle w:val="TableParagraph"/>
              <w:ind w:left="227" w:right="203"/>
              <w:jc w:val="center"/>
              <w:rPr>
                <w:b/>
                <w:sz w:val="20"/>
              </w:rPr>
            </w:pPr>
            <w:r>
              <w:rPr>
                <w:b/>
                <w:sz w:val="20"/>
              </w:rPr>
              <w:t>Total number of exit packages</w:t>
            </w:r>
          </w:p>
        </w:tc>
        <w:tc>
          <w:tcPr>
            <w:tcW w:w="1563" w:type="dxa"/>
          </w:tcPr>
          <w:p>
            <w:pPr>
              <w:pStyle w:val="TableParagraph"/>
              <w:ind w:left="125" w:right="96" w:firstLine="62"/>
              <w:rPr>
                <w:b/>
                <w:sz w:val="20"/>
              </w:rPr>
            </w:pPr>
            <w:r>
              <w:rPr>
                <w:b/>
                <w:sz w:val="20"/>
              </w:rPr>
              <w:t>Total cost of exit packages</w:t>
            </w:r>
          </w:p>
        </w:tc>
        <w:tc>
          <w:tcPr>
            <w:tcW w:w="1558" w:type="dxa"/>
          </w:tcPr>
          <w:p>
            <w:pPr>
              <w:pStyle w:val="TableParagraph"/>
              <w:ind w:left="125" w:right="110" w:hanging="1"/>
              <w:jc w:val="center"/>
              <w:rPr>
                <w:b/>
                <w:sz w:val="20"/>
              </w:rPr>
            </w:pPr>
            <w:r>
              <w:rPr>
                <w:b/>
                <w:sz w:val="20"/>
              </w:rPr>
              <w:t>Number of departures where special payments have been</w:t>
            </w:r>
          </w:p>
          <w:p>
            <w:pPr>
              <w:pStyle w:val="TableParagraph"/>
              <w:spacing w:line="213" w:lineRule="exact"/>
              <w:ind w:left="144" w:right="139"/>
              <w:jc w:val="center"/>
              <w:rPr>
                <w:b/>
                <w:sz w:val="20"/>
              </w:rPr>
            </w:pPr>
            <w:r>
              <w:rPr>
                <w:b/>
                <w:sz w:val="20"/>
              </w:rPr>
              <w:t>made</w:t>
            </w:r>
          </w:p>
        </w:tc>
        <w:tc>
          <w:tcPr>
            <w:tcW w:w="1846" w:type="dxa"/>
          </w:tcPr>
          <w:p>
            <w:pPr>
              <w:pStyle w:val="TableParagraph"/>
              <w:ind w:left="194" w:right="186"/>
              <w:jc w:val="center"/>
              <w:rPr>
                <w:b/>
                <w:sz w:val="20"/>
              </w:rPr>
            </w:pPr>
            <w:r>
              <w:rPr>
                <w:b/>
                <w:sz w:val="20"/>
              </w:rPr>
              <w:t>Cost of special payment element included in exit packages</w:t>
            </w:r>
          </w:p>
        </w:tc>
      </w:tr>
      <w:tr>
        <w:trPr>
          <w:trHeight w:val="690" w:hRule="atLeast"/>
        </w:trPr>
        <w:tc>
          <w:tcPr>
            <w:tcW w:w="1526" w:type="dxa"/>
          </w:tcPr>
          <w:p>
            <w:pPr>
              <w:pStyle w:val="TableParagraph"/>
              <w:rPr>
                <w:rFonts w:ascii="Times New Roman"/>
                <w:sz w:val="20"/>
              </w:rPr>
            </w:pPr>
          </w:p>
        </w:tc>
        <w:tc>
          <w:tcPr>
            <w:tcW w:w="1560" w:type="dxa"/>
          </w:tcPr>
          <w:p>
            <w:pPr>
              <w:pStyle w:val="TableParagraph"/>
              <w:spacing w:line="230" w:lineRule="exact"/>
              <w:ind w:left="307" w:right="281" w:hanging="1"/>
              <w:jc w:val="center"/>
              <w:rPr>
                <w:b/>
                <w:sz w:val="20"/>
              </w:rPr>
            </w:pPr>
            <w:r>
              <w:rPr>
                <w:b/>
                <w:sz w:val="20"/>
              </w:rPr>
              <w:t>WHOLE </w:t>
            </w:r>
            <w:r>
              <w:rPr>
                <w:b/>
                <w:w w:val="90"/>
                <w:sz w:val="20"/>
              </w:rPr>
              <w:t>NUMBERS </w:t>
            </w:r>
            <w:r>
              <w:rPr>
                <w:b/>
                <w:sz w:val="20"/>
              </w:rPr>
              <w:t>ONLY</w:t>
            </w:r>
          </w:p>
        </w:tc>
        <w:tc>
          <w:tcPr>
            <w:tcW w:w="1558" w:type="dxa"/>
          </w:tcPr>
          <w:p>
            <w:pPr>
              <w:pStyle w:val="TableParagraph"/>
              <w:rPr>
                <w:b/>
                <w:sz w:val="22"/>
              </w:rPr>
            </w:pPr>
          </w:p>
          <w:p>
            <w:pPr>
              <w:pStyle w:val="TableParagraph"/>
              <w:spacing w:before="185"/>
              <w:ind w:left="146" w:right="139"/>
              <w:jc w:val="center"/>
              <w:rPr>
                <w:b/>
                <w:sz w:val="20"/>
              </w:rPr>
            </w:pPr>
            <w:r>
              <w:rPr>
                <w:b/>
                <w:sz w:val="20"/>
              </w:rPr>
              <w:t>£s</w:t>
            </w:r>
          </w:p>
        </w:tc>
        <w:tc>
          <w:tcPr>
            <w:tcW w:w="1277" w:type="dxa"/>
          </w:tcPr>
          <w:p>
            <w:pPr>
              <w:pStyle w:val="TableParagraph"/>
              <w:spacing w:line="230" w:lineRule="exact"/>
              <w:ind w:left="165" w:right="140" w:hanging="1"/>
              <w:jc w:val="center"/>
              <w:rPr>
                <w:b/>
                <w:sz w:val="20"/>
              </w:rPr>
            </w:pPr>
            <w:r>
              <w:rPr>
                <w:b/>
                <w:sz w:val="20"/>
              </w:rPr>
              <w:t>WHOLE </w:t>
            </w:r>
            <w:r>
              <w:rPr>
                <w:b/>
                <w:w w:val="90"/>
                <w:sz w:val="20"/>
              </w:rPr>
              <w:t>NUMBERS </w:t>
            </w:r>
            <w:r>
              <w:rPr>
                <w:b/>
                <w:sz w:val="20"/>
              </w:rPr>
              <w:t>ONLY</w:t>
            </w:r>
          </w:p>
        </w:tc>
        <w:tc>
          <w:tcPr>
            <w:tcW w:w="1558" w:type="dxa"/>
          </w:tcPr>
          <w:p>
            <w:pPr>
              <w:pStyle w:val="TableParagraph"/>
              <w:rPr>
                <w:b/>
                <w:sz w:val="22"/>
              </w:rPr>
            </w:pPr>
          </w:p>
          <w:p>
            <w:pPr>
              <w:pStyle w:val="TableParagraph"/>
              <w:spacing w:before="185"/>
              <w:ind w:left="150" w:right="139"/>
              <w:jc w:val="center"/>
              <w:rPr>
                <w:b/>
                <w:sz w:val="20"/>
              </w:rPr>
            </w:pPr>
            <w:r>
              <w:rPr>
                <w:b/>
                <w:sz w:val="20"/>
              </w:rPr>
              <w:t>£s</w:t>
            </w:r>
          </w:p>
        </w:tc>
        <w:tc>
          <w:tcPr>
            <w:tcW w:w="1419" w:type="dxa"/>
          </w:tcPr>
          <w:p>
            <w:pPr>
              <w:pStyle w:val="TableParagraph"/>
              <w:spacing w:line="230" w:lineRule="exact"/>
              <w:ind w:left="236" w:right="211" w:hanging="1"/>
              <w:jc w:val="center"/>
              <w:rPr>
                <w:b/>
                <w:sz w:val="20"/>
              </w:rPr>
            </w:pPr>
            <w:r>
              <w:rPr>
                <w:b/>
                <w:sz w:val="20"/>
              </w:rPr>
              <w:t>WHOLE </w:t>
            </w:r>
            <w:r>
              <w:rPr>
                <w:b/>
                <w:w w:val="90"/>
                <w:sz w:val="20"/>
              </w:rPr>
              <w:t>NUMBERS </w:t>
            </w:r>
            <w:r>
              <w:rPr>
                <w:b/>
                <w:sz w:val="20"/>
              </w:rPr>
              <w:t>ONLY</w:t>
            </w:r>
          </w:p>
        </w:tc>
        <w:tc>
          <w:tcPr>
            <w:tcW w:w="1563" w:type="dxa"/>
          </w:tcPr>
          <w:p>
            <w:pPr>
              <w:pStyle w:val="TableParagraph"/>
              <w:rPr>
                <w:b/>
                <w:sz w:val="22"/>
              </w:rPr>
            </w:pPr>
          </w:p>
          <w:p>
            <w:pPr>
              <w:pStyle w:val="TableParagraph"/>
              <w:spacing w:before="185"/>
              <w:ind w:left="647" w:right="643"/>
              <w:jc w:val="center"/>
              <w:rPr>
                <w:b/>
                <w:sz w:val="20"/>
              </w:rPr>
            </w:pPr>
            <w:r>
              <w:rPr>
                <w:b/>
                <w:sz w:val="20"/>
              </w:rPr>
              <w:t>£s</w:t>
            </w:r>
          </w:p>
        </w:tc>
        <w:tc>
          <w:tcPr>
            <w:tcW w:w="1558" w:type="dxa"/>
          </w:tcPr>
          <w:p>
            <w:pPr>
              <w:pStyle w:val="TableParagraph"/>
              <w:spacing w:line="230" w:lineRule="exact"/>
              <w:ind w:left="302" w:right="284" w:hanging="6"/>
              <w:jc w:val="center"/>
              <w:rPr>
                <w:b/>
                <w:sz w:val="20"/>
              </w:rPr>
            </w:pPr>
            <w:r>
              <w:rPr>
                <w:b/>
                <w:sz w:val="20"/>
              </w:rPr>
              <w:t>WHOLE </w:t>
            </w:r>
            <w:r>
              <w:rPr>
                <w:b/>
                <w:w w:val="90"/>
                <w:sz w:val="20"/>
              </w:rPr>
              <w:t>NUMBERS </w:t>
            </w:r>
            <w:r>
              <w:rPr>
                <w:b/>
                <w:sz w:val="20"/>
              </w:rPr>
              <w:t>ONLY</w:t>
            </w:r>
          </w:p>
        </w:tc>
        <w:tc>
          <w:tcPr>
            <w:tcW w:w="1846" w:type="dxa"/>
          </w:tcPr>
          <w:p>
            <w:pPr>
              <w:pStyle w:val="TableParagraph"/>
              <w:rPr>
                <w:b/>
                <w:sz w:val="22"/>
              </w:rPr>
            </w:pPr>
          </w:p>
          <w:p>
            <w:pPr>
              <w:pStyle w:val="TableParagraph"/>
              <w:spacing w:before="185"/>
              <w:ind w:left="188" w:right="186"/>
              <w:jc w:val="center"/>
              <w:rPr>
                <w:b/>
                <w:sz w:val="20"/>
              </w:rPr>
            </w:pPr>
            <w:r>
              <w:rPr>
                <w:b/>
                <w:sz w:val="20"/>
              </w:rPr>
              <w:t>£s</w:t>
            </w:r>
          </w:p>
        </w:tc>
      </w:tr>
      <w:tr>
        <w:trPr>
          <w:trHeight w:val="457" w:hRule="atLeast"/>
        </w:trPr>
        <w:tc>
          <w:tcPr>
            <w:tcW w:w="1526" w:type="dxa"/>
          </w:tcPr>
          <w:p>
            <w:pPr>
              <w:pStyle w:val="TableParagraph"/>
              <w:spacing w:line="216" w:lineRule="exact"/>
              <w:ind w:left="112"/>
              <w:rPr>
                <w:b/>
                <w:sz w:val="20"/>
              </w:rPr>
            </w:pPr>
            <w:r>
              <w:rPr>
                <w:b/>
                <w:sz w:val="20"/>
              </w:rPr>
              <w:t>Less than</w:t>
            </w:r>
          </w:p>
          <w:p>
            <w:pPr>
              <w:pStyle w:val="TableParagraph"/>
              <w:spacing w:line="222" w:lineRule="exact"/>
              <w:ind w:left="112"/>
              <w:rPr>
                <w:b/>
                <w:sz w:val="20"/>
              </w:rPr>
            </w:pPr>
            <w:r>
              <w:rPr>
                <w:b/>
                <w:sz w:val="20"/>
              </w:rPr>
              <w:t>£10,000</w:t>
            </w:r>
          </w:p>
        </w:tc>
        <w:tc>
          <w:tcPr>
            <w:tcW w:w="1560" w:type="dxa"/>
          </w:tcPr>
          <w:p>
            <w:pPr>
              <w:pStyle w:val="TableParagraph"/>
              <w:rPr>
                <w:rFonts w:ascii="Times New Roman"/>
                <w:sz w:val="20"/>
              </w:rPr>
            </w:pPr>
          </w:p>
        </w:tc>
        <w:tc>
          <w:tcPr>
            <w:tcW w:w="1558" w:type="dxa"/>
          </w:tcPr>
          <w:p>
            <w:pPr>
              <w:pStyle w:val="TableParagraph"/>
              <w:rPr>
                <w:rFonts w:ascii="Times New Roman"/>
                <w:sz w:val="20"/>
              </w:rPr>
            </w:pPr>
          </w:p>
        </w:tc>
        <w:tc>
          <w:tcPr>
            <w:tcW w:w="1277" w:type="dxa"/>
          </w:tcPr>
          <w:p>
            <w:pPr>
              <w:pStyle w:val="TableParagraph"/>
              <w:spacing w:line="225" w:lineRule="exact"/>
              <w:ind w:left="112"/>
              <w:rPr>
                <w:b/>
                <w:sz w:val="20"/>
              </w:rPr>
            </w:pPr>
            <w:r>
              <w:rPr>
                <w:b/>
                <w:w w:val="98"/>
                <w:sz w:val="20"/>
              </w:rPr>
              <w:t>1</w:t>
            </w:r>
          </w:p>
        </w:tc>
        <w:tc>
          <w:tcPr>
            <w:tcW w:w="1558" w:type="dxa"/>
          </w:tcPr>
          <w:p>
            <w:pPr>
              <w:pStyle w:val="TableParagraph"/>
              <w:spacing w:line="225" w:lineRule="exact"/>
              <w:ind w:left="112"/>
              <w:rPr>
                <w:b/>
                <w:sz w:val="20"/>
              </w:rPr>
            </w:pPr>
            <w:r>
              <w:rPr>
                <w:b/>
                <w:sz w:val="20"/>
              </w:rPr>
              <w:t>2,833</w:t>
            </w:r>
          </w:p>
        </w:tc>
        <w:tc>
          <w:tcPr>
            <w:tcW w:w="1419" w:type="dxa"/>
          </w:tcPr>
          <w:p>
            <w:pPr>
              <w:pStyle w:val="TableParagraph"/>
              <w:rPr>
                <w:rFonts w:ascii="Times New Roman"/>
                <w:sz w:val="20"/>
              </w:rPr>
            </w:pPr>
          </w:p>
        </w:tc>
        <w:tc>
          <w:tcPr>
            <w:tcW w:w="1563" w:type="dxa"/>
          </w:tcPr>
          <w:p>
            <w:pPr>
              <w:pStyle w:val="TableParagraph"/>
              <w:rPr>
                <w:rFonts w:ascii="Times New Roman"/>
                <w:sz w:val="20"/>
              </w:rPr>
            </w:pPr>
          </w:p>
        </w:tc>
        <w:tc>
          <w:tcPr>
            <w:tcW w:w="1558" w:type="dxa"/>
          </w:tcPr>
          <w:p>
            <w:pPr>
              <w:pStyle w:val="TableParagraph"/>
              <w:rPr>
                <w:rFonts w:ascii="Times New Roman"/>
                <w:sz w:val="20"/>
              </w:rPr>
            </w:pPr>
          </w:p>
        </w:tc>
        <w:tc>
          <w:tcPr>
            <w:tcW w:w="1846" w:type="dxa"/>
          </w:tcPr>
          <w:p>
            <w:pPr>
              <w:pStyle w:val="TableParagraph"/>
              <w:rPr>
                <w:rFonts w:ascii="Times New Roman"/>
                <w:sz w:val="20"/>
              </w:rPr>
            </w:pPr>
          </w:p>
        </w:tc>
      </w:tr>
      <w:tr>
        <w:trPr>
          <w:trHeight w:val="457" w:hRule="atLeast"/>
        </w:trPr>
        <w:tc>
          <w:tcPr>
            <w:tcW w:w="1526" w:type="dxa"/>
          </w:tcPr>
          <w:p>
            <w:pPr>
              <w:pStyle w:val="TableParagraph"/>
              <w:spacing w:line="218" w:lineRule="exact"/>
              <w:ind w:left="112"/>
              <w:rPr>
                <w:b/>
                <w:sz w:val="20"/>
              </w:rPr>
            </w:pPr>
            <w:r>
              <w:rPr>
                <w:b/>
                <w:sz w:val="20"/>
              </w:rPr>
              <w:t>£10,000 -</w:t>
            </w:r>
          </w:p>
          <w:p>
            <w:pPr>
              <w:pStyle w:val="TableParagraph"/>
              <w:spacing w:line="220" w:lineRule="exact"/>
              <w:ind w:left="112"/>
              <w:rPr>
                <w:b/>
                <w:sz w:val="20"/>
              </w:rPr>
            </w:pPr>
            <w:r>
              <w:rPr>
                <w:b/>
                <w:sz w:val="20"/>
              </w:rPr>
              <w:t>£25,000</w:t>
            </w:r>
          </w:p>
        </w:tc>
        <w:tc>
          <w:tcPr>
            <w:tcW w:w="1560" w:type="dxa"/>
          </w:tcPr>
          <w:p>
            <w:pPr>
              <w:pStyle w:val="TableParagraph"/>
              <w:rPr>
                <w:rFonts w:ascii="Times New Roman"/>
                <w:sz w:val="20"/>
              </w:rPr>
            </w:pPr>
          </w:p>
        </w:tc>
        <w:tc>
          <w:tcPr>
            <w:tcW w:w="1558" w:type="dxa"/>
          </w:tcPr>
          <w:p>
            <w:pPr>
              <w:pStyle w:val="TableParagraph"/>
              <w:rPr>
                <w:rFonts w:ascii="Times New Roman"/>
                <w:sz w:val="20"/>
              </w:rPr>
            </w:pPr>
          </w:p>
        </w:tc>
        <w:tc>
          <w:tcPr>
            <w:tcW w:w="1277" w:type="dxa"/>
          </w:tcPr>
          <w:p>
            <w:pPr>
              <w:pStyle w:val="TableParagraph"/>
              <w:rPr>
                <w:rFonts w:ascii="Times New Roman"/>
                <w:sz w:val="20"/>
              </w:rPr>
            </w:pPr>
          </w:p>
        </w:tc>
        <w:tc>
          <w:tcPr>
            <w:tcW w:w="1558" w:type="dxa"/>
          </w:tcPr>
          <w:p>
            <w:pPr>
              <w:pStyle w:val="TableParagraph"/>
              <w:rPr>
                <w:rFonts w:ascii="Times New Roman"/>
                <w:sz w:val="20"/>
              </w:rPr>
            </w:pPr>
          </w:p>
        </w:tc>
        <w:tc>
          <w:tcPr>
            <w:tcW w:w="1419" w:type="dxa"/>
          </w:tcPr>
          <w:p>
            <w:pPr>
              <w:pStyle w:val="TableParagraph"/>
              <w:rPr>
                <w:rFonts w:ascii="Times New Roman"/>
                <w:sz w:val="20"/>
              </w:rPr>
            </w:pPr>
          </w:p>
        </w:tc>
        <w:tc>
          <w:tcPr>
            <w:tcW w:w="1563" w:type="dxa"/>
          </w:tcPr>
          <w:p>
            <w:pPr>
              <w:pStyle w:val="TableParagraph"/>
              <w:rPr>
                <w:rFonts w:ascii="Times New Roman"/>
                <w:sz w:val="20"/>
              </w:rPr>
            </w:pPr>
          </w:p>
        </w:tc>
        <w:tc>
          <w:tcPr>
            <w:tcW w:w="1558" w:type="dxa"/>
          </w:tcPr>
          <w:p>
            <w:pPr>
              <w:pStyle w:val="TableParagraph"/>
              <w:rPr>
                <w:rFonts w:ascii="Times New Roman"/>
                <w:sz w:val="20"/>
              </w:rPr>
            </w:pPr>
          </w:p>
        </w:tc>
        <w:tc>
          <w:tcPr>
            <w:tcW w:w="1846" w:type="dxa"/>
          </w:tcPr>
          <w:p>
            <w:pPr>
              <w:pStyle w:val="TableParagraph"/>
              <w:rPr>
                <w:rFonts w:ascii="Times New Roman"/>
                <w:sz w:val="20"/>
              </w:rPr>
            </w:pPr>
          </w:p>
        </w:tc>
      </w:tr>
      <w:tr>
        <w:trPr>
          <w:trHeight w:val="458" w:hRule="atLeast"/>
        </w:trPr>
        <w:tc>
          <w:tcPr>
            <w:tcW w:w="1526" w:type="dxa"/>
          </w:tcPr>
          <w:p>
            <w:pPr>
              <w:pStyle w:val="TableParagraph"/>
              <w:spacing w:line="216" w:lineRule="exact"/>
              <w:ind w:left="112"/>
              <w:rPr>
                <w:b/>
                <w:sz w:val="20"/>
              </w:rPr>
            </w:pPr>
            <w:r>
              <w:rPr>
                <w:b/>
                <w:sz w:val="20"/>
              </w:rPr>
              <w:t>£25,001 -</w:t>
            </w:r>
          </w:p>
          <w:p>
            <w:pPr>
              <w:pStyle w:val="TableParagraph"/>
              <w:spacing w:line="222" w:lineRule="exact"/>
              <w:ind w:left="112"/>
              <w:rPr>
                <w:b/>
                <w:sz w:val="20"/>
              </w:rPr>
            </w:pPr>
            <w:r>
              <w:rPr>
                <w:b/>
                <w:sz w:val="20"/>
              </w:rPr>
              <w:t>£50,000</w:t>
            </w:r>
          </w:p>
        </w:tc>
        <w:tc>
          <w:tcPr>
            <w:tcW w:w="1560" w:type="dxa"/>
          </w:tcPr>
          <w:p>
            <w:pPr>
              <w:pStyle w:val="TableParagraph"/>
              <w:rPr>
                <w:rFonts w:ascii="Times New Roman"/>
                <w:sz w:val="20"/>
              </w:rPr>
            </w:pPr>
          </w:p>
        </w:tc>
        <w:tc>
          <w:tcPr>
            <w:tcW w:w="1558" w:type="dxa"/>
          </w:tcPr>
          <w:p>
            <w:pPr>
              <w:pStyle w:val="TableParagraph"/>
              <w:rPr>
                <w:rFonts w:ascii="Times New Roman"/>
                <w:sz w:val="20"/>
              </w:rPr>
            </w:pPr>
          </w:p>
        </w:tc>
        <w:tc>
          <w:tcPr>
            <w:tcW w:w="1277" w:type="dxa"/>
          </w:tcPr>
          <w:p>
            <w:pPr>
              <w:pStyle w:val="TableParagraph"/>
              <w:rPr>
                <w:rFonts w:ascii="Times New Roman"/>
                <w:sz w:val="20"/>
              </w:rPr>
            </w:pPr>
          </w:p>
        </w:tc>
        <w:tc>
          <w:tcPr>
            <w:tcW w:w="1558" w:type="dxa"/>
          </w:tcPr>
          <w:p>
            <w:pPr>
              <w:pStyle w:val="TableParagraph"/>
              <w:rPr>
                <w:rFonts w:ascii="Times New Roman"/>
                <w:sz w:val="20"/>
              </w:rPr>
            </w:pPr>
          </w:p>
        </w:tc>
        <w:tc>
          <w:tcPr>
            <w:tcW w:w="1419" w:type="dxa"/>
          </w:tcPr>
          <w:p>
            <w:pPr>
              <w:pStyle w:val="TableParagraph"/>
              <w:rPr>
                <w:rFonts w:ascii="Times New Roman"/>
                <w:sz w:val="20"/>
              </w:rPr>
            </w:pPr>
          </w:p>
        </w:tc>
        <w:tc>
          <w:tcPr>
            <w:tcW w:w="1563" w:type="dxa"/>
          </w:tcPr>
          <w:p>
            <w:pPr>
              <w:pStyle w:val="TableParagraph"/>
              <w:rPr>
                <w:rFonts w:ascii="Times New Roman"/>
                <w:sz w:val="20"/>
              </w:rPr>
            </w:pPr>
          </w:p>
        </w:tc>
        <w:tc>
          <w:tcPr>
            <w:tcW w:w="1558" w:type="dxa"/>
          </w:tcPr>
          <w:p>
            <w:pPr>
              <w:pStyle w:val="TableParagraph"/>
              <w:rPr>
                <w:rFonts w:ascii="Times New Roman"/>
                <w:sz w:val="20"/>
              </w:rPr>
            </w:pPr>
          </w:p>
        </w:tc>
        <w:tc>
          <w:tcPr>
            <w:tcW w:w="1846" w:type="dxa"/>
          </w:tcPr>
          <w:p>
            <w:pPr>
              <w:pStyle w:val="TableParagraph"/>
              <w:rPr>
                <w:rFonts w:ascii="Times New Roman"/>
                <w:sz w:val="20"/>
              </w:rPr>
            </w:pPr>
          </w:p>
        </w:tc>
      </w:tr>
      <w:tr>
        <w:trPr>
          <w:trHeight w:val="460" w:hRule="atLeast"/>
        </w:trPr>
        <w:tc>
          <w:tcPr>
            <w:tcW w:w="1526" w:type="dxa"/>
          </w:tcPr>
          <w:p>
            <w:pPr>
              <w:pStyle w:val="TableParagraph"/>
              <w:spacing w:line="219" w:lineRule="exact"/>
              <w:ind w:left="112"/>
              <w:rPr>
                <w:b/>
                <w:sz w:val="20"/>
              </w:rPr>
            </w:pPr>
            <w:r>
              <w:rPr>
                <w:b/>
                <w:sz w:val="20"/>
              </w:rPr>
              <w:t>£50,001</w:t>
            </w:r>
            <w:r>
              <w:rPr>
                <w:b/>
                <w:spacing w:val="-15"/>
                <w:sz w:val="20"/>
              </w:rPr>
              <w:t> </w:t>
            </w:r>
            <w:r>
              <w:rPr>
                <w:b/>
                <w:sz w:val="20"/>
              </w:rPr>
              <w:t>-</w:t>
            </w:r>
          </w:p>
          <w:p>
            <w:pPr>
              <w:pStyle w:val="TableParagraph"/>
              <w:spacing w:line="222" w:lineRule="exact"/>
              <w:ind w:left="112"/>
              <w:rPr>
                <w:b/>
                <w:sz w:val="20"/>
              </w:rPr>
            </w:pPr>
            <w:r>
              <w:rPr>
                <w:b/>
                <w:sz w:val="20"/>
              </w:rPr>
              <w:t>£100,000</w:t>
            </w:r>
          </w:p>
        </w:tc>
        <w:tc>
          <w:tcPr>
            <w:tcW w:w="1560" w:type="dxa"/>
          </w:tcPr>
          <w:p>
            <w:pPr>
              <w:pStyle w:val="TableParagraph"/>
              <w:rPr>
                <w:rFonts w:ascii="Times New Roman"/>
                <w:sz w:val="20"/>
              </w:rPr>
            </w:pPr>
          </w:p>
        </w:tc>
        <w:tc>
          <w:tcPr>
            <w:tcW w:w="1558" w:type="dxa"/>
          </w:tcPr>
          <w:p>
            <w:pPr>
              <w:pStyle w:val="TableParagraph"/>
              <w:rPr>
                <w:rFonts w:ascii="Times New Roman"/>
                <w:sz w:val="20"/>
              </w:rPr>
            </w:pPr>
          </w:p>
        </w:tc>
        <w:tc>
          <w:tcPr>
            <w:tcW w:w="1277" w:type="dxa"/>
          </w:tcPr>
          <w:p>
            <w:pPr>
              <w:pStyle w:val="TableParagraph"/>
              <w:rPr>
                <w:rFonts w:ascii="Times New Roman"/>
                <w:sz w:val="20"/>
              </w:rPr>
            </w:pPr>
          </w:p>
        </w:tc>
        <w:tc>
          <w:tcPr>
            <w:tcW w:w="1558" w:type="dxa"/>
          </w:tcPr>
          <w:p>
            <w:pPr>
              <w:pStyle w:val="TableParagraph"/>
              <w:rPr>
                <w:rFonts w:ascii="Times New Roman"/>
                <w:sz w:val="20"/>
              </w:rPr>
            </w:pPr>
          </w:p>
        </w:tc>
        <w:tc>
          <w:tcPr>
            <w:tcW w:w="1419" w:type="dxa"/>
          </w:tcPr>
          <w:p>
            <w:pPr>
              <w:pStyle w:val="TableParagraph"/>
              <w:rPr>
                <w:rFonts w:ascii="Times New Roman"/>
                <w:sz w:val="20"/>
              </w:rPr>
            </w:pPr>
          </w:p>
        </w:tc>
        <w:tc>
          <w:tcPr>
            <w:tcW w:w="1563" w:type="dxa"/>
          </w:tcPr>
          <w:p>
            <w:pPr>
              <w:pStyle w:val="TableParagraph"/>
              <w:rPr>
                <w:rFonts w:ascii="Times New Roman"/>
                <w:sz w:val="20"/>
              </w:rPr>
            </w:pPr>
          </w:p>
        </w:tc>
        <w:tc>
          <w:tcPr>
            <w:tcW w:w="1558" w:type="dxa"/>
          </w:tcPr>
          <w:p>
            <w:pPr>
              <w:pStyle w:val="TableParagraph"/>
              <w:rPr>
                <w:rFonts w:ascii="Times New Roman"/>
                <w:sz w:val="20"/>
              </w:rPr>
            </w:pPr>
          </w:p>
        </w:tc>
        <w:tc>
          <w:tcPr>
            <w:tcW w:w="1846" w:type="dxa"/>
          </w:tcPr>
          <w:p>
            <w:pPr>
              <w:pStyle w:val="TableParagraph"/>
              <w:rPr>
                <w:rFonts w:ascii="Times New Roman"/>
                <w:sz w:val="20"/>
              </w:rPr>
            </w:pPr>
          </w:p>
        </w:tc>
      </w:tr>
      <w:tr>
        <w:trPr>
          <w:trHeight w:val="460" w:hRule="atLeast"/>
        </w:trPr>
        <w:tc>
          <w:tcPr>
            <w:tcW w:w="1526" w:type="dxa"/>
          </w:tcPr>
          <w:p>
            <w:pPr>
              <w:pStyle w:val="TableParagraph"/>
              <w:spacing w:line="218" w:lineRule="exact"/>
              <w:ind w:left="112"/>
              <w:rPr>
                <w:b/>
                <w:sz w:val="20"/>
              </w:rPr>
            </w:pPr>
            <w:r>
              <w:rPr>
                <w:b/>
                <w:sz w:val="20"/>
              </w:rPr>
              <w:t>£100,001 -</w:t>
            </w:r>
          </w:p>
          <w:p>
            <w:pPr>
              <w:pStyle w:val="TableParagraph"/>
              <w:spacing w:line="223" w:lineRule="exact"/>
              <w:ind w:left="112"/>
              <w:rPr>
                <w:b/>
                <w:sz w:val="20"/>
              </w:rPr>
            </w:pPr>
            <w:r>
              <w:rPr>
                <w:b/>
                <w:sz w:val="20"/>
              </w:rPr>
              <w:t>£150,000</w:t>
            </w:r>
          </w:p>
        </w:tc>
        <w:tc>
          <w:tcPr>
            <w:tcW w:w="1560" w:type="dxa"/>
          </w:tcPr>
          <w:p>
            <w:pPr>
              <w:pStyle w:val="TableParagraph"/>
              <w:rPr>
                <w:rFonts w:ascii="Times New Roman"/>
                <w:sz w:val="20"/>
              </w:rPr>
            </w:pPr>
          </w:p>
        </w:tc>
        <w:tc>
          <w:tcPr>
            <w:tcW w:w="1558" w:type="dxa"/>
          </w:tcPr>
          <w:p>
            <w:pPr>
              <w:pStyle w:val="TableParagraph"/>
              <w:rPr>
                <w:rFonts w:ascii="Times New Roman"/>
                <w:sz w:val="20"/>
              </w:rPr>
            </w:pPr>
          </w:p>
        </w:tc>
        <w:tc>
          <w:tcPr>
            <w:tcW w:w="1277" w:type="dxa"/>
          </w:tcPr>
          <w:p>
            <w:pPr>
              <w:pStyle w:val="TableParagraph"/>
              <w:rPr>
                <w:rFonts w:ascii="Times New Roman"/>
                <w:sz w:val="20"/>
              </w:rPr>
            </w:pPr>
          </w:p>
        </w:tc>
        <w:tc>
          <w:tcPr>
            <w:tcW w:w="1558" w:type="dxa"/>
          </w:tcPr>
          <w:p>
            <w:pPr>
              <w:pStyle w:val="TableParagraph"/>
              <w:rPr>
                <w:rFonts w:ascii="Times New Roman"/>
                <w:sz w:val="20"/>
              </w:rPr>
            </w:pPr>
          </w:p>
        </w:tc>
        <w:tc>
          <w:tcPr>
            <w:tcW w:w="1419" w:type="dxa"/>
          </w:tcPr>
          <w:p>
            <w:pPr>
              <w:pStyle w:val="TableParagraph"/>
              <w:rPr>
                <w:rFonts w:ascii="Times New Roman"/>
                <w:sz w:val="20"/>
              </w:rPr>
            </w:pPr>
          </w:p>
        </w:tc>
        <w:tc>
          <w:tcPr>
            <w:tcW w:w="1563" w:type="dxa"/>
          </w:tcPr>
          <w:p>
            <w:pPr>
              <w:pStyle w:val="TableParagraph"/>
              <w:rPr>
                <w:rFonts w:ascii="Times New Roman"/>
                <w:sz w:val="20"/>
              </w:rPr>
            </w:pPr>
          </w:p>
        </w:tc>
        <w:tc>
          <w:tcPr>
            <w:tcW w:w="1558" w:type="dxa"/>
          </w:tcPr>
          <w:p>
            <w:pPr>
              <w:pStyle w:val="TableParagraph"/>
              <w:rPr>
                <w:rFonts w:ascii="Times New Roman"/>
                <w:sz w:val="20"/>
              </w:rPr>
            </w:pPr>
          </w:p>
        </w:tc>
        <w:tc>
          <w:tcPr>
            <w:tcW w:w="1846" w:type="dxa"/>
          </w:tcPr>
          <w:p>
            <w:pPr>
              <w:pStyle w:val="TableParagraph"/>
              <w:rPr>
                <w:rFonts w:ascii="Times New Roman"/>
                <w:sz w:val="20"/>
              </w:rPr>
            </w:pPr>
          </w:p>
        </w:tc>
      </w:tr>
      <w:tr>
        <w:trPr>
          <w:trHeight w:val="460" w:hRule="atLeast"/>
        </w:trPr>
        <w:tc>
          <w:tcPr>
            <w:tcW w:w="1526" w:type="dxa"/>
          </w:tcPr>
          <w:p>
            <w:pPr>
              <w:pStyle w:val="TableParagraph"/>
              <w:spacing w:line="218" w:lineRule="exact"/>
              <w:ind w:left="112"/>
              <w:rPr>
                <w:b/>
                <w:sz w:val="20"/>
              </w:rPr>
            </w:pPr>
            <w:r>
              <w:rPr>
                <w:b/>
                <w:sz w:val="20"/>
              </w:rPr>
              <w:t>£150,001 –</w:t>
            </w:r>
          </w:p>
          <w:p>
            <w:pPr>
              <w:pStyle w:val="TableParagraph"/>
              <w:spacing w:line="223" w:lineRule="exact"/>
              <w:ind w:left="112"/>
              <w:rPr>
                <w:b/>
                <w:sz w:val="20"/>
              </w:rPr>
            </w:pPr>
            <w:r>
              <w:rPr>
                <w:b/>
                <w:sz w:val="20"/>
              </w:rPr>
              <w:t>£200,000</w:t>
            </w:r>
          </w:p>
        </w:tc>
        <w:tc>
          <w:tcPr>
            <w:tcW w:w="1560" w:type="dxa"/>
          </w:tcPr>
          <w:p>
            <w:pPr>
              <w:pStyle w:val="TableParagraph"/>
              <w:rPr>
                <w:rFonts w:ascii="Times New Roman"/>
                <w:sz w:val="20"/>
              </w:rPr>
            </w:pPr>
          </w:p>
        </w:tc>
        <w:tc>
          <w:tcPr>
            <w:tcW w:w="1558" w:type="dxa"/>
          </w:tcPr>
          <w:p>
            <w:pPr>
              <w:pStyle w:val="TableParagraph"/>
              <w:rPr>
                <w:rFonts w:ascii="Times New Roman"/>
                <w:sz w:val="20"/>
              </w:rPr>
            </w:pPr>
          </w:p>
        </w:tc>
        <w:tc>
          <w:tcPr>
            <w:tcW w:w="1277" w:type="dxa"/>
          </w:tcPr>
          <w:p>
            <w:pPr>
              <w:pStyle w:val="TableParagraph"/>
              <w:rPr>
                <w:rFonts w:ascii="Times New Roman"/>
                <w:sz w:val="20"/>
              </w:rPr>
            </w:pPr>
          </w:p>
        </w:tc>
        <w:tc>
          <w:tcPr>
            <w:tcW w:w="1558" w:type="dxa"/>
          </w:tcPr>
          <w:p>
            <w:pPr>
              <w:pStyle w:val="TableParagraph"/>
              <w:rPr>
                <w:rFonts w:ascii="Times New Roman"/>
                <w:sz w:val="20"/>
              </w:rPr>
            </w:pPr>
          </w:p>
        </w:tc>
        <w:tc>
          <w:tcPr>
            <w:tcW w:w="1419" w:type="dxa"/>
          </w:tcPr>
          <w:p>
            <w:pPr>
              <w:pStyle w:val="TableParagraph"/>
              <w:rPr>
                <w:rFonts w:ascii="Times New Roman"/>
                <w:sz w:val="20"/>
              </w:rPr>
            </w:pPr>
          </w:p>
        </w:tc>
        <w:tc>
          <w:tcPr>
            <w:tcW w:w="1563" w:type="dxa"/>
          </w:tcPr>
          <w:p>
            <w:pPr>
              <w:pStyle w:val="TableParagraph"/>
              <w:rPr>
                <w:rFonts w:ascii="Times New Roman"/>
                <w:sz w:val="20"/>
              </w:rPr>
            </w:pPr>
          </w:p>
        </w:tc>
        <w:tc>
          <w:tcPr>
            <w:tcW w:w="1558" w:type="dxa"/>
          </w:tcPr>
          <w:p>
            <w:pPr>
              <w:pStyle w:val="TableParagraph"/>
              <w:rPr>
                <w:rFonts w:ascii="Times New Roman"/>
                <w:sz w:val="20"/>
              </w:rPr>
            </w:pPr>
          </w:p>
        </w:tc>
        <w:tc>
          <w:tcPr>
            <w:tcW w:w="1846" w:type="dxa"/>
          </w:tcPr>
          <w:p>
            <w:pPr>
              <w:pStyle w:val="TableParagraph"/>
              <w:rPr>
                <w:rFonts w:ascii="Times New Roman"/>
                <w:sz w:val="20"/>
              </w:rPr>
            </w:pPr>
          </w:p>
        </w:tc>
      </w:tr>
      <w:tr>
        <w:trPr>
          <w:trHeight w:val="230" w:hRule="atLeast"/>
        </w:trPr>
        <w:tc>
          <w:tcPr>
            <w:tcW w:w="1526" w:type="dxa"/>
          </w:tcPr>
          <w:p>
            <w:pPr>
              <w:pStyle w:val="TableParagraph"/>
              <w:spacing w:line="210" w:lineRule="exact"/>
              <w:ind w:left="112"/>
              <w:rPr>
                <w:b/>
                <w:sz w:val="20"/>
              </w:rPr>
            </w:pPr>
            <w:r>
              <w:rPr>
                <w:b/>
                <w:sz w:val="20"/>
              </w:rPr>
              <w:t>&gt;£200,000</w:t>
            </w:r>
          </w:p>
        </w:tc>
        <w:tc>
          <w:tcPr>
            <w:tcW w:w="1560" w:type="dxa"/>
          </w:tcPr>
          <w:p>
            <w:pPr>
              <w:pStyle w:val="TableParagraph"/>
              <w:rPr>
                <w:rFonts w:ascii="Times New Roman"/>
                <w:sz w:val="16"/>
              </w:rPr>
            </w:pPr>
          </w:p>
        </w:tc>
        <w:tc>
          <w:tcPr>
            <w:tcW w:w="1558" w:type="dxa"/>
          </w:tcPr>
          <w:p>
            <w:pPr>
              <w:pStyle w:val="TableParagraph"/>
              <w:rPr>
                <w:rFonts w:ascii="Times New Roman"/>
                <w:sz w:val="16"/>
              </w:rPr>
            </w:pPr>
          </w:p>
        </w:tc>
        <w:tc>
          <w:tcPr>
            <w:tcW w:w="1277" w:type="dxa"/>
          </w:tcPr>
          <w:p>
            <w:pPr>
              <w:pStyle w:val="TableParagraph"/>
              <w:rPr>
                <w:rFonts w:ascii="Times New Roman"/>
                <w:sz w:val="16"/>
              </w:rPr>
            </w:pPr>
          </w:p>
        </w:tc>
        <w:tc>
          <w:tcPr>
            <w:tcW w:w="1558" w:type="dxa"/>
          </w:tcPr>
          <w:p>
            <w:pPr>
              <w:pStyle w:val="TableParagraph"/>
              <w:rPr>
                <w:rFonts w:ascii="Times New Roman"/>
                <w:sz w:val="16"/>
              </w:rPr>
            </w:pPr>
          </w:p>
        </w:tc>
        <w:tc>
          <w:tcPr>
            <w:tcW w:w="1419" w:type="dxa"/>
          </w:tcPr>
          <w:p>
            <w:pPr>
              <w:pStyle w:val="TableParagraph"/>
              <w:rPr>
                <w:rFonts w:ascii="Times New Roman"/>
                <w:sz w:val="16"/>
              </w:rPr>
            </w:pPr>
          </w:p>
        </w:tc>
        <w:tc>
          <w:tcPr>
            <w:tcW w:w="1563" w:type="dxa"/>
          </w:tcPr>
          <w:p>
            <w:pPr>
              <w:pStyle w:val="TableParagraph"/>
              <w:rPr>
                <w:rFonts w:ascii="Times New Roman"/>
                <w:sz w:val="16"/>
              </w:rPr>
            </w:pPr>
          </w:p>
        </w:tc>
        <w:tc>
          <w:tcPr>
            <w:tcW w:w="1558" w:type="dxa"/>
          </w:tcPr>
          <w:p>
            <w:pPr>
              <w:pStyle w:val="TableParagraph"/>
              <w:rPr>
                <w:rFonts w:ascii="Times New Roman"/>
                <w:sz w:val="16"/>
              </w:rPr>
            </w:pPr>
          </w:p>
        </w:tc>
        <w:tc>
          <w:tcPr>
            <w:tcW w:w="1846" w:type="dxa"/>
          </w:tcPr>
          <w:p>
            <w:pPr>
              <w:pStyle w:val="TableParagraph"/>
              <w:rPr>
                <w:rFonts w:ascii="Times New Roman"/>
                <w:sz w:val="16"/>
              </w:rPr>
            </w:pPr>
          </w:p>
        </w:tc>
      </w:tr>
      <w:tr>
        <w:trPr>
          <w:trHeight w:val="229" w:hRule="atLeast"/>
        </w:trPr>
        <w:tc>
          <w:tcPr>
            <w:tcW w:w="1526" w:type="dxa"/>
          </w:tcPr>
          <w:p>
            <w:pPr>
              <w:pStyle w:val="TableParagraph"/>
              <w:spacing w:line="210" w:lineRule="exact"/>
              <w:ind w:left="112"/>
              <w:rPr>
                <w:b/>
                <w:sz w:val="20"/>
              </w:rPr>
            </w:pPr>
            <w:r>
              <w:rPr>
                <w:b/>
                <w:sz w:val="20"/>
              </w:rPr>
              <w:t>TOTALS</w:t>
            </w:r>
          </w:p>
        </w:tc>
        <w:tc>
          <w:tcPr>
            <w:tcW w:w="1560" w:type="dxa"/>
          </w:tcPr>
          <w:p>
            <w:pPr>
              <w:pStyle w:val="TableParagraph"/>
              <w:rPr>
                <w:rFonts w:ascii="Times New Roman"/>
                <w:sz w:val="16"/>
              </w:rPr>
            </w:pPr>
          </w:p>
        </w:tc>
        <w:tc>
          <w:tcPr>
            <w:tcW w:w="1558" w:type="dxa"/>
          </w:tcPr>
          <w:p>
            <w:pPr>
              <w:pStyle w:val="TableParagraph"/>
              <w:rPr>
                <w:rFonts w:ascii="Times New Roman"/>
                <w:sz w:val="16"/>
              </w:rPr>
            </w:pPr>
          </w:p>
        </w:tc>
        <w:tc>
          <w:tcPr>
            <w:tcW w:w="1277" w:type="dxa"/>
          </w:tcPr>
          <w:p>
            <w:pPr>
              <w:pStyle w:val="TableParagraph"/>
              <w:spacing w:line="210" w:lineRule="exact"/>
              <w:ind w:left="112"/>
              <w:rPr>
                <w:b/>
                <w:sz w:val="20"/>
              </w:rPr>
            </w:pPr>
            <w:r>
              <w:rPr>
                <w:b/>
                <w:w w:val="98"/>
                <w:sz w:val="20"/>
              </w:rPr>
              <w:t>1</w:t>
            </w:r>
          </w:p>
        </w:tc>
        <w:tc>
          <w:tcPr>
            <w:tcW w:w="1558" w:type="dxa"/>
          </w:tcPr>
          <w:p>
            <w:pPr>
              <w:pStyle w:val="TableParagraph"/>
              <w:spacing w:line="210" w:lineRule="exact"/>
              <w:ind w:left="150" w:right="139"/>
              <w:jc w:val="center"/>
              <w:rPr>
                <w:b/>
                <w:sz w:val="20"/>
              </w:rPr>
            </w:pPr>
            <w:r>
              <w:rPr>
                <w:b/>
                <w:sz w:val="20"/>
              </w:rPr>
              <w:t>2,833</w:t>
            </w:r>
          </w:p>
        </w:tc>
        <w:tc>
          <w:tcPr>
            <w:tcW w:w="1419" w:type="dxa"/>
          </w:tcPr>
          <w:p>
            <w:pPr>
              <w:pStyle w:val="TableParagraph"/>
              <w:rPr>
                <w:rFonts w:ascii="Times New Roman"/>
                <w:sz w:val="16"/>
              </w:rPr>
            </w:pPr>
          </w:p>
        </w:tc>
        <w:tc>
          <w:tcPr>
            <w:tcW w:w="1563" w:type="dxa"/>
          </w:tcPr>
          <w:p>
            <w:pPr>
              <w:pStyle w:val="TableParagraph"/>
              <w:rPr>
                <w:rFonts w:ascii="Times New Roman"/>
                <w:sz w:val="16"/>
              </w:rPr>
            </w:pPr>
          </w:p>
        </w:tc>
        <w:tc>
          <w:tcPr>
            <w:tcW w:w="1558" w:type="dxa"/>
          </w:tcPr>
          <w:p>
            <w:pPr>
              <w:pStyle w:val="TableParagraph"/>
              <w:rPr>
                <w:rFonts w:ascii="Times New Roman"/>
                <w:sz w:val="16"/>
              </w:rPr>
            </w:pPr>
          </w:p>
        </w:tc>
        <w:tc>
          <w:tcPr>
            <w:tcW w:w="1846" w:type="dxa"/>
          </w:tcPr>
          <w:p>
            <w:pPr>
              <w:pStyle w:val="TableParagraph"/>
              <w:rPr>
                <w:rFonts w:ascii="Times New Roman"/>
                <w:sz w:val="16"/>
              </w:rPr>
            </w:pPr>
          </w:p>
        </w:tc>
      </w:tr>
    </w:tbl>
    <w:p>
      <w:pPr>
        <w:pStyle w:val="BodyText"/>
        <w:spacing w:before="7"/>
        <w:rPr>
          <w:b/>
          <w:sz w:val="20"/>
        </w:rPr>
      </w:pPr>
    </w:p>
    <w:p>
      <w:pPr>
        <w:spacing w:before="0"/>
        <w:ind w:left="119" w:right="0" w:firstLine="0"/>
        <w:jc w:val="left"/>
        <w:rPr>
          <w:sz w:val="20"/>
        </w:rPr>
      </w:pPr>
      <w:r>
        <w:rPr>
          <w:sz w:val="20"/>
        </w:rPr>
        <w:t>Exit costs in this note are accounted for in full in the year of departure.</w:t>
      </w:r>
    </w:p>
    <w:p>
      <w:pPr>
        <w:spacing w:after="0"/>
        <w:jc w:val="left"/>
        <w:rPr>
          <w:sz w:val="20"/>
        </w:rPr>
        <w:sectPr>
          <w:footerReference w:type="default" r:id="rId45"/>
          <w:pgSz w:w="16850" w:h="11920" w:orient="landscape"/>
          <w:pgMar w:footer="445" w:header="0" w:top="1100" w:bottom="640" w:left="1320" w:right="1400"/>
        </w:sectPr>
      </w:pPr>
    </w:p>
    <w:p>
      <w:pPr>
        <w:pStyle w:val="Heading4"/>
        <w:spacing w:before="80"/>
        <w:ind w:left="700"/>
      </w:pPr>
      <w:bookmarkStart w:name="Table 2: Analysis of Other Departures" w:id="174"/>
      <w:bookmarkEnd w:id="174"/>
      <w:r>
        <w:rPr>
          <w:b w:val="0"/>
        </w:rPr>
      </w:r>
      <w:r>
        <w:rPr/>
        <w:t>Table 2: Analysis of Other Departures</w:t>
      </w:r>
    </w:p>
    <w:p>
      <w:pPr>
        <w:pStyle w:val="BodyText"/>
        <w:spacing w:before="4" w:after="1"/>
        <w:rPr>
          <w:b/>
          <w:sz w:val="29"/>
        </w:rPr>
      </w:pPr>
    </w:p>
    <w:tbl>
      <w:tblPr>
        <w:tblW w:w="0" w:type="auto"/>
        <w:jc w:val="lef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34"/>
        <w:gridCol w:w="3005"/>
        <w:gridCol w:w="3175"/>
      </w:tblGrid>
      <w:tr>
        <w:trPr>
          <w:trHeight w:val="251" w:hRule="atLeast"/>
        </w:trPr>
        <w:tc>
          <w:tcPr>
            <w:tcW w:w="3034" w:type="dxa"/>
            <w:vMerge w:val="restart"/>
            <w:tcBorders>
              <w:top w:val="nil"/>
              <w:left w:val="nil"/>
            </w:tcBorders>
          </w:tcPr>
          <w:p>
            <w:pPr>
              <w:pStyle w:val="TableParagraph"/>
              <w:rPr>
                <w:rFonts w:ascii="Times New Roman"/>
                <w:sz w:val="20"/>
              </w:rPr>
            </w:pPr>
          </w:p>
        </w:tc>
        <w:tc>
          <w:tcPr>
            <w:tcW w:w="3005" w:type="dxa"/>
          </w:tcPr>
          <w:p>
            <w:pPr>
              <w:pStyle w:val="TableParagraph"/>
              <w:spacing w:line="232" w:lineRule="exact"/>
              <w:ind w:left="868"/>
              <w:rPr>
                <w:b/>
                <w:sz w:val="22"/>
              </w:rPr>
            </w:pPr>
            <w:r>
              <w:rPr>
                <w:b/>
                <w:sz w:val="22"/>
              </w:rPr>
              <w:t>Agreements</w:t>
            </w:r>
          </w:p>
        </w:tc>
        <w:tc>
          <w:tcPr>
            <w:tcW w:w="3175" w:type="dxa"/>
          </w:tcPr>
          <w:p>
            <w:pPr>
              <w:pStyle w:val="TableParagraph"/>
              <w:spacing w:line="232" w:lineRule="exact"/>
              <w:ind w:left="220"/>
              <w:rPr>
                <w:b/>
                <w:sz w:val="22"/>
              </w:rPr>
            </w:pPr>
            <w:r>
              <w:rPr>
                <w:b/>
                <w:sz w:val="22"/>
              </w:rPr>
              <w:t>Total Value of agreements</w:t>
            </w:r>
          </w:p>
        </w:tc>
      </w:tr>
      <w:tr>
        <w:trPr>
          <w:trHeight w:val="251" w:hRule="atLeast"/>
        </w:trPr>
        <w:tc>
          <w:tcPr>
            <w:tcW w:w="3034" w:type="dxa"/>
            <w:vMerge/>
            <w:tcBorders>
              <w:top w:val="nil"/>
              <w:left w:val="nil"/>
            </w:tcBorders>
          </w:tcPr>
          <w:p>
            <w:pPr>
              <w:rPr>
                <w:sz w:val="2"/>
                <w:szCs w:val="2"/>
              </w:rPr>
            </w:pPr>
          </w:p>
        </w:tc>
        <w:tc>
          <w:tcPr>
            <w:tcW w:w="3005" w:type="dxa"/>
          </w:tcPr>
          <w:p>
            <w:pPr>
              <w:pStyle w:val="TableParagraph"/>
              <w:spacing w:line="232" w:lineRule="exact"/>
              <w:ind w:left="1071" w:right="1052"/>
              <w:jc w:val="center"/>
              <w:rPr>
                <w:b/>
                <w:sz w:val="22"/>
              </w:rPr>
            </w:pPr>
            <w:r>
              <w:rPr>
                <w:b/>
                <w:sz w:val="22"/>
              </w:rPr>
              <w:t>Number</w:t>
            </w:r>
          </w:p>
        </w:tc>
        <w:tc>
          <w:tcPr>
            <w:tcW w:w="3175" w:type="dxa"/>
          </w:tcPr>
          <w:p>
            <w:pPr>
              <w:pStyle w:val="TableParagraph"/>
              <w:spacing w:line="232" w:lineRule="exact"/>
              <w:ind w:left="1263" w:right="1250"/>
              <w:jc w:val="center"/>
              <w:rPr>
                <w:b/>
                <w:sz w:val="22"/>
              </w:rPr>
            </w:pPr>
            <w:r>
              <w:rPr>
                <w:b/>
                <w:sz w:val="22"/>
              </w:rPr>
              <w:t>£000s</w:t>
            </w:r>
          </w:p>
        </w:tc>
      </w:tr>
      <w:tr>
        <w:trPr>
          <w:trHeight w:val="765" w:hRule="atLeast"/>
        </w:trPr>
        <w:tc>
          <w:tcPr>
            <w:tcW w:w="3034" w:type="dxa"/>
          </w:tcPr>
          <w:p>
            <w:pPr>
              <w:pStyle w:val="TableParagraph"/>
              <w:spacing w:before="2"/>
              <w:ind w:left="112"/>
              <w:rPr>
                <w:sz w:val="22"/>
              </w:rPr>
            </w:pPr>
            <w:r>
              <w:rPr>
                <w:sz w:val="22"/>
              </w:rPr>
              <w:t>Voluntary redundancies</w:t>
            </w:r>
          </w:p>
          <w:p>
            <w:pPr>
              <w:pStyle w:val="TableParagraph"/>
              <w:spacing w:line="252" w:lineRule="exact" w:before="6"/>
              <w:ind w:left="112" w:right="434"/>
              <w:rPr>
                <w:sz w:val="22"/>
              </w:rPr>
            </w:pPr>
            <w:r>
              <w:rPr>
                <w:sz w:val="22"/>
              </w:rPr>
              <w:t>including early retirement contractual costs</w:t>
            </w:r>
          </w:p>
        </w:tc>
        <w:tc>
          <w:tcPr>
            <w:tcW w:w="3005" w:type="dxa"/>
          </w:tcPr>
          <w:p>
            <w:pPr>
              <w:pStyle w:val="TableParagraph"/>
              <w:rPr>
                <w:rFonts w:ascii="Times New Roman"/>
                <w:sz w:val="20"/>
              </w:rPr>
            </w:pPr>
          </w:p>
        </w:tc>
        <w:tc>
          <w:tcPr>
            <w:tcW w:w="3175" w:type="dxa"/>
          </w:tcPr>
          <w:p>
            <w:pPr>
              <w:pStyle w:val="TableParagraph"/>
              <w:rPr>
                <w:rFonts w:ascii="Times New Roman"/>
                <w:sz w:val="20"/>
              </w:rPr>
            </w:pPr>
          </w:p>
        </w:tc>
      </w:tr>
      <w:tr>
        <w:trPr>
          <w:trHeight w:val="505" w:hRule="atLeast"/>
        </w:trPr>
        <w:tc>
          <w:tcPr>
            <w:tcW w:w="3034" w:type="dxa"/>
          </w:tcPr>
          <w:p>
            <w:pPr>
              <w:pStyle w:val="TableParagraph"/>
              <w:spacing w:line="252" w:lineRule="exact" w:before="2"/>
              <w:ind w:left="112" w:right="79"/>
              <w:rPr>
                <w:sz w:val="22"/>
              </w:rPr>
            </w:pPr>
            <w:r>
              <w:rPr>
                <w:sz w:val="22"/>
              </w:rPr>
              <w:t>Mutually agreed resignations (MARS) contractual costs</w:t>
            </w:r>
          </w:p>
        </w:tc>
        <w:tc>
          <w:tcPr>
            <w:tcW w:w="3005" w:type="dxa"/>
          </w:tcPr>
          <w:p>
            <w:pPr>
              <w:pStyle w:val="TableParagraph"/>
              <w:rPr>
                <w:rFonts w:ascii="Times New Roman"/>
                <w:sz w:val="20"/>
              </w:rPr>
            </w:pPr>
          </w:p>
        </w:tc>
        <w:tc>
          <w:tcPr>
            <w:tcW w:w="3175" w:type="dxa"/>
          </w:tcPr>
          <w:p>
            <w:pPr>
              <w:pStyle w:val="TableParagraph"/>
              <w:rPr>
                <w:rFonts w:ascii="Times New Roman"/>
                <w:sz w:val="20"/>
              </w:rPr>
            </w:pPr>
          </w:p>
        </w:tc>
      </w:tr>
      <w:tr>
        <w:trPr>
          <w:trHeight w:val="757" w:hRule="atLeast"/>
        </w:trPr>
        <w:tc>
          <w:tcPr>
            <w:tcW w:w="3034" w:type="dxa"/>
          </w:tcPr>
          <w:p>
            <w:pPr>
              <w:pStyle w:val="TableParagraph"/>
              <w:spacing w:line="252" w:lineRule="exact" w:before="2"/>
              <w:ind w:left="112" w:right="612"/>
              <w:jc w:val="both"/>
              <w:rPr>
                <w:sz w:val="22"/>
              </w:rPr>
            </w:pPr>
            <w:r>
              <w:rPr>
                <w:sz w:val="22"/>
              </w:rPr>
              <w:t>Early retirements in the efficiency of the service contractual costs</w:t>
            </w:r>
          </w:p>
        </w:tc>
        <w:tc>
          <w:tcPr>
            <w:tcW w:w="3005" w:type="dxa"/>
          </w:tcPr>
          <w:p>
            <w:pPr>
              <w:pStyle w:val="TableParagraph"/>
              <w:rPr>
                <w:rFonts w:ascii="Times New Roman"/>
                <w:sz w:val="20"/>
              </w:rPr>
            </w:pPr>
          </w:p>
        </w:tc>
        <w:tc>
          <w:tcPr>
            <w:tcW w:w="3175" w:type="dxa"/>
          </w:tcPr>
          <w:p>
            <w:pPr>
              <w:pStyle w:val="TableParagraph"/>
              <w:rPr>
                <w:rFonts w:ascii="Times New Roman"/>
                <w:sz w:val="20"/>
              </w:rPr>
            </w:pPr>
          </w:p>
        </w:tc>
      </w:tr>
      <w:tr>
        <w:trPr>
          <w:trHeight w:val="506" w:hRule="atLeast"/>
        </w:trPr>
        <w:tc>
          <w:tcPr>
            <w:tcW w:w="3034" w:type="dxa"/>
          </w:tcPr>
          <w:p>
            <w:pPr>
              <w:pStyle w:val="TableParagraph"/>
              <w:spacing w:line="252" w:lineRule="exact" w:before="2"/>
              <w:ind w:left="112" w:right="116"/>
              <w:rPr>
                <w:sz w:val="22"/>
              </w:rPr>
            </w:pPr>
            <w:r>
              <w:rPr>
                <w:sz w:val="22"/>
              </w:rPr>
              <w:t>Contractual payments in lieu of notice*</w:t>
            </w:r>
          </w:p>
        </w:tc>
        <w:tc>
          <w:tcPr>
            <w:tcW w:w="3005" w:type="dxa"/>
          </w:tcPr>
          <w:p>
            <w:pPr>
              <w:pStyle w:val="TableParagraph"/>
              <w:spacing w:line="246" w:lineRule="exact"/>
              <w:ind w:left="112"/>
              <w:rPr>
                <w:b/>
                <w:sz w:val="22"/>
              </w:rPr>
            </w:pPr>
            <w:r>
              <w:rPr>
                <w:b/>
                <w:w w:val="100"/>
                <w:sz w:val="22"/>
              </w:rPr>
              <w:t>1</w:t>
            </w:r>
          </w:p>
        </w:tc>
        <w:tc>
          <w:tcPr>
            <w:tcW w:w="3175" w:type="dxa"/>
          </w:tcPr>
          <w:p>
            <w:pPr>
              <w:pStyle w:val="TableParagraph"/>
              <w:spacing w:line="246" w:lineRule="exact"/>
              <w:ind w:left="112"/>
              <w:rPr>
                <w:b/>
                <w:sz w:val="22"/>
              </w:rPr>
            </w:pPr>
            <w:r>
              <w:rPr>
                <w:b/>
                <w:w w:val="100"/>
                <w:sz w:val="22"/>
              </w:rPr>
              <w:t>3</w:t>
            </w:r>
          </w:p>
        </w:tc>
      </w:tr>
      <w:tr>
        <w:trPr>
          <w:trHeight w:val="753" w:hRule="atLeast"/>
        </w:trPr>
        <w:tc>
          <w:tcPr>
            <w:tcW w:w="3034" w:type="dxa"/>
          </w:tcPr>
          <w:p>
            <w:pPr>
              <w:pStyle w:val="TableParagraph"/>
              <w:spacing w:line="252" w:lineRule="exact"/>
              <w:ind w:left="112"/>
              <w:rPr>
                <w:sz w:val="22"/>
              </w:rPr>
            </w:pPr>
            <w:r>
              <w:rPr>
                <w:sz w:val="22"/>
              </w:rPr>
              <w:t>Exit payments following</w:t>
            </w:r>
          </w:p>
          <w:p>
            <w:pPr>
              <w:pStyle w:val="TableParagraph"/>
              <w:spacing w:line="232" w:lineRule="exact" w:before="20"/>
              <w:ind w:left="112" w:right="446"/>
              <w:rPr>
                <w:sz w:val="22"/>
              </w:rPr>
            </w:pPr>
            <w:r>
              <w:rPr>
                <w:sz w:val="22"/>
              </w:rPr>
              <w:t>Employment Tribunals or court orders</w:t>
            </w:r>
          </w:p>
        </w:tc>
        <w:tc>
          <w:tcPr>
            <w:tcW w:w="3005" w:type="dxa"/>
          </w:tcPr>
          <w:p>
            <w:pPr>
              <w:pStyle w:val="TableParagraph"/>
              <w:rPr>
                <w:rFonts w:ascii="Times New Roman"/>
                <w:sz w:val="20"/>
              </w:rPr>
            </w:pPr>
          </w:p>
        </w:tc>
        <w:tc>
          <w:tcPr>
            <w:tcW w:w="3175" w:type="dxa"/>
          </w:tcPr>
          <w:p>
            <w:pPr>
              <w:pStyle w:val="TableParagraph"/>
              <w:rPr>
                <w:rFonts w:ascii="Times New Roman"/>
                <w:sz w:val="20"/>
              </w:rPr>
            </w:pPr>
          </w:p>
        </w:tc>
      </w:tr>
      <w:tr>
        <w:trPr>
          <w:trHeight w:val="510" w:hRule="atLeast"/>
        </w:trPr>
        <w:tc>
          <w:tcPr>
            <w:tcW w:w="3034" w:type="dxa"/>
          </w:tcPr>
          <w:p>
            <w:pPr>
              <w:pStyle w:val="TableParagraph"/>
              <w:spacing w:line="254" w:lineRule="exact" w:before="3"/>
              <w:ind w:left="112" w:right="324"/>
              <w:rPr>
                <w:sz w:val="22"/>
              </w:rPr>
            </w:pPr>
            <w:r>
              <w:rPr>
                <w:sz w:val="22"/>
              </w:rPr>
              <w:t>Non-contractual payments requiring HMT approval**</w:t>
            </w:r>
          </w:p>
        </w:tc>
        <w:tc>
          <w:tcPr>
            <w:tcW w:w="3005" w:type="dxa"/>
          </w:tcPr>
          <w:p>
            <w:pPr>
              <w:pStyle w:val="TableParagraph"/>
              <w:rPr>
                <w:rFonts w:ascii="Times New Roman"/>
                <w:sz w:val="20"/>
              </w:rPr>
            </w:pPr>
          </w:p>
        </w:tc>
        <w:tc>
          <w:tcPr>
            <w:tcW w:w="3175" w:type="dxa"/>
          </w:tcPr>
          <w:p>
            <w:pPr>
              <w:pStyle w:val="TableParagraph"/>
              <w:rPr>
                <w:rFonts w:ascii="Times New Roman"/>
                <w:sz w:val="20"/>
              </w:rPr>
            </w:pPr>
          </w:p>
        </w:tc>
      </w:tr>
      <w:tr>
        <w:trPr>
          <w:trHeight w:val="249" w:hRule="atLeast"/>
        </w:trPr>
        <w:tc>
          <w:tcPr>
            <w:tcW w:w="3034" w:type="dxa"/>
          </w:tcPr>
          <w:p>
            <w:pPr>
              <w:pStyle w:val="TableParagraph"/>
              <w:spacing w:line="229" w:lineRule="exact"/>
              <w:ind w:left="112"/>
              <w:rPr>
                <w:b/>
                <w:sz w:val="22"/>
              </w:rPr>
            </w:pPr>
            <w:r>
              <w:rPr>
                <w:b/>
                <w:sz w:val="22"/>
              </w:rPr>
              <w:t>TOTAL</w:t>
            </w:r>
          </w:p>
        </w:tc>
        <w:tc>
          <w:tcPr>
            <w:tcW w:w="3005" w:type="dxa"/>
          </w:tcPr>
          <w:p>
            <w:pPr>
              <w:pStyle w:val="TableParagraph"/>
              <w:spacing w:line="229" w:lineRule="exact"/>
              <w:ind w:left="112"/>
              <w:rPr>
                <w:b/>
                <w:sz w:val="22"/>
              </w:rPr>
            </w:pPr>
            <w:r>
              <w:rPr>
                <w:b/>
                <w:w w:val="100"/>
                <w:sz w:val="22"/>
              </w:rPr>
              <w:t>1</w:t>
            </w:r>
          </w:p>
        </w:tc>
        <w:tc>
          <w:tcPr>
            <w:tcW w:w="3175" w:type="dxa"/>
          </w:tcPr>
          <w:p>
            <w:pPr>
              <w:pStyle w:val="TableParagraph"/>
              <w:spacing w:line="229" w:lineRule="exact"/>
              <w:ind w:left="112"/>
              <w:rPr>
                <w:b/>
                <w:sz w:val="22"/>
              </w:rPr>
            </w:pPr>
            <w:r>
              <w:rPr>
                <w:b/>
                <w:w w:val="100"/>
                <w:sz w:val="22"/>
              </w:rPr>
              <w:t>3</w:t>
            </w:r>
          </w:p>
        </w:tc>
      </w:tr>
    </w:tbl>
    <w:p>
      <w:pPr>
        <w:pStyle w:val="BodyText"/>
        <w:spacing w:before="9"/>
        <w:rPr>
          <w:b/>
          <w:sz w:val="20"/>
        </w:rPr>
      </w:pPr>
    </w:p>
    <w:p>
      <w:pPr>
        <w:spacing w:line="357" w:lineRule="auto" w:before="0"/>
        <w:ind w:left="700" w:right="1191" w:firstLine="0"/>
        <w:jc w:val="left"/>
        <w:rPr>
          <w:sz w:val="20"/>
        </w:rPr>
      </w:pPr>
      <w:r>
        <w:rPr>
          <w:sz w:val="20"/>
        </w:rPr>
        <w:t>As a single exit package can be made up of several components each of which will be counted separately in this Note, the total number above will not necessarily match the total numbers in Note</w:t>
      </w:r>
    </w:p>
    <w:p>
      <w:pPr>
        <w:spacing w:line="229" w:lineRule="exact" w:before="0"/>
        <w:ind w:left="700" w:right="0" w:firstLine="0"/>
        <w:jc w:val="left"/>
        <w:rPr>
          <w:sz w:val="20"/>
        </w:rPr>
      </w:pPr>
      <w:r>
        <w:rPr>
          <w:sz w:val="20"/>
        </w:rPr>
        <w:t>4.3 of the Annual Accounts which will be the number of individuals.</w:t>
      </w:r>
    </w:p>
    <w:p>
      <w:pPr>
        <w:pStyle w:val="BodyText"/>
        <w:spacing w:before="4"/>
        <w:rPr>
          <w:sz w:val="31"/>
        </w:rPr>
      </w:pPr>
    </w:p>
    <w:p>
      <w:pPr>
        <w:spacing w:line="360" w:lineRule="auto" w:before="0"/>
        <w:ind w:left="700" w:right="1613" w:firstLine="0"/>
        <w:jc w:val="left"/>
        <w:rPr>
          <w:sz w:val="20"/>
        </w:rPr>
      </w:pPr>
      <w:r>
        <w:rPr>
          <w:sz w:val="20"/>
        </w:rPr>
        <w:t>*any non-contractual payments in lieu of notice are disclosed under “non-contracted payments requiring HMT approval” below.</w:t>
      </w:r>
    </w:p>
    <w:p>
      <w:pPr>
        <w:pStyle w:val="BodyText"/>
        <w:rPr>
          <w:sz w:val="21"/>
        </w:rPr>
      </w:pPr>
    </w:p>
    <w:p>
      <w:pPr>
        <w:spacing w:line="355" w:lineRule="auto" w:before="0"/>
        <w:ind w:left="700" w:right="1457" w:firstLine="0"/>
        <w:jc w:val="left"/>
        <w:rPr>
          <w:sz w:val="20"/>
        </w:rPr>
      </w:pPr>
      <w:r>
        <w:rPr>
          <w:sz w:val="20"/>
        </w:rPr>
        <w:t>**includes any non-contractual severance payment made following judicial mediation, and X (list amounts) relating to non-contractual payments in lieu of notice.</w:t>
      </w:r>
    </w:p>
    <w:p>
      <w:pPr>
        <w:pStyle w:val="BodyText"/>
        <w:spacing w:before="4"/>
        <w:rPr>
          <w:sz w:val="21"/>
        </w:rPr>
      </w:pPr>
    </w:p>
    <w:p>
      <w:pPr>
        <w:spacing w:line="360" w:lineRule="auto" w:before="0"/>
        <w:ind w:left="700" w:right="1135" w:firstLine="0"/>
        <w:jc w:val="left"/>
        <w:rPr>
          <w:sz w:val="20"/>
        </w:rPr>
      </w:pPr>
      <w:r>
        <w:rPr>
          <w:sz w:val="20"/>
        </w:rPr>
        <w:t>No non-contractual payments were made to individuals where the payment value was more than 12 months’ of their annual salary.</w:t>
      </w:r>
    </w:p>
    <w:p>
      <w:pPr>
        <w:pStyle w:val="BodyText"/>
        <w:spacing w:before="9"/>
        <w:rPr>
          <w:sz w:val="20"/>
        </w:rPr>
      </w:pPr>
    </w:p>
    <w:p>
      <w:pPr>
        <w:spacing w:line="360" w:lineRule="auto" w:before="0"/>
        <w:ind w:left="700" w:right="1146" w:firstLine="0"/>
        <w:jc w:val="left"/>
        <w:rPr>
          <w:sz w:val="20"/>
        </w:rPr>
      </w:pPr>
      <w:r>
        <w:rPr>
          <w:sz w:val="20"/>
        </w:rPr>
        <w:t>The Remuneration Report includes disclosure of exit packages payable to individuals named in that Report.</w:t>
      </w:r>
    </w:p>
    <w:p>
      <w:pPr>
        <w:spacing w:after="0" w:line="360" w:lineRule="auto"/>
        <w:jc w:val="left"/>
        <w:rPr>
          <w:sz w:val="20"/>
        </w:rPr>
        <w:sectPr>
          <w:footerReference w:type="default" r:id="rId46"/>
          <w:pgSz w:w="11920" w:h="16850"/>
          <w:pgMar w:footer="2519" w:header="0" w:top="1340" w:bottom="2700" w:left="740" w:right="520"/>
          <w:pgNumType w:start="103"/>
        </w:sectPr>
      </w:pPr>
    </w:p>
    <w:p>
      <w:pPr>
        <w:pStyle w:val="Heading2"/>
        <w:spacing w:before="61"/>
        <w:ind w:left="700"/>
      </w:pPr>
      <w:bookmarkStart w:name="Parliamentary Accountability and Audit R" w:id="175"/>
      <w:bookmarkEnd w:id="175"/>
      <w:r>
        <w:rPr>
          <w:b w:val="0"/>
        </w:rPr>
      </w:r>
      <w:r>
        <w:rPr/>
        <w:t>Parliamentary Accountability and Audit Report</w:t>
      </w:r>
    </w:p>
    <w:p>
      <w:pPr>
        <w:pStyle w:val="BodyText"/>
        <w:spacing w:before="10"/>
        <w:rPr>
          <w:b/>
          <w:sz w:val="40"/>
        </w:rPr>
      </w:pPr>
    </w:p>
    <w:p>
      <w:pPr>
        <w:pStyle w:val="Heading5"/>
        <w:spacing w:line="360" w:lineRule="auto"/>
        <w:ind w:left="700" w:right="1081"/>
      </w:pPr>
      <w:bookmarkStart w:name="NHS North Lincolnshire CCG is not requir" w:id="176"/>
      <w:bookmarkEnd w:id="176"/>
      <w:r>
        <w:rPr/>
      </w:r>
      <w:r>
        <w:rPr/>
        <w:t>NHS North Lincolnshire CCG is not required to produce a Parliamentary Accountability and Audit Report. Disclosures on remote contingent liabilities, losses and special payments, gifts, and fees and charges are included as notes in the Financial Statements of this report at page 27. An audit certificate and report is also included in this Annual Report at page 28 of the Annual Accounts Section.</w:t>
      </w:r>
    </w:p>
    <w:p>
      <w:pPr>
        <w:spacing w:after="0" w:line="360" w:lineRule="auto"/>
        <w:sectPr>
          <w:pgSz w:w="11920" w:h="16850"/>
          <w:pgMar w:header="0" w:footer="2519" w:top="1360" w:bottom="2700" w:left="740" w:right="520"/>
        </w:sectPr>
      </w:pPr>
    </w:p>
    <w:p>
      <w:pPr>
        <w:spacing w:before="59"/>
        <w:ind w:left="700" w:right="0" w:firstLine="0"/>
        <w:jc w:val="both"/>
        <w:rPr>
          <w:b/>
          <w:sz w:val="72"/>
        </w:rPr>
      </w:pPr>
      <w:bookmarkStart w:name="_bookmark19" w:id="177"/>
      <w:bookmarkEnd w:id="177"/>
      <w:r>
        <w:rPr/>
      </w:r>
      <w:r>
        <w:rPr>
          <w:b/>
          <w:sz w:val="72"/>
        </w:rPr>
        <w:t>ANNUAL ACCOUNTS</w:t>
      </w:r>
    </w:p>
    <w:p>
      <w:pPr>
        <w:pStyle w:val="BodyText"/>
        <w:rPr>
          <w:b/>
          <w:sz w:val="80"/>
        </w:rPr>
      </w:pPr>
    </w:p>
    <w:p>
      <w:pPr>
        <w:pStyle w:val="BodyText"/>
        <w:rPr>
          <w:b/>
          <w:sz w:val="80"/>
        </w:rPr>
      </w:pPr>
    </w:p>
    <w:p>
      <w:pPr>
        <w:pStyle w:val="BodyText"/>
        <w:rPr>
          <w:b/>
          <w:sz w:val="80"/>
        </w:rPr>
      </w:pPr>
    </w:p>
    <w:p>
      <w:pPr>
        <w:spacing w:line="320" w:lineRule="exact" w:before="0"/>
        <w:ind w:left="463" w:right="740" w:firstLine="0"/>
        <w:jc w:val="center"/>
        <w:rPr>
          <w:b/>
          <w:sz w:val="28"/>
        </w:rPr>
      </w:pPr>
      <w:r>
        <w:rPr>
          <w:b/>
          <w:sz w:val="28"/>
        </w:rPr>
        <w:t>Foreword to the Accounts</w:t>
      </w:r>
    </w:p>
    <w:p>
      <w:pPr>
        <w:pStyle w:val="BodyText"/>
        <w:ind w:left="555" w:right="835" w:firstLine="1"/>
        <w:jc w:val="center"/>
      </w:pPr>
      <w:r>
        <w:rPr/>
        <w:t>These accounts for the year ended 31</w:t>
      </w:r>
      <w:r>
        <w:rPr>
          <w:position w:val="8"/>
          <w:sz w:val="14"/>
        </w:rPr>
        <w:t>st </w:t>
      </w:r>
      <w:r>
        <w:rPr/>
        <w:t>March 2022 have been prepared by the NHS North Lincolnshire Clinical Commissioning Group in accordance with the Department of Health Group Accounting Manual 2021/22 and NHS England SharePoint Finance Guidance Library.</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5"/>
        <w:rPr>
          <w:sz w:val="28"/>
        </w:rPr>
      </w:pPr>
    </w:p>
    <w:p>
      <w:pPr>
        <w:pStyle w:val="Heading5"/>
        <w:ind w:left="700"/>
        <w:jc w:val="both"/>
      </w:pPr>
      <w:r>
        <w:rPr/>
        <w:t>Emma Latimer</w:t>
      </w:r>
    </w:p>
    <w:p>
      <w:pPr>
        <w:pStyle w:val="BodyText"/>
        <w:rPr>
          <w:sz w:val="20"/>
        </w:rPr>
      </w:pPr>
    </w:p>
    <w:p>
      <w:pPr>
        <w:pStyle w:val="BodyText"/>
        <w:spacing w:before="6"/>
        <w:rPr>
          <w:sz w:val="11"/>
        </w:rPr>
      </w:pPr>
      <w:r>
        <w:rPr/>
        <w:drawing>
          <wp:anchor distT="0" distB="0" distL="0" distR="0" allowOverlap="1" layoutInCell="1" locked="0" behindDoc="0" simplePos="0" relativeHeight="25">
            <wp:simplePos x="0" y="0"/>
            <wp:positionH relativeFrom="page">
              <wp:posOffset>946062</wp:posOffset>
            </wp:positionH>
            <wp:positionV relativeFrom="paragraph">
              <wp:posOffset>109229</wp:posOffset>
            </wp:positionV>
            <wp:extent cx="1518625" cy="381000"/>
            <wp:effectExtent l="0" t="0" r="0" b="0"/>
            <wp:wrapTopAndBottom/>
            <wp:docPr id="25" name="image4.png" descr="cid:image001.jpg@01D23C15.E085F1A0"/>
            <wp:cNvGraphicFramePr>
              <a:graphicFrameLocks noChangeAspect="1"/>
            </wp:cNvGraphicFramePr>
            <a:graphic>
              <a:graphicData uri="http://schemas.openxmlformats.org/drawingml/2006/picture">
                <pic:pic>
                  <pic:nvPicPr>
                    <pic:cNvPr id="26" name="image4.png"/>
                    <pic:cNvPicPr/>
                  </pic:nvPicPr>
                  <pic:blipFill>
                    <a:blip r:embed="rId12" cstate="print"/>
                    <a:stretch>
                      <a:fillRect/>
                    </a:stretch>
                  </pic:blipFill>
                  <pic:spPr>
                    <a:xfrm>
                      <a:off x="0" y="0"/>
                      <a:ext cx="1518625" cy="381000"/>
                    </a:xfrm>
                    <a:prstGeom prst="rect">
                      <a:avLst/>
                    </a:prstGeom>
                  </pic:spPr>
                </pic:pic>
              </a:graphicData>
            </a:graphic>
          </wp:anchor>
        </w:drawing>
      </w:r>
    </w:p>
    <w:p>
      <w:pPr>
        <w:pStyle w:val="BodyText"/>
        <w:spacing w:before="1"/>
        <w:rPr>
          <w:sz w:val="25"/>
        </w:rPr>
      </w:pPr>
    </w:p>
    <w:p>
      <w:pPr>
        <w:spacing w:line="463" w:lineRule="auto" w:before="1"/>
        <w:ind w:left="699" w:right="7826" w:firstLine="0"/>
        <w:jc w:val="both"/>
        <w:rPr>
          <w:sz w:val="24"/>
        </w:rPr>
      </w:pPr>
      <w:r>
        <w:rPr>
          <w:sz w:val="24"/>
        </w:rPr>
        <w:t>Accountable Officer Authorised for issue 20 June 2022</w:t>
      </w:r>
    </w:p>
    <w:p>
      <w:pPr>
        <w:spacing w:after="0" w:line="463" w:lineRule="auto"/>
        <w:jc w:val="both"/>
        <w:rPr>
          <w:sz w:val="24"/>
        </w:rPr>
        <w:sectPr>
          <w:pgSz w:w="11920" w:h="16850"/>
          <w:pgMar w:header="0" w:footer="2519" w:top="1360" w:bottom="2700" w:left="740" w:right="520"/>
        </w:sectPr>
      </w:pPr>
    </w:p>
    <w:tbl>
      <w:tblPr>
        <w:tblW w:w="0" w:type="auto"/>
        <w:jc w:val="lef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28"/>
        <w:gridCol w:w="1909"/>
      </w:tblGrid>
      <w:tr>
        <w:trPr>
          <w:trHeight w:val="357" w:hRule="atLeast"/>
        </w:trPr>
        <w:tc>
          <w:tcPr>
            <w:tcW w:w="7928" w:type="dxa"/>
          </w:tcPr>
          <w:p>
            <w:pPr>
              <w:pStyle w:val="TableParagraph"/>
              <w:spacing w:line="217" w:lineRule="exact"/>
              <w:ind w:left="200"/>
              <w:rPr>
                <w:sz w:val="20"/>
              </w:rPr>
            </w:pPr>
            <w:r>
              <w:rPr>
                <w:sz w:val="20"/>
              </w:rPr>
              <w:t>NHS North Lincolnshire CCG - Annual Accounts 2021-22</w:t>
            </w:r>
          </w:p>
        </w:tc>
        <w:tc>
          <w:tcPr>
            <w:tcW w:w="1909" w:type="dxa"/>
          </w:tcPr>
          <w:p>
            <w:pPr>
              <w:pStyle w:val="TableParagraph"/>
              <w:rPr>
                <w:rFonts w:ascii="Times New Roman"/>
                <w:sz w:val="18"/>
              </w:rPr>
            </w:pPr>
          </w:p>
        </w:tc>
      </w:tr>
      <w:tr>
        <w:trPr>
          <w:trHeight w:val="493" w:hRule="atLeast"/>
        </w:trPr>
        <w:tc>
          <w:tcPr>
            <w:tcW w:w="7928" w:type="dxa"/>
          </w:tcPr>
          <w:p>
            <w:pPr>
              <w:pStyle w:val="TableParagraph"/>
              <w:spacing w:before="121"/>
              <w:ind w:left="200"/>
              <w:rPr>
                <w:b/>
                <w:sz w:val="20"/>
              </w:rPr>
            </w:pPr>
            <w:r>
              <w:rPr>
                <w:b/>
                <w:sz w:val="20"/>
              </w:rPr>
              <w:t>CONTENTS</w:t>
            </w:r>
          </w:p>
        </w:tc>
        <w:tc>
          <w:tcPr>
            <w:tcW w:w="1909" w:type="dxa"/>
          </w:tcPr>
          <w:p>
            <w:pPr>
              <w:pStyle w:val="TableParagraph"/>
              <w:spacing w:before="121"/>
              <w:ind w:left="400" w:right="178"/>
              <w:jc w:val="center"/>
              <w:rPr>
                <w:b/>
                <w:sz w:val="20"/>
              </w:rPr>
            </w:pPr>
            <w:r>
              <w:rPr>
                <w:b/>
                <w:sz w:val="20"/>
              </w:rPr>
              <w:t>Page Number</w:t>
            </w:r>
          </w:p>
        </w:tc>
      </w:tr>
      <w:tr>
        <w:trPr>
          <w:trHeight w:val="491" w:hRule="atLeast"/>
        </w:trPr>
        <w:tc>
          <w:tcPr>
            <w:tcW w:w="7928" w:type="dxa"/>
          </w:tcPr>
          <w:p>
            <w:pPr>
              <w:pStyle w:val="TableParagraph"/>
              <w:spacing w:before="122"/>
              <w:ind w:left="200"/>
              <w:rPr>
                <w:b/>
                <w:sz w:val="20"/>
              </w:rPr>
            </w:pPr>
            <w:r>
              <w:rPr>
                <w:b/>
                <w:sz w:val="20"/>
              </w:rPr>
              <w:t>The Primary Statements:</w:t>
            </w:r>
          </w:p>
        </w:tc>
        <w:tc>
          <w:tcPr>
            <w:tcW w:w="1909" w:type="dxa"/>
          </w:tcPr>
          <w:p>
            <w:pPr>
              <w:pStyle w:val="TableParagraph"/>
              <w:rPr>
                <w:rFonts w:ascii="Times New Roman"/>
                <w:sz w:val="18"/>
              </w:rPr>
            </w:pPr>
          </w:p>
        </w:tc>
      </w:tr>
      <w:tr>
        <w:trPr>
          <w:trHeight w:val="367" w:hRule="atLeast"/>
        </w:trPr>
        <w:tc>
          <w:tcPr>
            <w:tcW w:w="7928" w:type="dxa"/>
          </w:tcPr>
          <w:p>
            <w:pPr>
              <w:pStyle w:val="TableParagraph"/>
              <w:spacing w:line="227" w:lineRule="exact" w:before="120"/>
              <w:ind w:left="200"/>
              <w:rPr>
                <w:sz w:val="20"/>
              </w:rPr>
            </w:pPr>
            <w:r>
              <w:rPr>
                <w:sz w:val="20"/>
              </w:rPr>
              <w:t>Statement of Comprehensive Net Expenditure for the year ended 31st March 2022</w:t>
            </w:r>
          </w:p>
        </w:tc>
        <w:tc>
          <w:tcPr>
            <w:tcW w:w="1909" w:type="dxa"/>
          </w:tcPr>
          <w:p>
            <w:pPr>
              <w:pStyle w:val="TableParagraph"/>
              <w:spacing w:line="227" w:lineRule="exact" w:before="120"/>
              <w:ind w:left="225"/>
              <w:jc w:val="center"/>
              <w:rPr>
                <w:sz w:val="20"/>
              </w:rPr>
            </w:pPr>
            <w:r>
              <w:rPr>
                <w:w w:val="98"/>
                <w:sz w:val="20"/>
              </w:rPr>
              <w:t>1</w:t>
            </w:r>
          </w:p>
        </w:tc>
      </w:tr>
      <w:tr>
        <w:trPr>
          <w:trHeight w:val="246" w:hRule="atLeast"/>
        </w:trPr>
        <w:tc>
          <w:tcPr>
            <w:tcW w:w="7928" w:type="dxa"/>
          </w:tcPr>
          <w:p>
            <w:pPr>
              <w:pStyle w:val="TableParagraph"/>
              <w:spacing w:line="226" w:lineRule="exact"/>
              <w:ind w:left="200"/>
              <w:rPr>
                <w:sz w:val="20"/>
              </w:rPr>
            </w:pPr>
            <w:r>
              <w:rPr>
                <w:sz w:val="20"/>
              </w:rPr>
              <w:t>Statement of Financial Position as at 31st March 2022</w:t>
            </w:r>
          </w:p>
        </w:tc>
        <w:tc>
          <w:tcPr>
            <w:tcW w:w="1909" w:type="dxa"/>
          </w:tcPr>
          <w:p>
            <w:pPr>
              <w:pStyle w:val="TableParagraph"/>
              <w:spacing w:line="226" w:lineRule="exact"/>
              <w:ind w:left="225"/>
              <w:jc w:val="center"/>
              <w:rPr>
                <w:sz w:val="20"/>
              </w:rPr>
            </w:pPr>
            <w:r>
              <w:rPr>
                <w:w w:val="98"/>
                <w:sz w:val="20"/>
              </w:rPr>
              <w:t>2</w:t>
            </w:r>
          </w:p>
        </w:tc>
      </w:tr>
      <w:tr>
        <w:trPr>
          <w:trHeight w:val="250" w:hRule="atLeast"/>
        </w:trPr>
        <w:tc>
          <w:tcPr>
            <w:tcW w:w="7928" w:type="dxa"/>
          </w:tcPr>
          <w:p>
            <w:pPr>
              <w:pStyle w:val="TableParagraph"/>
              <w:spacing w:line="229" w:lineRule="exact"/>
              <w:ind w:left="200"/>
              <w:rPr>
                <w:sz w:val="20"/>
              </w:rPr>
            </w:pPr>
            <w:r>
              <w:rPr>
                <w:sz w:val="20"/>
              </w:rPr>
              <w:t>Statement of Changes in Taxpayers' Equity for the year ended 31st March 2022</w:t>
            </w:r>
          </w:p>
        </w:tc>
        <w:tc>
          <w:tcPr>
            <w:tcW w:w="1909" w:type="dxa"/>
          </w:tcPr>
          <w:p>
            <w:pPr>
              <w:pStyle w:val="TableParagraph"/>
              <w:spacing w:line="229" w:lineRule="exact"/>
              <w:ind w:left="225"/>
              <w:jc w:val="center"/>
              <w:rPr>
                <w:sz w:val="20"/>
              </w:rPr>
            </w:pPr>
            <w:r>
              <w:rPr>
                <w:w w:val="98"/>
                <w:sz w:val="20"/>
              </w:rPr>
              <w:t>3</w:t>
            </w:r>
          </w:p>
        </w:tc>
      </w:tr>
      <w:tr>
        <w:trPr>
          <w:trHeight w:val="373" w:hRule="atLeast"/>
        </w:trPr>
        <w:tc>
          <w:tcPr>
            <w:tcW w:w="7928" w:type="dxa"/>
          </w:tcPr>
          <w:p>
            <w:pPr>
              <w:pStyle w:val="TableParagraph"/>
              <w:spacing w:before="2"/>
              <w:ind w:left="200"/>
              <w:rPr>
                <w:sz w:val="20"/>
              </w:rPr>
            </w:pPr>
            <w:r>
              <w:rPr>
                <w:sz w:val="20"/>
              </w:rPr>
              <w:t>Statement of Cash Flows for the year ended 31st March 2022</w:t>
            </w:r>
          </w:p>
        </w:tc>
        <w:tc>
          <w:tcPr>
            <w:tcW w:w="1909" w:type="dxa"/>
          </w:tcPr>
          <w:p>
            <w:pPr>
              <w:pStyle w:val="TableParagraph"/>
              <w:spacing w:before="2"/>
              <w:ind w:left="225"/>
              <w:jc w:val="center"/>
              <w:rPr>
                <w:sz w:val="20"/>
              </w:rPr>
            </w:pPr>
            <w:r>
              <w:rPr>
                <w:w w:val="98"/>
                <w:sz w:val="20"/>
              </w:rPr>
              <w:t>4</w:t>
            </w:r>
          </w:p>
        </w:tc>
      </w:tr>
      <w:tr>
        <w:trPr>
          <w:trHeight w:val="610" w:hRule="atLeast"/>
        </w:trPr>
        <w:tc>
          <w:tcPr>
            <w:tcW w:w="7928" w:type="dxa"/>
          </w:tcPr>
          <w:p>
            <w:pPr>
              <w:pStyle w:val="TableParagraph"/>
              <w:spacing w:before="121"/>
              <w:ind w:left="200"/>
              <w:rPr>
                <w:b/>
                <w:sz w:val="20"/>
              </w:rPr>
            </w:pPr>
            <w:r>
              <w:rPr>
                <w:b/>
                <w:sz w:val="20"/>
              </w:rPr>
              <w:t>Notes to the Accounts</w:t>
            </w:r>
          </w:p>
          <w:p>
            <w:pPr>
              <w:pStyle w:val="TableParagraph"/>
              <w:spacing w:line="229" w:lineRule="exact" w:before="10"/>
              <w:ind w:left="200"/>
              <w:rPr>
                <w:sz w:val="20"/>
              </w:rPr>
            </w:pPr>
            <w:r>
              <w:rPr>
                <w:sz w:val="20"/>
              </w:rPr>
              <w:t>Accounting policies</w:t>
            </w:r>
          </w:p>
        </w:tc>
        <w:tc>
          <w:tcPr>
            <w:tcW w:w="1909" w:type="dxa"/>
          </w:tcPr>
          <w:p>
            <w:pPr>
              <w:pStyle w:val="TableParagraph"/>
              <w:spacing w:before="7"/>
              <w:rPr>
                <w:sz w:val="31"/>
              </w:rPr>
            </w:pPr>
          </w:p>
          <w:p>
            <w:pPr>
              <w:pStyle w:val="TableParagraph"/>
              <w:spacing w:line="227" w:lineRule="exact"/>
              <w:ind w:left="400" w:right="178"/>
              <w:jc w:val="center"/>
              <w:rPr>
                <w:sz w:val="20"/>
              </w:rPr>
            </w:pPr>
            <w:r>
              <w:rPr>
                <w:sz w:val="20"/>
              </w:rPr>
              <w:t>5 to 8</w:t>
            </w:r>
          </w:p>
        </w:tc>
      </w:tr>
      <w:tr>
        <w:trPr>
          <w:trHeight w:val="246" w:hRule="atLeast"/>
        </w:trPr>
        <w:tc>
          <w:tcPr>
            <w:tcW w:w="7928" w:type="dxa"/>
          </w:tcPr>
          <w:p>
            <w:pPr>
              <w:pStyle w:val="TableParagraph"/>
              <w:spacing w:line="226" w:lineRule="exact"/>
              <w:ind w:left="200"/>
              <w:rPr>
                <w:sz w:val="20"/>
              </w:rPr>
            </w:pPr>
            <w:r>
              <w:rPr>
                <w:sz w:val="20"/>
              </w:rPr>
              <w:t>Other operating revenue</w:t>
            </w:r>
          </w:p>
        </w:tc>
        <w:tc>
          <w:tcPr>
            <w:tcW w:w="1909" w:type="dxa"/>
          </w:tcPr>
          <w:p>
            <w:pPr>
              <w:pStyle w:val="TableParagraph"/>
              <w:spacing w:line="226" w:lineRule="exact"/>
              <w:ind w:left="225"/>
              <w:jc w:val="center"/>
              <w:rPr>
                <w:sz w:val="20"/>
              </w:rPr>
            </w:pPr>
            <w:r>
              <w:rPr>
                <w:w w:val="98"/>
                <w:sz w:val="20"/>
              </w:rPr>
              <w:t>9</w:t>
            </w:r>
          </w:p>
        </w:tc>
      </w:tr>
      <w:tr>
        <w:trPr>
          <w:trHeight w:val="247" w:hRule="atLeast"/>
        </w:trPr>
        <w:tc>
          <w:tcPr>
            <w:tcW w:w="7928" w:type="dxa"/>
          </w:tcPr>
          <w:p>
            <w:pPr>
              <w:pStyle w:val="TableParagraph"/>
              <w:spacing w:line="227" w:lineRule="exact"/>
              <w:ind w:left="200"/>
              <w:rPr>
                <w:sz w:val="20"/>
              </w:rPr>
            </w:pPr>
            <w:r>
              <w:rPr>
                <w:sz w:val="20"/>
              </w:rPr>
              <w:t>Revenue</w:t>
            </w:r>
          </w:p>
        </w:tc>
        <w:tc>
          <w:tcPr>
            <w:tcW w:w="1909" w:type="dxa"/>
          </w:tcPr>
          <w:p>
            <w:pPr>
              <w:pStyle w:val="TableParagraph"/>
              <w:spacing w:line="227" w:lineRule="exact"/>
              <w:ind w:left="400" w:right="178"/>
              <w:jc w:val="center"/>
              <w:rPr>
                <w:sz w:val="20"/>
              </w:rPr>
            </w:pPr>
            <w:r>
              <w:rPr>
                <w:sz w:val="20"/>
              </w:rPr>
              <w:t>10</w:t>
            </w:r>
          </w:p>
        </w:tc>
      </w:tr>
      <w:tr>
        <w:trPr>
          <w:trHeight w:val="247" w:hRule="atLeast"/>
        </w:trPr>
        <w:tc>
          <w:tcPr>
            <w:tcW w:w="7928" w:type="dxa"/>
          </w:tcPr>
          <w:p>
            <w:pPr>
              <w:pStyle w:val="TableParagraph"/>
              <w:spacing w:line="227" w:lineRule="exact"/>
              <w:ind w:left="200"/>
              <w:rPr>
                <w:sz w:val="20"/>
              </w:rPr>
            </w:pPr>
            <w:r>
              <w:rPr>
                <w:sz w:val="20"/>
              </w:rPr>
              <w:t>Employee benefits and staff numbers</w:t>
            </w:r>
          </w:p>
        </w:tc>
        <w:tc>
          <w:tcPr>
            <w:tcW w:w="1909" w:type="dxa"/>
          </w:tcPr>
          <w:p>
            <w:pPr>
              <w:pStyle w:val="TableParagraph"/>
              <w:spacing w:line="227" w:lineRule="exact"/>
              <w:ind w:left="399" w:right="178"/>
              <w:jc w:val="center"/>
              <w:rPr>
                <w:sz w:val="20"/>
              </w:rPr>
            </w:pPr>
            <w:r>
              <w:rPr>
                <w:sz w:val="20"/>
              </w:rPr>
              <w:t>11 to 13</w:t>
            </w:r>
          </w:p>
        </w:tc>
      </w:tr>
      <w:tr>
        <w:trPr>
          <w:trHeight w:val="247" w:hRule="atLeast"/>
        </w:trPr>
        <w:tc>
          <w:tcPr>
            <w:tcW w:w="7928" w:type="dxa"/>
          </w:tcPr>
          <w:p>
            <w:pPr>
              <w:pStyle w:val="TableParagraph"/>
              <w:spacing w:line="227" w:lineRule="exact"/>
              <w:ind w:left="200"/>
              <w:rPr>
                <w:sz w:val="20"/>
              </w:rPr>
            </w:pPr>
            <w:r>
              <w:rPr>
                <w:sz w:val="20"/>
              </w:rPr>
              <w:t>Operating expenses</w:t>
            </w:r>
          </w:p>
        </w:tc>
        <w:tc>
          <w:tcPr>
            <w:tcW w:w="1909" w:type="dxa"/>
          </w:tcPr>
          <w:p>
            <w:pPr>
              <w:pStyle w:val="TableParagraph"/>
              <w:spacing w:line="227" w:lineRule="exact"/>
              <w:ind w:left="400" w:right="178"/>
              <w:jc w:val="center"/>
              <w:rPr>
                <w:sz w:val="20"/>
              </w:rPr>
            </w:pPr>
            <w:r>
              <w:rPr>
                <w:sz w:val="20"/>
              </w:rPr>
              <w:t>14</w:t>
            </w:r>
          </w:p>
        </w:tc>
      </w:tr>
      <w:tr>
        <w:trPr>
          <w:trHeight w:val="247" w:hRule="atLeast"/>
        </w:trPr>
        <w:tc>
          <w:tcPr>
            <w:tcW w:w="7928" w:type="dxa"/>
          </w:tcPr>
          <w:p>
            <w:pPr>
              <w:pStyle w:val="TableParagraph"/>
              <w:spacing w:line="227" w:lineRule="exact"/>
              <w:ind w:left="200"/>
              <w:rPr>
                <w:sz w:val="20"/>
              </w:rPr>
            </w:pPr>
            <w:r>
              <w:rPr>
                <w:sz w:val="20"/>
              </w:rPr>
              <w:t>Better payment practice code</w:t>
            </w:r>
          </w:p>
        </w:tc>
        <w:tc>
          <w:tcPr>
            <w:tcW w:w="1909" w:type="dxa"/>
          </w:tcPr>
          <w:p>
            <w:pPr>
              <w:pStyle w:val="TableParagraph"/>
              <w:spacing w:line="227" w:lineRule="exact"/>
              <w:ind w:left="400" w:right="178"/>
              <w:jc w:val="center"/>
              <w:rPr>
                <w:sz w:val="20"/>
              </w:rPr>
            </w:pPr>
            <w:r>
              <w:rPr>
                <w:sz w:val="20"/>
              </w:rPr>
              <w:t>15</w:t>
            </w:r>
          </w:p>
        </w:tc>
      </w:tr>
      <w:tr>
        <w:trPr>
          <w:trHeight w:val="247" w:hRule="atLeast"/>
        </w:trPr>
        <w:tc>
          <w:tcPr>
            <w:tcW w:w="7928" w:type="dxa"/>
          </w:tcPr>
          <w:p>
            <w:pPr>
              <w:pStyle w:val="TableParagraph"/>
              <w:spacing w:line="227" w:lineRule="exact"/>
              <w:ind w:left="200"/>
              <w:rPr>
                <w:sz w:val="20"/>
              </w:rPr>
            </w:pPr>
            <w:r>
              <w:rPr>
                <w:sz w:val="20"/>
              </w:rPr>
              <w:t>Operating leases</w:t>
            </w:r>
          </w:p>
        </w:tc>
        <w:tc>
          <w:tcPr>
            <w:tcW w:w="1909" w:type="dxa"/>
          </w:tcPr>
          <w:p>
            <w:pPr>
              <w:pStyle w:val="TableParagraph"/>
              <w:spacing w:line="227" w:lineRule="exact"/>
              <w:ind w:left="400" w:right="178"/>
              <w:jc w:val="center"/>
              <w:rPr>
                <w:sz w:val="20"/>
              </w:rPr>
            </w:pPr>
            <w:r>
              <w:rPr>
                <w:sz w:val="20"/>
              </w:rPr>
              <w:t>16</w:t>
            </w:r>
          </w:p>
        </w:tc>
      </w:tr>
      <w:tr>
        <w:trPr>
          <w:trHeight w:val="247" w:hRule="atLeast"/>
        </w:trPr>
        <w:tc>
          <w:tcPr>
            <w:tcW w:w="7928" w:type="dxa"/>
          </w:tcPr>
          <w:p>
            <w:pPr>
              <w:pStyle w:val="TableParagraph"/>
              <w:spacing w:line="227" w:lineRule="exact"/>
              <w:ind w:left="200"/>
              <w:rPr>
                <w:sz w:val="20"/>
              </w:rPr>
            </w:pPr>
            <w:r>
              <w:rPr>
                <w:sz w:val="20"/>
              </w:rPr>
              <w:t>Trade and other receivables</w:t>
            </w:r>
          </w:p>
        </w:tc>
        <w:tc>
          <w:tcPr>
            <w:tcW w:w="1909" w:type="dxa"/>
          </w:tcPr>
          <w:p>
            <w:pPr>
              <w:pStyle w:val="TableParagraph"/>
              <w:spacing w:line="227" w:lineRule="exact"/>
              <w:ind w:left="400" w:right="178"/>
              <w:jc w:val="center"/>
              <w:rPr>
                <w:sz w:val="20"/>
              </w:rPr>
            </w:pPr>
            <w:r>
              <w:rPr>
                <w:sz w:val="20"/>
              </w:rPr>
              <w:t>17</w:t>
            </w:r>
          </w:p>
        </w:tc>
      </w:tr>
      <w:tr>
        <w:trPr>
          <w:trHeight w:val="247" w:hRule="atLeast"/>
        </w:trPr>
        <w:tc>
          <w:tcPr>
            <w:tcW w:w="7928" w:type="dxa"/>
          </w:tcPr>
          <w:p>
            <w:pPr>
              <w:pStyle w:val="TableParagraph"/>
              <w:spacing w:line="227" w:lineRule="exact"/>
              <w:ind w:left="200"/>
              <w:rPr>
                <w:sz w:val="20"/>
              </w:rPr>
            </w:pPr>
            <w:r>
              <w:rPr>
                <w:sz w:val="20"/>
              </w:rPr>
              <w:t>Cash and cash equivalents</w:t>
            </w:r>
          </w:p>
        </w:tc>
        <w:tc>
          <w:tcPr>
            <w:tcW w:w="1909" w:type="dxa"/>
          </w:tcPr>
          <w:p>
            <w:pPr>
              <w:pStyle w:val="TableParagraph"/>
              <w:spacing w:line="227" w:lineRule="exact"/>
              <w:ind w:left="400" w:right="178"/>
              <w:jc w:val="center"/>
              <w:rPr>
                <w:sz w:val="20"/>
              </w:rPr>
            </w:pPr>
            <w:r>
              <w:rPr>
                <w:sz w:val="20"/>
              </w:rPr>
              <w:t>18</w:t>
            </w:r>
          </w:p>
        </w:tc>
      </w:tr>
      <w:tr>
        <w:trPr>
          <w:trHeight w:val="247" w:hRule="atLeast"/>
        </w:trPr>
        <w:tc>
          <w:tcPr>
            <w:tcW w:w="7928" w:type="dxa"/>
          </w:tcPr>
          <w:p>
            <w:pPr>
              <w:pStyle w:val="TableParagraph"/>
              <w:spacing w:line="227" w:lineRule="exact"/>
              <w:ind w:left="200"/>
              <w:rPr>
                <w:sz w:val="20"/>
              </w:rPr>
            </w:pPr>
            <w:r>
              <w:rPr>
                <w:sz w:val="20"/>
              </w:rPr>
              <w:t>Trade and other payables</w:t>
            </w:r>
          </w:p>
        </w:tc>
        <w:tc>
          <w:tcPr>
            <w:tcW w:w="1909" w:type="dxa"/>
          </w:tcPr>
          <w:p>
            <w:pPr>
              <w:pStyle w:val="TableParagraph"/>
              <w:spacing w:line="227" w:lineRule="exact"/>
              <w:ind w:left="400" w:right="178"/>
              <w:jc w:val="center"/>
              <w:rPr>
                <w:sz w:val="20"/>
              </w:rPr>
            </w:pPr>
            <w:r>
              <w:rPr>
                <w:sz w:val="20"/>
              </w:rPr>
              <w:t>19</w:t>
            </w:r>
          </w:p>
        </w:tc>
      </w:tr>
      <w:tr>
        <w:trPr>
          <w:trHeight w:val="247" w:hRule="atLeast"/>
        </w:trPr>
        <w:tc>
          <w:tcPr>
            <w:tcW w:w="7928" w:type="dxa"/>
          </w:tcPr>
          <w:p>
            <w:pPr>
              <w:pStyle w:val="TableParagraph"/>
              <w:spacing w:line="227" w:lineRule="exact"/>
              <w:ind w:left="200"/>
              <w:rPr>
                <w:sz w:val="20"/>
              </w:rPr>
            </w:pPr>
            <w:r>
              <w:rPr>
                <w:sz w:val="20"/>
              </w:rPr>
              <w:t>Financial instruments</w:t>
            </w:r>
          </w:p>
        </w:tc>
        <w:tc>
          <w:tcPr>
            <w:tcW w:w="1909" w:type="dxa"/>
          </w:tcPr>
          <w:p>
            <w:pPr>
              <w:pStyle w:val="TableParagraph"/>
              <w:spacing w:line="227" w:lineRule="exact"/>
              <w:ind w:left="399" w:right="178"/>
              <w:jc w:val="center"/>
              <w:rPr>
                <w:sz w:val="20"/>
              </w:rPr>
            </w:pPr>
            <w:r>
              <w:rPr>
                <w:sz w:val="20"/>
              </w:rPr>
              <w:t>20 to 21</w:t>
            </w:r>
          </w:p>
        </w:tc>
      </w:tr>
      <w:tr>
        <w:trPr>
          <w:trHeight w:val="247" w:hRule="atLeast"/>
        </w:trPr>
        <w:tc>
          <w:tcPr>
            <w:tcW w:w="7928" w:type="dxa"/>
          </w:tcPr>
          <w:p>
            <w:pPr>
              <w:pStyle w:val="TableParagraph"/>
              <w:spacing w:line="227" w:lineRule="exact"/>
              <w:ind w:left="200"/>
              <w:rPr>
                <w:sz w:val="20"/>
              </w:rPr>
            </w:pPr>
            <w:r>
              <w:rPr>
                <w:sz w:val="20"/>
              </w:rPr>
              <w:t>Contingent Liabilities</w:t>
            </w:r>
          </w:p>
        </w:tc>
        <w:tc>
          <w:tcPr>
            <w:tcW w:w="1909" w:type="dxa"/>
          </w:tcPr>
          <w:p>
            <w:pPr>
              <w:pStyle w:val="TableParagraph"/>
              <w:spacing w:line="227" w:lineRule="exact"/>
              <w:ind w:left="400" w:right="178"/>
              <w:jc w:val="center"/>
              <w:rPr>
                <w:sz w:val="20"/>
              </w:rPr>
            </w:pPr>
            <w:r>
              <w:rPr>
                <w:sz w:val="20"/>
              </w:rPr>
              <w:t>22</w:t>
            </w:r>
          </w:p>
        </w:tc>
      </w:tr>
      <w:tr>
        <w:trPr>
          <w:trHeight w:val="247" w:hRule="atLeast"/>
        </w:trPr>
        <w:tc>
          <w:tcPr>
            <w:tcW w:w="7928" w:type="dxa"/>
          </w:tcPr>
          <w:p>
            <w:pPr>
              <w:pStyle w:val="TableParagraph"/>
              <w:spacing w:line="227" w:lineRule="exact"/>
              <w:ind w:left="200"/>
              <w:rPr>
                <w:sz w:val="20"/>
              </w:rPr>
            </w:pPr>
            <w:r>
              <w:rPr>
                <w:sz w:val="20"/>
              </w:rPr>
              <w:t>Operating segments</w:t>
            </w:r>
          </w:p>
        </w:tc>
        <w:tc>
          <w:tcPr>
            <w:tcW w:w="1909" w:type="dxa"/>
          </w:tcPr>
          <w:p>
            <w:pPr>
              <w:pStyle w:val="TableParagraph"/>
              <w:spacing w:line="227" w:lineRule="exact"/>
              <w:ind w:left="400" w:right="178"/>
              <w:jc w:val="center"/>
              <w:rPr>
                <w:sz w:val="20"/>
              </w:rPr>
            </w:pPr>
            <w:r>
              <w:rPr>
                <w:sz w:val="20"/>
              </w:rPr>
              <w:t>22</w:t>
            </w:r>
          </w:p>
        </w:tc>
      </w:tr>
      <w:tr>
        <w:trPr>
          <w:trHeight w:val="246" w:hRule="atLeast"/>
        </w:trPr>
        <w:tc>
          <w:tcPr>
            <w:tcW w:w="7928" w:type="dxa"/>
          </w:tcPr>
          <w:p>
            <w:pPr>
              <w:pStyle w:val="TableParagraph"/>
              <w:spacing w:line="226" w:lineRule="exact"/>
              <w:ind w:left="200"/>
              <w:rPr>
                <w:sz w:val="20"/>
              </w:rPr>
            </w:pPr>
            <w:r>
              <w:rPr>
                <w:sz w:val="20"/>
              </w:rPr>
              <w:t>Pooled Budgets</w:t>
            </w:r>
          </w:p>
        </w:tc>
        <w:tc>
          <w:tcPr>
            <w:tcW w:w="1909" w:type="dxa"/>
          </w:tcPr>
          <w:p>
            <w:pPr>
              <w:pStyle w:val="TableParagraph"/>
              <w:spacing w:line="226" w:lineRule="exact"/>
              <w:ind w:left="400" w:right="178"/>
              <w:jc w:val="center"/>
              <w:rPr>
                <w:sz w:val="20"/>
              </w:rPr>
            </w:pPr>
            <w:r>
              <w:rPr>
                <w:sz w:val="20"/>
              </w:rPr>
              <w:t>22</w:t>
            </w:r>
          </w:p>
        </w:tc>
      </w:tr>
      <w:tr>
        <w:trPr>
          <w:trHeight w:val="246" w:hRule="atLeast"/>
        </w:trPr>
        <w:tc>
          <w:tcPr>
            <w:tcW w:w="7928" w:type="dxa"/>
          </w:tcPr>
          <w:p>
            <w:pPr>
              <w:pStyle w:val="TableParagraph"/>
              <w:spacing w:line="226" w:lineRule="exact"/>
              <w:ind w:left="200"/>
              <w:rPr>
                <w:sz w:val="20"/>
              </w:rPr>
            </w:pPr>
            <w:r>
              <w:rPr>
                <w:sz w:val="20"/>
              </w:rPr>
              <w:t>Related party transactions</w:t>
            </w:r>
          </w:p>
        </w:tc>
        <w:tc>
          <w:tcPr>
            <w:tcW w:w="1909" w:type="dxa"/>
          </w:tcPr>
          <w:p>
            <w:pPr>
              <w:pStyle w:val="TableParagraph"/>
              <w:spacing w:line="226" w:lineRule="exact"/>
              <w:ind w:left="399" w:right="178"/>
              <w:jc w:val="center"/>
              <w:rPr>
                <w:sz w:val="20"/>
              </w:rPr>
            </w:pPr>
            <w:r>
              <w:rPr>
                <w:sz w:val="20"/>
              </w:rPr>
              <w:t>23 to 26</w:t>
            </w:r>
          </w:p>
        </w:tc>
      </w:tr>
      <w:tr>
        <w:trPr>
          <w:trHeight w:val="247" w:hRule="atLeast"/>
        </w:trPr>
        <w:tc>
          <w:tcPr>
            <w:tcW w:w="7928" w:type="dxa"/>
          </w:tcPr>
          <w:p>
            <w:pPr>
              <w:pStyle w:val="TableParagraph"/>
              <w:spacing w:line="227" w:lineRule="exact"/>
              <w:ind w:left="200"/>
              <w:rPr>
                <w:sz w:val="20"/>
              </w:rPr>
            </w:pPr>
            <w:r>
              <w:rPr>
                <w:sz w:val="20"/>
              </w:rPr>
              <w:t>Events after the end of the reporting period</w:t>
            </w:r>
          </w:p>
        </w:tc>
        <w:tc>
          <w:tcPr>
            <w:tcW w:w="1909" w:type="dxa"/>
          </w:tcPr>
          <w:p>
            <w:pPr>
              <w:pStyle w:val="TableParagraph"/>
              <w:spacing w:line="227" w:lineRule="exact"/>
              <w:ind w:left="400" w:right="178"/>
              <w:jc w:val="center"/>
              <w:rPr>
                <w:sz w:val="20"/>
              </w:rPr>
            </w:pPr>
            <w:r>
              <w:rPr>
                <w:sz w:val="20"/>
              </w:rPr>
              <w:t>27</w:t>
            </w:r>
          </w:p>
        </w:tc>
      </w:tr>
      <w:tr>
        <w:trPr>
          <w:trHeight w:val="247" w:hRule="atLeast"/>
        </w:trPr>
        <w:tc>
          <w:tcPr>
            <w:tcW w:w="7928" w:type="dxa"/>
          </w:tcPr>
          <w:p>
            <w:pPr>
              <w:pStyle w:val="TableParagraph"/>
              <w:spacing w:line="227" w:lineRule="exact"/>
              <w:ind w:left="200"/>
              <w:rPr>
                <w:sz w:val="20"/>
              </w:rPr>
            </w:pPr>
            <w:r>
              <w:rPr>
                <w:sz w:val="20"/>
              </w:rPr>
              <w:t>Financial performance targets</w:t>
            </w:r>
          </w:p>
        </w:tc>
        <w:tc>
          <w:tcPr>
            <w:tcW w:w="1909" w:type="dxa"/>
          </w:tcPr>
          <w:p>
            <w:pPr>
              <w:pStyle w:val="TableParagraph"/>
              <w:spacing w:line="227" w:lineRule="exact"/>
              <w:ind w:left="400" w:right="178"/>
              <w:jc w:val="center"/>
              <w:rPr>
                <w:sz w:val="20"/>
              </w:rPr>
            </w:pPr>
            <w:r>
              <w:rPr>
                <w:sz w:val="20"/>
              </w:rPr>
              <w:t>27</w:t>
            </w:r>
          </w:p>
        </w:tc>
      </w:tr>
      <w:tr>
        <w:trPr>
          <w:trHeight w:val="247" w:hRule="atLeast"/>
        </w:trPr>
        <w:tc>
          <w:tcPr>
            <w:tcW w:w="7928" w:type="dxa"/>
          </w:tcPr>
          <w:p>
            <w:pPr>
              <w:pStyle w:val="TableParagraph"/>
              <w:spacing w:line="227" w:lineRule="exact"/>
              <w:ind w:left="200"/>
              <w:rPr>
                <w:sz w:val="20"/>
              </w:rPr>
            </w:pPr>
            <w:r>
              <w:rPr>
                <w:sz w:val="20"/>
              </w:rPr>
              <w:t>Losses and special payments</w:t>
            </w:r>
          </w:p>
        </w:tc>
        <w:tc>
          <w:tcPr>
            <w:tcW w:w="1909" w:type="dxa"/>
          </w:tcPr>
          <w:p>
            <w:pPr>
              <w:pStyle w:val="TableParagraph"/>
              <w:spacing w:line="227" w:lineRule="exact"/>
              <w:ind w:left="400" w:right="178"/>
              <w:jc w:val="center"/>
              <w:rPr>
                <w:sz w:val="20"/>
              </w:rPr>
            </w:pPr>
            <w:r>
              <w:rPr>
                <w:sz w:val="20"/>
              </w:rPr>
              <w:t>27</w:t>
            </w:r>
          </w:p>
        </w:tc>
      </w:tr>
      <w:tr>
        <w:trPr>
          <w:trHeight w:val="242" w:hRule="atLeast"/>
        </w:trPr>
        <w:tc>
          <w:tcPr>
            <w:tcW w:w="7928" w:type="dxa"/>
          </w:tcPr>
          <w:p>
            <w:pPr>
              <w:pStyle w:val="TableParagraph"/>
              <w:spacing w:line="222" w:lineRule="exact"/>
              <w:ind w:left="200"/>
              <w:rPr>
                <w:sz w:val="20"/>
              </w:rPr>
            </w:pPr>
            <w:r>
              <w:rPr>
                <w:sz w:val="20"/>
              </w:rPr>
              <w:t>Continuing Healthcare Retrospective Claims: Accounting Treatment</w:t>
            </w:r>
          </w:p>
        </w:tc>
        <w:tc>
          <w:tcPr>
            <w:tcW w:w="1909" w:type="dxa"/>
          </w:tcPr>
          <w:p>
            <w:pPr>
              <w:pStyle w:val="TableParagraph"/>
              <w:spacing w:line="222" w:lineRule="exact"/>
              <w:ind w:left="400" w:right="178"/>
              <w:jc w:val="center"/>
              <w:rPr>
                <w:sz w:val="20"/>
              </w:rPr>
            </w:pPr>
            <w:r>
              <w:rPr>
                <w:sz w:val="20"/>
              </w:rPr>
              <w:t>27</w:t>
            </w:r>
          </w:p>
        </w:tc>
      </w:tr>
      <w:tr>
        <w:trPr>
          <w:trHeight w:val="230" w:hRule="atLeast"/>
        </w:trPr>
        <w:tc>
          <w:tcPr>
            <w:tcW w:w="7928" w:type="dxa"/>
          </w:tcPr>
          <w:p>
            <w:pPr>
              <w:pStyle w:val="TableParagraph"/>
              <w:spacing w:line="210" w:lineRule="exact"/>
              <w:ind w:left="200"/>
              <w:rPr>
                <w:sz w:val="20"/>
              </w:rPr>
            </w:pPr>
            <w:r>
              <w:rPr>
                <w:sz w:val="20"/>
              </w:rPr>
              <w:t>Clinical Negligence Balances Accounting Treatment</w:t>
            </w:r>
          </w:p>
        </w:tc>
        <w:tc>
          <w:tcPr>
            <w:tcW w:w="1909" w:type="dxa"/>
          </w:tcPr>
          <w:p>
            <w:pPr>
              <w:pStyle w:val="TableParagraph"/>
              <w:spacing w:line="210" w:lineRule="exact"/>
              <w:ind w:left="400" w:right="178"/>
              <w:jc w:val="center"/>
              <w:rPr>
                <w:sz w:val="20"/>
              </w:rPr>
            </w:pPr>
            <w:r>
              <w:rPr>
                <w:sz w:val="20"/>
              </w:rPr>
              <w:t>27</w:t>
            </w:r>
          </w:p>
        </w:tc>
      </w:tr>
    </w:tbl>
    <w:p>
      <w:pPr>
        <w:spacing w:after="0" w:line="210" w:lineRule="exact"/>
        <w:jc w:val="center"/>
        <w:rPr>
          <w:sz w:val="20"/>
        </w:rPr>
        <w:sectPr>
          <w:footerReference w:type="default" r:id="rId47"/>
          <w:pgSz w:w="11920" w:h="16850"/>
          <w:pgMar w:footer="0" w:header="0" w:top="1080" w:bottom="280" w:left="740" w:right="520"/>
        </w:sectPr>
      </w:pPr>
    </w:p>
    <w:tbl>
      <w:tblPr>
        <w:tblW w:w="0" w:type="auto"/>
        <w:jc w:val="lef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63"/>
        <w:gridCol w:w="730"/>
        <w:gridCol w:w="1360"/>
        <w:gridCol w:w="153"/>
        <w:gridCol w:w="1360"/>
      </w:tblGrid>
      <w:tr>
        <w:trPr>
          <w:trHeight w:val="590" w:hRule="atLeast"/>
        </w:trPr>
        <w:tc>
          <w:tcPr>
            <w:tcW w:w="6163" w:type="dxa"/>
          </w:tcPr>
          <w:p>
            <w:pPr>
              <w:pStyle w:val="TableParagraph"/>
              <w:spacing w:line="175" w:lineRule="exact"/>
              <w:ind w:left="200"/>
              <w:rPr>
                <w:sz w:val="16"/>
              </w:rPr>
            </w:pPr>
            <w:r>
              <w:rPr>
                <w:sz w:val="16"/>
              </w:rPr>
              <w:t>NHS North Lincolnshire CCG - Annual Accounts 2021-22</w:t>
            </w:r>
          </w:p>
          <w:p>
            <w:pPr>
              <w:pStyle w:val="TableParagraph"/>
              <w:spacing w:before="5"/>
              <w:rPr>
                <w:sz w:val="18"/>
              </w:rPr>
            </w:pPr>
          </w:p>
          <w:p>
            <w:pPr>
              <w:pStyle w:val="TableParagraph"/>
              <w:spacing w:line="183" w:lineRule="exact"/>
              <w:ind w:left="200"/>
              <w:rPr>
                <w:b/>
                <w:sz w:val="16"/>
              </w:rPr>
            </w:pPr>
            <w:r>
              <w:rPr>
                <w:b/>
                <w:sz w:val="16"/>
              </w:rPr>
              <w:t>Statement of Comprehensive Net Expenditure for the year ended</w:t>
            </w:r>
          </w:p>
        </w:tc>
        <w:tc>
          <w:tcPr>
            <w:tcW w:w="730" w:type="dxa"/>
          </w:tcPr>
          <w:p>
            <w:pPr>
              <w:pStyle w:val="TableParagraph"/>
              <w:rPr>
                <w:rFonts w:ascii="Times New Roman"/>
                <w:sz w:val="16"/>
              </w:rPr>
            </w:pPr>
          </w:p>
        </w:tc>
        <w:tc>
          <w:tcPr>
            <w:tcW w:w="1360" w:type="dxa"/>
          </w:tcPr>
          <w:p>
            <w:pPr>
              <w:pStyle w:val="TableParagraph"/>
              <w:rPr>
                <w:rFonts w:ascii="Times New Roman"/>
                <w:sz w:val="16"/>
              </w:rPr>
            </w:pPr>
          </w:p>
        </w:tc>
        <w:tc>
          <w:tcPr>
            <w:tcW w:w="153" w:type="dxa"/>
          </w:tcPr>
          <w:p>
            <w:pPr>
              <w:pStyle w:val="TableParagraph"/>
              <w:rPr>
                <w:rFonts w:ascii="Times New Roman"/>
                <w:sz w:val="16"/>
              </w:rPr>
            </w:pPr>
          </w:p>
        </w:tc>
        <w:tc>
          <w:tcPr>
            <w:tcW w:w="1360" w:type="dxa"/>
          </w:tcPr>
          <w:p>
            <w:pPr>
              <w:pStyle w:val="TableParagraph"/>
              <w:rPr>
                <w:rFonts w:ascii="Times New Roman"/>
                <w:sz w:val="16"/>
              </w:rPr>
            </w:pPr>
          </w:p>
        </w:tc>
      </w:tr>
      <w:tr>
        <w:trPr>
          <w:trHeight w:val="302" w:hRule="atLeast"/>
        </w:trPr>
        <w:tc>
          <w:tcPr>
            <w:tcW w:w="6163" w:type="dxa"/>
          </w:tcPr>
          <w:p>
            <w:pPr>
              <w:pStyle w:val="TableParagraph"/>
              <w:spacing w:before="5"/>
              <w:ind w:left="200"/>
              <w:rPr>
                <w:b/>
                <w:sz w:val="16"/>
              </w:rPr>
            </w:pPr>
            <w:r>
              <w:rPr>
                <w:b/>
                <w:sz w:val="16"/>
              </w:rPr>
              <w:t>31 March 2022</w:t>
            </w:r>
          </w:p>
        </w:tc>
        <w:tc>
          <w:tcPr>
            <w:tcW w:w="730" w:type="dxa"/>
          </w:tcPr>
          <w:p>
            <w:pPr>
              <w:pStyle w:val="TableParagraph"/>
              <w:rPr>
                <w:rFonts w:ascii="Times New Roman"/>
                <w:sz w:val="16"/>
              </w:rPr>
            </w:pPr>
          </w:p>
        </w:tc>
        <w:tc>
          <w:tcPr>
            <w:tcW w:w="1360" w:type="dxa"/>
          </w:tcPr>
          <w:p>
            <w:pPr>
              <w:pStyle w:val="TableParagraph"/>
              <w:rPr>
                <w:rFonts w:ascii="Times New Roman"/>
                <w:sz w:val="16"/>
              </w:rPr>
            </w:pPr>
          </w:p>
        </w:tc>
        <w:tc>
          <w:tcPr>
            <w:tcW w:w="153" w:type="dxa"/>
          </w:tcPr>
          <w:p>
            <w:pPr>
              <w:pStyle w:val="TableParagraph"/>
              <w:rPr>
                <w:rFonts w:ascii="Times New Roman"/>
                <w:sz w:val="16"/>
              </w:rPr>
            </w:pPr>
          </w:p>
        </w:tc>
        <w:tc>
          <w:tcPr>
            <w:tcW w:w="1360" w:type="dxa"/>
          </w:tcPr>
          <w:p>
            <w:pPr>
              <w:pStyle w:val="TableParagraph"/>
              <w:rPr>
                <w:rFonts w:ascii="Times New Roman"/>
                <w:sz w:val="16"/>
              </w:rPr>
            </w:pPr>
          </w:p>
        </w:tc>
      </w:tr>
      <w:tr>
        <w:trPr>
          <w:trHeight w:val="302" w:hRule="atLeast"/>
        </w:trPr>
        <w:tc>
          <w:tcPr>
            <w:tcW w:w="6163" w:type="dxa"/>
          </w:tcPr>
          <w:p>
            <w:pPr>
              <w:pStyle w:val="TableParagraph"/>
              <w:rPr>
                <w:rFonts w:ascii="Times New Roman"/>
                <w:sz w:val="16"/>
              </w:rPr>
            </w:pPr>
          </w:p>
        </w:tc>
        <w:tc>
          <w:tcPr>
            <w:tcW w:w="730" w:type="dxa"/>
          </w:tcPr>
          <w:p>
            <w:pPr>
              <w:pStyle w:val="TableParagraph"/>
              <w:rPr>
                <w:rFonts w:ascii="Times New Roman"/>
                <w:sz w:val="16"/>
              </w:rPr>
            </w:pPr>
          </w:p>
        </w:tc>
        <w:tc>
          <w:tcPr>
            <w:tcW w:w="1360" w:type="dxa"/>
          </w:tcPr>
          <w:p>
            <w:pPr>
              <w:pStyle w:val="TableParagraph"/>
              <w:spacing w:line="183" w:lineRule="exact" w:before="99"/>
              <w:ind w:left="387"/>
              <w:rPr>
                <w:b/>
                <w:sz w:val="16"/>
              </w:rPr>
            </w:pPr>
            <w:r>
              <w:rPr>
                <w:b/>
                <w:sz w:val="16"/>
              </w:rPr>
              <w:t>2021-22</w:t>
            </w:r>
          </w:p>
        </w:tc>
        <w:tc>
          <w:tcPr>
            <w:tcW w:w="153" w:type="dxa"/>
          </w:tcPr>
          <w:p>
            <w:pPr>
              <w:pStyle w:val="TableParagraph"/>
              <w:rPr>
                <w:rFonts w:ascii="Times New Roman"/>
                <w:sz w:val="16"/>
              </w:rPr>
            </w:pPr>
          </w:p>
        </w:tc>
        <w:tc>
          <w:tcPr>
            <w:tcW w:w="1360" w:type="dxa"/>
          </w:tcPr>
          <w:p>
            <w:pPr>
              <w:pStyle w:val="TableParagraph"/>
              <w:spacing w:line="183" w:lineRule="exact" w:before="99"/>
              <w:ind w:left="386"/>
              <w:rPr>
                <w:sz w:val="16"/>
              </w:rPr>
            </w:pPr>
            <w:r>
              <w:rPr>
                <w:sz w:val="16"/>
              </w:rPr>
              <w:t>2020-21</w:t>
            </w:r>
          </w:p>
        </w:tc>
      </w:tr>
      <w:tr>
        <w:trPr>
          <w:trHeight w:val="302" w:hRule="atLeast"/>
        </w:trPr>
        <w:tc>
          <w:tcPr>
            <w:tcW w:w="6163" w:type="dxa"/>
          </w:tcPr>
          <w:p>
            <w:pPr>
              <w:pStyle w:val="TableParagraph"/>
              <w:rPr>
                <w:rFonts w:ascii="Times New Roman"/>
                <w:sz w:val="16"/>
              </w:rPr>
            </w:pPr>
          </w:p>
        </w:tc>
        <w:tc>
          <w:tcPr>
            <w:tcW w:w="730" w:type="dxa"/>
          </w:tcPr>
          <w:p>
            <w:pPr>
              <w:pStyle w:val="TableParagraph"/>
              <w:spacing w:before="5"/>
              <w:ind w:right="28"/>
              <w:jc w:val="right"/>
              <w:rPr>
                <w:b/>
                <w:sz w:val="16"/>
              </w:rPr>
            </w:pPr>
            <w:r>
              <w:rPr>
                <w:b/>
                <w:sz w:val="16"/>
              </w:rPr>
              <w:t>Note</w:t>
            </w:r>
          </w:p>
        </w:tc>
        <w:tc>
          <w:tcPr>
            <w:tcW w:w="1360" w:type="dxa"/>
          </w:tcPr>
          <w:p>
            <w:pPr>
              <w:pStyle w:val="TableParagraph"/>
              <w:spacing w:before="5"/>
              <w:ind w:left="469" w:right="456"/>
              <w:jc w:val="center"/>
              <w:rPr>
                <w:b/>
                <w:sz w:val="16"/>
              </w:rPr>
            </w:pPr>
            <w:r>
              <w:rPr>
                <w:b/>
                <w:sz w:val="16"/>
              </w:rPr>
              <w:t>£'000</w:t>
            </w:r>
          </w:p>
        </w:tc>
        <w:tc>
          <w:tcPr>
            <w:tcW w:w="153" w:type="dxa"/>
          </w:tcPr>
          <w:p>
            <w:pPr>
              <w:pStyle w:val="TableParagraph"/>
              <w:rPr>
                <w:rFonts w:ascii="Times New Roman"/>
                <w:sz w:val="16"/>
              </w:rPr>
            </w:pPr>
          </w:p>
        </w:tc>
        <w:tc>
          <w:tcPr>
            <w:tcW w:w="1360" w:type="dxa"/>
          </w:tcPr>
          <w:p>
            <w:pPr>
              <w:pStyle w:val="TableParagraph"/>
              <w:spacing w:before="5"/>
              <w:ind w:left="469" w:right="455"/>
              <w:jc w:val="center"/>
              <w:rPr>
                <w:sz w:val="16"/>
              </w:rPr>
            </w:pPr>
            <w:r>
              <w:rPr>
                <w:sz w:val="16"/>
              </w:rPr>
              <w:t>£'000</w:t>
            </w:r>
          </w:p>
        </w:tc>
      </w:tr>
      <w:tr>
        <w:trPr>
          <w:trHeight w:val="298" w:hRule="atLeast"/>
        </w:trPr>
        <w:tc>
          <w:tcPr>
            <w:tcW w:w="6163" w:type="dxa"/>
          </w:tcPr>
          <w:p>
            <w:pPr>
              <w:pStyle w:val="TableParagraph"/>
              <w:spacing w:line="180" w:lineRule="exact" w:before="99"/>
              <w:ind w:left="200"/>
              <w:rPr>
                <w:sz w:val="16"/>
              </w:rPr>
            </w:pPr>
            <w:r>
              <w:rPr>
                <w:sz w:val="16"/>
              </w:rPr>
              <w:t>Income from sale of goods and services</w:t>
            </w:r>
          </w:p>
        </w:tc>
        <w:tc>
          <w:tcPr>
            <w:tcW w:w="730" w:type="dxa"/>
          </w:tcPr>
          <w:p>
            <w:pPr>
              <w:pStyle w:val="TableParagraph"/>
              <w:spacing w:line="180" w:lineRule="exact" w:before="99"/>
              <w:ind w:right="30"/>
              <w:jc w:val="right"/>
              <w:rPr>
                <w:sz w:val="16"/>
              </w:rPr>
            </w:pPr>
            <w:r>
              <w:rPr>
                <w:w w:val="100"/>
                <w:sz w:val="16"/>
              </w:rPr>
              <w:t>2</w:t>
            </w:r>
          </w:p>
        </w:tc>
        <w:tc>
          <w:tcPr>
            <w:tcW w:w="1360" w:type="dxa"/>
          </w:tcPr>
          <w:p>
            <w:pPr>
              <w:pStyle w:val="TableParagraph"/>
              <w:spacing w:line="180" w:lineRule="exact" w:before="99"/>
              <w:ind w:right="35"/>
              <w:jc w:val="right"/>
              <w:rPr>
                <w:sz w:val="16"/>
              </w:rPr>
            </w:pPr>
            <w:r>
              <w:rPr>
                <w:sz w:val="16"/>
              </w:rPr>
              <w:t>(420)</w:t>
            </w:r>
          </w:p>
        </w:tc>
        <w:tc>
          <w:tcPr>
            <w:tcW w:w="153" w:type="dxa"/>
          </w:tcPr>
          <w:p>
            <w:pPr>
              <w:pStyle w:val="TableParagraph"/>
              <w:rPr>
                <w:rFonts w:ascii="Times New Roman"/>
                <w:sz w:val="16"/>
              </w:rPr>
            </w:pPr>
          </w:p>
        </w:tc>
        <w:tc>
          <w:tcPr>
            <w:tcW w:w="1360" w:type="dxa"/>
          </w:tcPr>
          <w:p>
            <w:pPr>
              <w:pStyle w:val="TableParagraph"/>
              <w:spacing w:line="180" w:lineRule="exact" w:before="99"/>
              <w:ind w:right="33"/>
              <w:jc w:val="right"/>
              <w:rPr>
                <w:sz w:val="16"/>
              </w:rPr>
            </w:pPr>
            <w:r>
              <w:rPr>
                <w:sz w:val="16"/>
              </w:rPr>
              <w:t>(268)</w:t>
            </w:r>
          </w:p>
        </w:tc>
      </w:tr>
      <w:tr>
        <w:trPr>
          <w:trHeight w:val="205" w:hRule="atLeast"/>
        </w:trPr>
        <w:tc>
          <w:tcPr>
            <w:tcW w:w="6163" w:type="dxa"/>
          </w:tcPr>
          <w:p>
            <w:pPr>
              <w:pStyle w:val="TableParagraph"/>
              <w:spacing w:line="183" w:lineRule="exact" w:before="1"/>
              <w:ind w:left="200"/>
              <w:rPr>
                <w:sz w:val="16"/>
              </w:rPr>
            </w:pPr>
            <w:r>
              <w:rPr>
                <w:sz w:val="16"/>
              </w:rPr>
              <w:t>Other operating income</w:t>
            </w:r>
          </w:p>
        </w:tc>
        <w:tc>
          <w:tcPr>
            <w:tcW w:w="730" w:type="dxa"/>
          </w:tcPr>
          <w:p>
            <w:pPr>
              <w:pStyle w:val="TableParagraph"/>
              <w:spacing w:line="181" w:lineRule="exact" w:before="4"/>
              <w:ind w:right="30"/>
              <w:jc w:val="right"/>
              <w:rPr>
                <w:sz w:val="16"/>
              </w:rPr>
            </w:pPr>
            <w:r>
              <w:rPr>
                <w:w w:val="100"/>
                <w:sz w:val="16"/>
              </w:rPr>
              <w:t>2</w:t>
            </w:r>
          </w:p>
        </w:tc>
        <w:tc>
          <w:tcPr>
            <w:tcW w:w="1360" w:type="dxa"/>
          </w:tcPr>
          <w:p>
            <w:pPr>
              <w:pStyle w:val="TableParagraph"/>
              <w:tabs>
                <w:tab w:pos="1031" w:val="left" w:leader="none"/>
              </w:tabs>
              <w:spacing w:line="181" w:lineRule="exact" w:before="4"/>
              <w:ind w:right="-15"/>
              <w:jc w:val="right"/>
              <w:rPr>
                <w:sz w:val="16"/>
              </w:rPr>
            </w:pPr>
            <w:r>
              <w:rPr>
                <w:w w:val="100"/>
                <w:sz w:val="16"/>
                <w:u w:val="single"/>
              </w:rPr>
              <w:t> </w:t>
            </w:r>
            <w:r>
              <w:rPr>
                <w:sz w:val="16"/>
                <w:u w:val="single"/>
              </w:rPr>
              <w:tab/>
            </w:r>
            <w:r>
              <w:rPr>
                <w:spacing w:val="-1"/>
                <w:sz w:val="16"/>
                <w:u w:val="single"/>
              </w:rPr>
              <w:t>(16)</w:t>
            </w:r>
          </w:p>
        </w:tc>
        <w:tc>
          <w:tcPr>
            <w:tcW w:w="153" w:type="dxa"/>
          </w:tcPr>
          <w:p>
            <w:pPr>
              <w:pStyle w:val="TableParagraph"/>
              <w:rPr>
                <w:rFonts w:ascii="Times New Roman"/>
                <w:sz w:val="14"/>
              </w:rPr>
            </w:pPr>
          </w:p>
        </w:tc>
        <w:tc>
          <w:tcPr>
            <w:tcW w:w="1360" w:type="dxa"/>
          </w:tcPr>
          <w:p>
            <w:pPr>
              <w:pStyle w:val="TableParagraph"/>
              <w:tabs>
                <w:tab w:pos="1269" w:val="left" w:leader="none"/>
              </w:tabs>
              <w:spacing w:line="181" w:lineRule="exact" w:before="4"/>
              <w:ind w:right="-15"/>
              <w:jc w:val="right"/>
              <w:rPr>
                <w:sz w:val="16"/>
              </w:rPr>
            </w:pPr>
            <w:r>
              <w:rPr>
                <w:w w:val="100"/>
                <w:sz w:val="16"/>
                <w:u w:val="single"/>
              </w:rPr>
              <w:t> </w:t>
            </w:r>
            <w:r>
              <w:rPr>
                <w:sz w:val="16"/>
                <w:u w:val="single"/>
              </w:rPr>
              <w:tab/>
              <w:t>-</w:t>
            </w:r>
          </w:p>
        </w:tc>
      </w:tr>
      <w:tr>
        <w:trPr>
          <w:trHeight w:val="304" w:hRule="atLeast"/>
        </w:trPr>
        <w:tc>
          <w:tcPr>
            <w:tcW w:w="6163" w:type="dxa"/>
          </w:tcPr>
          <w:p>
            <w:pPr>
              <w:pStyle w:val="TableParagraph"/>
              <w:spacing w:before="10"/>
              <w:ind w:left="200"/>
              <w:rPr>
                <w:b/>
                <w:sz w:val="16"/>
              </w:rPr>
            </w:pPr>
            <w:r>
              <w:rPr>
                <w:b/>
                <w:sz w:val="16"/>
              </w:rPr>
              <w:t>Total operating income</w:t>
            </w:r>
          </w:p>
        </w:tc>
        <w:tc>
          <w:tcPr>
            <w:tcW w:w="2090" w:type="dxa"/>
            <w:gridSpan w:val="2"/>
          </w:tcPr>
          <w:p>
            <w:pPr>
              <w:pStyle w:val="TableParagraph"/>
              <w:spacing w:before="3"/>
              <w:ind w:right="35"/>
              <w:jc w:val="right"/>
              <w:rPr>
                <w:b/>
                <w:sz w:val="16"/>
              </w:rPr>
            </w:pPr>
            <w:r>
              <w:rPr>
                <w:b/>
                <w:sz w:val="16"/>
              </w:rPr>
              <w:t>(436)</w:t>
            </w:r>
          </w:p>
        </w:tc>
        <w:tc>
          <w:tcPr>
            <w:tcW w:w="153" w:type="dxa"/>
          </w:tcPr>
          <w:p>
            <w:pPr>
              <w:pStyle w:val="TableParagraph"/>
              <w:rPr>
                <w:rFonts w:ascii="Times New Roman"/>
                <w:sz w:val="16"/>
              </w:rPr>
            </w:pPr>
          </w:p>
        </w:tc>
        <w:tc>
          <w:tcPr>
            <w:tcW w:w="1360" w:type="dxa"/>
          </w:tcPr>
          <w:p>
            <w:pPr>
              <w:pStyle w:val="TableParagraph"/>
              <w:spacing w:before="3"/>
              <w:ind w:right="33"/>
              <w:jc w:val="right"/>
              <w:rPr>
                <w:b/>
                <w:sz w:val="16"/>
              </w:rPr>
            </w:pPr>
            <w:r>
              <w:rPr>
                <w:b/>
                <w:sz w:val="16"/>
              </w:rPr>
              <w:t>(268)</w:t>
            </w:r>
          </w:p>
        </w:tc>
      </w:tr>
      <w:tr>
        <w:trPr>
          <w:trHeight w:val="296" w:hRule="atLeast"/>
        </w:trPr>
        <w:tc>
          <w:tcPr>
            <w:tcW w:w="6163" w:type="dxa"/>
          </w:tcPr>
          <w:p>
            <w:pPr>
              <w:pStyle w:val="TableParagraph"/>
              <w:spacing w:line="180" w:lineRule="exact" w:before="96"/>
              <w:ind w:left="200"/>
              <w:rPr>
                <w:sz w:val="16"/>
              </w:rPr>
            </w:pPr>
            <w:r>
              <w:rPr>
                <w:sz w:val="16"/>
              </w:rPr>
              <w:t>Staff costs</w:t>
            </w:r>
          </w:p>
        </w:tc>
        <w:tc>
          <w:tcPr>
            <w:tcW w:w="730" w:type="dxa"/>
          </w:tcPr>
          <w:p>
            <w:pPr>
              <w:pStyle w:val="TableParagraph"/>
              <w:spacing w:line="180" w:lineRule="exact" w:before="96"/>
              <w:ind w:right="30"/>
              <w:jc w:val="right"/>
              <w:rPr>
                <w:sz w:val="16"/>
              </w:rPr>
            </w:pPr>
            <w:r>
              <w:rPr>
                <w:w w:val="100"/>
                <w:sz w:val="16"/>
              </w:rPr>
              <w:t>4</w:t>
            </w:r>
          </w:p>
        </w:tc>
        <w:tc>
          <w:tcPr>
            <w:tcW w:w="1360" w:type="dxa"/>
          </w:tcPr>
          <w:p>
            <w:pPr>
              <w:pStyle w:val="TableParagraph"/>
              <w:spacing w:line="180" w:lineRule="exact" w:before="96"/>
              <w:ind w:right="32"/>
              <w:jc w:val="right"/>
              <w:rPr>
                <w:sz w:val="16"/>
              </w:rPr>
            </w:pPr>
            <w:r>
              <w:rPr>
                <w:sz w:val="16"/>
              </w:rPr>
              <w:t>4,524</w:t>
            </w:r>
          </w:p>
        </w:tc>
        <w:tc>
          <w:tcPr>
            <w:tcW w:w="153" w:type="dxa"/>
          </w:tcPr>
          <w:p>
            <w:pPr>
              <w:pStyle w:val="TableParagraph"/>
              <w:rPr>
                <w:rFonts w:ascii="Times New Roman"/>
                <w:sz w:val="16"/>
              </w:rPr>
            </w:pPr>
          </w:p>
        </w:tc>
        <w:tc>
          <w:tcPr>
            <w:tcW w:w="1360" w:type="dxa"/>
          </w:tcPr>
          <w:p>
            <w:pPr>
              <w:pStyle w:val="TableParagraph"/>
              <w:spacing w:line="180" w:lineRule="exact" w:before="96"/>
              <w:ind w:right="29"/>
              <w:jc w:val="right"/>
              <w:rPr>
                <w:sz w:val="16"/>
              </w:rPr>
            </w:pPr>
            <w:r>
              <w:rPr>
                <w:sz w:val="16"/>
              </w:rPr>
              <w:t>3,968</w:t>
            </w:r>
          </w:p>
        </w:tc>
      </w:tr>
      <w:tr>
        <w:trPr>
          <w:trHeight w:val="200" w:hRule="atLeast"/>
        </w:trPr>
        <w:tc>
          <w:tcPr>
            <w:tcW w:w="6163" w:type="dxa"/>
          </w:tcPr>
          <w:p>
            <w:pPr>
              <w:pStyle w:val="TableParagraph"/>
              <w:spacing w:line="179" w:lineRule="exact" w:before="1"/>
              <w:ind w:left="200"/>
              <w:rPr>
                <w:sz w:val="16"/>
              </w:rPr>
            </w:pPr>
            <w:r>
              <w:rPr>
                <w:sz w:val="16"/>
              </w:rPr>
              <w:t>Purchase of goods and services</w:t>
            </w:r>
          </w:p>
        </w:tc>
        <w:tc>
          <w:tcPr>
            <w:tcW w:w="730" w:type="dxa"/>
          </w:tcPr>
          <w:p>
            <w:pPr>
              <w:pStyle w:val="TableParagraph"/>
              <w:spacing w:line="179" w:lineRule="exact" w:before="1"/>
              <w:ind w:right="30"/>
              <w:jc w:val="right"/>
              <w:rPr>
                <w:sz w:val="16"/>
              </w:rPr>
            </w:pPr>
            <w:r>
              <w:rPr>
                <w:w w:val="100"/>
                <w:sz w:val="16"/>
              </w:rPr>
              <w:t>5</w:t>
            </w:r>
          </w:p>
        </w:tc>
        <w:tc>
          <w:tcPr>
            <w:tcW w:w="1360" w:type="dxa"/>
          </w:tcPr>
          <w:p>
            <w:pPr>
              <w:pStyle w:val="TableParagraph"/>
              <w:spacing w:line="179" w:lineRule="exact" w:before="1"/>
              <w:ind w:right="30"/>
              <w:jc w:val="right"/>
              <w:rPr>
                <w:sz w:val="16"/>
              </w:rPr>
            </w:pPr>
            <w:r>
              <w:rPr>
                <w:sz w:val="16"/>
              </w:rPr>
              <w:t>314,841</w:t>
            </w:r>
          </w:p>
        </w:tc>
        <w:tc>
          <w:tcPr>
            <w:tcW w:w="153" w:type="dxa"/>
          </w:tcPr>
          <w:p>
            <w:pPr>
              <w:pStyle w:val="TableParagraph"/>
              <w:rPr>
                <w:rFonts w:ascii="Times New Roman"/>
                <w:sz w:val="12"/>
              </w:rPr>
            </w:pPr>
          </w:p>
        </w:tc>
        <w:tc>
          <w:tcPr>
            <w:tcW w:w="1360" w:type="dxa"/>
          </w:tcPr>
          <w:p>
            <w:pPr>
              <w:pStyle w:val="TableParagraph"/>
              <w:spacing w:line="179" w:lineRule="exact" w:before="1"/>
              <w:ind w:right="31"/>
              <w:jc w:val="right"/>
              <w:rPr>
                <w:sz w:val="16"/>
              </w:rPr>
            </w:pPr>
            <w:r>
              <w:rPr>
                <w:sz w:val="16"/>
              </w:rPr>
              <w:t>293,473</w:t>
            </w:r>
          </w:p>
        </w:tc>
      </w:tr>
      <w:tr>
        <w:trPr>
          <w:trHeight w:val="201" w:hRule="atLeast"/>
        </w:trPr>
        <w:tc>
          <w:tcPr>
            <w:tcW w:w="6163" w:type="dxa"/>
          </w:tcPr>
          <w:p>
            <w:pPr>
              <w:pStyle w:val="TableParagraph"/>
              <w:spacing w:line="181" w:lineRule="exact"/>
              <w:ind w:left="200"/>
              <w:rPr>
                <w:sz w:val="16"/>
              </w:rPr>
            </w:pPr>
            <w:r>
              <w:rPr>
                <w:sz w:val="16"/>
              </w:rPr>
              <w:t>Depreciation and impairment charges</w:t>
            </w:r>
          </w:p>
        </w:tc>
        <w:tc>
          <w:tcPr>
            <w:tcW w:w="730" w:type="dxa"/>
          </w:tcPr>
          <w:p>
            <w:pPr>
              <w:pStyle w:val="TableParagraph"/>
              <w:spacing w:line="179" w:lineRule="exact" w:before="3"/>
              <w:ind w:right="30"/>
              <w:jc w:val="right"/>
              <w:rPr>
                <w:sz w:val="16"/>
              </w:rPr>
            </w:pPr>
            <w:r>
              <w:rPr>
                <w:w w:val="100"/>
                <w:sz w:val="16"/>
              </w:rPr>
              <w:t>5</w:t>
            </w:r>
          </w:p>
        </w:tc>
        <w:tc>
          <w:tcPr>
            <w:tcW w:w="1360" w:type="dxa"/>
          </w:tcPr>
          <w:p>
            <w:pPr>
              <w:pStyle w:val="TableParagraph"/>
              <w:spacing w:line="179" w:lineRule="exact" w:before="3"/>
              <w:ind w:right="34"/>
              <w:jc w:val="right"/>
              <w:rPr>
                <w:sz w:val="16"/>
              </w:rPr>
            </w:pPr>
            <w:r>
              <w:rPr>
                <w:w w:val="100"/>
                <w:sz w:val="16"/>
              </w:rPr>
              <w:t>-</w:t>
            </w:r>
          </w:p>
        </w:tc>
        <w:tc>
          <w:tcPr>
            <w:tcW w:w="153" w:type="dxa"/>
          </w:tcPr>
          <w:p>
            <w:pPr>
              <w:pStyle w:val="TableParagraph"/>
              <w:rPr>
                <w:rFonts w:ascii="Times New Roman"/>
                <w:sz w:val="14"/>
              </w:rPr>
            </w:pPr>
          </w:p>
        </w:tc>
        <w:tc>
          <w:tcPr>
            <w:tcW w:w="1360" w:type="dxa"/>
          </w:tcPr>
          <w:p>
            <w:pPr>
              <w:pStyle w:val="TableParagraph"/>
              <w:spacing w:line="179" w:lineRule="exact" w:before="3"/>
              <w:ind w:right="32"/>
              <w:jc w:val="right"/>
              <w:rPr>
                <w:sz w:val="16"/>
              </w:rPr>
            </w:pPr>
            <w:r>
              <w:rPr>
                <w:w w:val="100"/>
                <w:sz w:val="16"/>
              </w:rPr>
              <w:t>-</w:t>
            </w:r>
          </w:p>
        </w:tc>
      </w:tr>
      <w:tr>
        <w:trPr>
          <w:trHeight w:val="201" w:hRule="atLeast"/>
        </w:trPr>
        <w:tc>
          <w:tcPr>
            <w:tcW w:w="6163" w:type="dxa"/>
          </w:tcPr>
          <w:p>
            <w:pPr>
              <w:pStyle w:val="TableParagraph"/>
              <w:spacing w:line="181" w:lineRule="exact"/>
              <w:ind w:left="200"/>
              <w:rPr>
                <w:sz w:val="16"/>
              </w:rPr>
            </w:pPr>
            <w:r>
              <w:rPr>
                <w:sz w:val="16"/>
              </w:rPr>
              <w:t>Provision expense</w:t>
            </w:r>
          </w:p>
        </w:tc>
        <w:tc>
          <w:tcPr>
            <w:tcW w:w="730" w:type="dxa"/>
          </w:tcPr>
          <w:p>
            <w:pPr>
              <w:pStyle w:val="TableParagraph"/>
              <w:spacing w:line="179" w:lineRule="exact" w:before="3"/>
              <w:ind w:right="30"/>
              <w:jc w:val="right"/>
              <w:rPr>
                <w:sz w:val="16"/>
              </w:rPr>
            </w:pPr>
            <w:r>
              <w:rPr>
                <w:w w:val="100"/>
                <w:sz w:val="16"/>
              </w:rPr>
              <w:t>5</w:t>
            </w:r>
          </w:p>
        </w:tc>
        <w:tc>
          <w:tcPr>
            <w:tcW w:w="1360" w:type="dxa"/>
          </w:tcPr>
          <w:p>
            <w:pPr>
              <w:pStyle w:val="TableParagraph"/>
              <w:spacing w:line="179" w:lineRule="exact" w:before="3"/>
              <w:ind w:right="34"/>
              <w:jc w:val="right"/>
              <w:rPr>
                <w:sz w:val="16"/>
              </w:rPr>
            </w:pPr>
            <w:r>
              <w:rPr>
                <w:w w:val="100"/>
                <w:sz w:val="16"/>
              </w:rPr>
              <w:t>-</w:t>
            </w:r>
          </w:p>
        </w:tc>
        <w:tc>
          <w:tcPr>
            <w:tcW w:w="153" w:type="dxa"/>
          </w:tcPr>
          <w:p>
            <w:pPr>
              <w:pStyle w:val="TableParagraph"/>
              <w:rPr>
                <w:rFonts w:ascii="Times New Roman"/>
                <w:sz w:val="14"/>
              </w:rPr>
            </w:pPr>
          </w:p>
        </w:tc>
        <w:tc>
          <w:tcPr>
            <w:tcW w:w="1360" w:type="dxa"/>
          </w:tcPr>
          <w:p>
            <w:pPr>
              <w:pStyle w:val="TableParagraph"/>
              <w:spacing w:line="179" w:lineRule="exact" w:before="3"/>
              <w:ind w:right="32"/>
              <w:jc w:val="right"/>
              <w:rPr>
                <w:sz w:val="16"/>
              </w:rPr>
            </w:pPr>
            <w:r>
              <w:rPr>
                <w:w w:val="100"/>
                <w:sz w:val="16"/>
              </w:rPr>
              <w:t>-</w:t>
            </w:r>
          </w:p>
        </w:tc>
      </w:tr>
      <w:tr>
        <w:trPr>
          <w:trHeight w:val="202" w:hRule="atLeast"/>
        </w:trPr>
        <w:tc>
          <w:tcPr>
            <w:tcW w:w="6163" w:type="dxa"/>
          </w:tcPr>
          <w:p>
            <w:pPr>
              <w:pStyle w:val="TableParagraph"/>
              <w:spacing w:line="182" w:lineRule="exact"/>
              <w:ind w:left="200"/>
              <w:rPr>
                <w:sz w:val="16"/>
              </w:rPr>
            </w:pPr>
            <w:r>
              <w:rPr>
                <w:sz w:val="16"/>
              </w:rPr>
              <w:t>Other Operating Expenditure</w:t>
            </w:r>
          </w:p>
        </w:tc>
        <w:tc>
          <w:tcPr>
            <w:tcW w:w="730" w:type="dxa"/>
          </w:tcPr>
          <w:p>
            <w:pPr>
              <w:pStyle w:val="TableParagraph"/>
              <w:spacing w:line="180" w:lineRule="exact" w:before="3"/>
              <w:ind w:right="30"/>
              <w:jc w:val="right"/>
              <w:rPr>
                <w:sz w:val="16"/>
              </w:rPr>
            </w:pPr>
            <w:r>
              <w:rPr>
                <w:w w:val="100"/>
                <w:sz w:val="16"/>
              </w:rPr>
              <w:t>5</w:t>
            </w:r>
          </w:p>
        </w:tc>
        <w:tc>
          <w:tcPr>
            <w:tcW w:w="1360" w:type="dxa"/>
          </w:tcPr>
          <w:p>
            <w:pPr>
              <w:pStyle w:val="TableParagraph"/>
              <w:tabs>
                <w:tab w:pos="1051" w:val="left" w:leader="none"/>
              </w:tabs>
              <w:spacing w:line="180" w:lineRule="exact" w:before="3"/>
              <w:ind w:right="-15"/>
              <w:jc w:val="right"/>
              <w:rPr>
                <w:sz w:val="16"/>
              </w:rPr>
            </w:pPr>
            <w:r>
              <w:rPr>
                <w:w w:val="100"/>
                <w:sz w:val="16"/>
                <w:u w:val="single"/>
              </w:rPr>
              <w:t> </w:t>
            </w:r>
            <w:r>
              <w:rPr>
                <w:sz w:val="16"/>
                <w:u w:val="single"/>
              </w:rPr>
              <w:tab/>
            </w:r>
            <w:r>
              <w:rPr>
                <w:spacing w:val="-1"/>
                <w:sz w:val="16"/>
                <w:u w:val="single"/>
              </w:rPr>
              <w:t>519</w:t>
            </w:r>
          </w:p>
        </w:tc>
        <w:tc>
          <w:tcPr>
            <w:tcW w:w="153" w:type="dxa"/>
          </w:tcPr>
          <w:p>
            <w:pPr>
              <w:pStyle w:val="TableParagraph"/>
              <w:rPr>
                <w:rFonts w:ascii="Times New Roman"/>
                <w:sz w:val="14"/>
              </w:rPr>
            </w:pPr>
          </w:p>
        </w:tc>
        <w:tc>
          <w:tcPr>
            <w:tcW w:w="1360" w:type="dxa"/>
          </w:tcPr>
          <w:p>
            <w:pPr>
              <w:pStyle w:val="TableParagraph"/>
              <w:tabs>
                <w:tab w:pos="1051" w:val="left" w:leader="none"/>
              </w:tabs>
              <w:spacing w:line="180" w:lineRule="exact" w:before="3"/>
              <w:ind w:right="-15"/>
              <w:jc w:val="right"/>
              <w:rPr>
                <w:sz w:val="16"/>
              </w:rPr>
            </w:pPr>
            <w:r>
              <w:rPr>
                <w:w w:val="100"/>
                <w:sz w:val="16"/>
                <w:u w:val="single"/>
              </w:rPr>
              <w:t> </w:t>
            </w:r>
            <w:r>
              <w:rPr>
                <w:sz w:val="16"/>
                <w:u w:val="single"/>
              </w:rPr>
              <w:tab/>
            </w:r>
            <w:r>
              <w:rPr>
                <w:spacing w:val="-1"/>
                <w:sz w:val="16"/>
                <w:u w:val="single"/>
              </w:rPr>
              <w:t>641</w:t>
            </w:r>
          </w:p>
        </w:tc>
      </w:tr>
      <w:tr>
        <w:trPr>
          <w:trHeight w:val="308" w:hRule="atLeast"/>
        </w:trPr>
        <w:tc>
          <w:tcPr>
            <w:tcW w:w="6163" w:type="dxa"/>
          </w:tcPr>
          <w:p>
            <w:pPr>
              <w:pStyle w:val="TableParagraph"/>
              <w:spacing w:before="11"/>
              <w:ind w:left="200"/>
              <w:rPr>
                <w:b/>
                <w:sz w:val="16"/>
              </w:rPr>
            </w:pPr>
            <w:r>
              <w:rPr>
                <w:b/>
                <w:sz w:val="16"/>
              </w:rPr>
              <w:t>Total operating expenditure</w:t>
            </w:r>
          </w:p>
        </w:tc>
        <w:tc>
          <w:tcPr>
            <w:tcW w:w="730" w:type="dxa"/>
          </w:tcPr>
          <w:p>
            <w:pPr>
              <w:pStyle w:val="TableParagraph"/>
              <w:rPr>
                <w:rFonts w:ascii="Times New Roman"/>
                <w:sz w:val="16"/>
              </w:rPr>
            </w:pPr>
          </w:p>
        </w:tc>
        <w:tc>
          <w:tcPr>
            <w:tcW w:w="1360" w:type="dxa"/>
          </w:tcPr>
          <w:p>
            <w:pPr>
              <w:pStyle w:val="TableParagraph"/>
              <w:spacing w:before="1"/>
              <w:ind w:right="30"/>
              <w:jc w:val="right"/>
              <w:rPr>
                <w:b/>
                <w:sz w:val="16"/>
              </w:rPr>
            </w:pPr>
            <w:r>
              <w:rPr>
                <w:b/>
                <w:sz w:val="16"/>
              </w:rPr>
              <w:t>319,884</w:t>
            </w:r>
          </w:p>
        </w:tc>
        <w:tc>
          <w:tcPr>
            <w:tcW w:w="153" w:type="dxa"/>
          </w:tcPr>
          <w:p>
            <w:pPr>
              <w:pStyle w:val="TableParagraph"/>
              <w:rPr>
                <w:rFonts w:ascii="Times New Roman"/>
                <w:sz w:val="16"/>
              </w:rPr>
            </w:pPr>
          </w:p>
        </w:tc>
        <w:tc>
          <w:tcPr>
            <w:tcW w:w="1360" w:type="dxa"/>
          </w:tcPr>
          <w:p>
            <w:pPr>
              <w:pStyle w:val="TableParagraph"/>
              <w:spacing w:before="1"/>
              <w:ind w:right="31"/>
              <w:jc w:val="right"/>
              <w:rPr>
                <w:b/>
                <w:sz w:val="16"/>
              </w:rPr>
            </w:pPr>
            <w:r>
              <w:rPr>
                <w:b/>
                <w:sz w:val="16"/>
              </w:rPr>
              <w:t>298,082</w:t>
            </w:r>
          </w:p>
        </w:tc>
      </w:tr>
      <w:tr>
        <w:trPr>
          <w:trHeight w:val="403" w:hRule="atLeast"/>
        </w:trPr>
        <w:tc>
          <w:tcPr>
            <w:tcW w:w="6163" w:type="dxa"/>
          </w:tcPr>
          <w:p>
            <w:pPr>
              <w:pStyle w:val="TableParagraph"/>
              <w:spacing w:before="106"/>
              <w:ind w:left="200"/>
              <w:rPr>
                <w:b/>
                <w:sz w:val="16"/>
              </w:rPr>
            </w:pPr>
            <w:r>
              <w:rPr>
                <w:b/>
                <w:sz w:val="16"/>
              </w:rPr>
              <w:t>Net Operating Expenditure</w:t>
            </w:r>
          </w:p>
        </w:tc>
        <w:tc>
          <w:tcPr>
            <w:tcW w:w="730" w:type="dxa"/>
          </w:tcPr>
          <w:p>
            <w:pPr>
              <w:pStyle w:val="TableParagraph"/>
              <w:rPr>
                <w:rFonts w:ascii="Times New Roman"/>
                <w:sz w:val="16"/>
              </w:rPr>
            </w:pPr>
          </w:p>
        </w:tc>
        <w:tc>
          <w:tcPr>
            <w:tcW w:w="1360" w:type="dxa"/>
          </w:tcPr>
          <w:p>
            <w:pPr>
              <w:pStyle w:val="TableParagraph"/>
              <w:spacing w:before="99"/>
              <w:ind w:right="30"/>
              <w:jc w:val="right"/>
              <w:rPr>
                <w:b/>
                <w:sz w:val="16"/>
              </w:rPr>
            </w:pPr>
            <w:r>
              <w:rPr>
                <w:b/>
                <w:sz w:val="16"/>
              </w:rPr>
              <w:t>319,448</w:t>
            </w:r>
          </w:p>
        </w:tc>
        <w:tc>
          <w:tcPr>
            <w:tcW w:w="153" w:type="dxa"/>
          </w:tcPr>
          <w:p>
            <w:pPr>
              <w:pStyle w:val="TableParagraph"/>
              <w:rPr>
                <w:rFonts w:ascii="Times New Roman"/>
                <w:sz w:val="16"/>
              </w:rPr>
            </w:pPr>
          </w:p>
        </w:tc>
        <w:tc>
          <w:tcPr>
            <w:tcW w:w="1360" w:type="dxa"/>
          </w:tcPr>
          <w:p>
            <w:pPr>
              <w:pStyle w:val="TableParagraph"/>
              <w:spacing w:before="99"/>
              <w:ind w:right="31"/>
              <w:jc w:val="right"/>
              <w:rPr>
                <w:b/>
                <w:sz w:val="16"/>
              </w:rPr>
            </w:pPr>
            <w:r>
              <w:rPr>
                <w:b/>
                <w:sz w:val="16"/>
              </w:rPr>
              <w:t>297,814</w:t>
            </w:r>
          </w:p>
        </w:tc>
      </w:tr>
      <w:tr>
        <w:trPr>
          <w:trHeight w:val="501" w:hRule="atLeast"/>
        </w:trPr>
        <w:tc>
          <w:tcPr>
            <w:tcW w:w="6163" w:type="dxa"/>
          </w:tcPr>
          <w:p>
            <w:pPr>
              <w:pStyle w:val="TableParagraph"/>
              <w:spacing w:line="200" w:lineRule="atLeast" w:before="87"/>
              <w:ind w:left="200" w:right="4724"/>
              <w:rPr>
                <w:sz w:val="16"/>
              </w:rPr>
            </w:pPr>
            <w:r>
              <w:rPr>
                <w:sz w:val="16"/>
              </w:rPr>
              <w:t>Finance income Finance expense</w:t>
            </w:r>
          </w:p>
        </w:tc>
        <w:tc>
          <w:tcPr>
            <w:tcW w:w="730" w:type="dxa"/>
            <w:vMerge w:val="restart"/>
          </w:tcPr>
          <w:p>
            <w:pPr>
              <w:pStyle w:val="TableParagraph"/>
              <w:rPr>
                <w:rFonts w:ascii="Times New Roman"/>
                <w:sz w:val="16"/>
              </w:rPr>
            </w:pPr>
          </w:p>
        </w:tc>
        <w:tc>
          <w:tcPr>
            <w:tcW w:w="1360" w:type="dxa"/>
          </w:tcPr>
          <w:p>
            <w:pPr>
              <w:pStyle w:val="TableParagraph"/>
              <w:spacing w:before="99"/>
              <w:ind w:right="31"/>
              <w:jc w:val="right"/>
              <w:rPr>
                <w:sz w:val="16"/>
              </w:rPr>
            </w:pPr>
            <w:r>
              <w:rPr>
                <w:w w:val="100"/>
                <w:sz w:val="16"/>
              </w:rPr>
              <w:t>-</w:t>
            </w:r>
          </w:p>
          <w:p>
            <w:pPr>
              <w:pStyle w:val="TableParagraph"/>
              <w:tabs>
                <w:tab w:pos="1269" w:val="left" w:leader="none"/>
              </w:tabs>
              <w:spacing w:line="184" w:lineRule="exact" w:before="15"/>
              <w:ind w:right="-15"/>
              <w:jc w:val="right"/>
              <w:rPr>
                <w:sz w:val="16"/>
              </w:rPr>
            </w:pPr>
            <w:r>
              <w:rPr>
                <w:w w:val="100"/>
                <w:sz w:val="16"/>
                <w:u w:val="single"/>
              </w:rPr>
              <w:t> </w:t>
            </w:r>
            <w:r>
              <w:rPr>
                <w:sz w:val="16"/>
                <w:u w:val="single"/>
              </w:rPr>
              <w:tab/>
              <w:t>-</w:t>
            </w:r>
          </w:p>
        </w:tc>
        <w:tc>
          <w:tcPr>
            <w:tcW w:w="153" w:type="dxa"/>
            <w:vMerge w:val="restart"/>
          </w:tcPr>
          <w:p>
            <w:pPr>
              <w:pStyle w:val="TableParagraph"/>
              <w:rPr>
                <w:rFonts w:ascii="Times New Roman"/>
                <w:sz w:val="16"/>
              </w:rPr>
            </w:pPr>
          </w:p>
        </w:tc>
        <w:tc>
          <w:tcPr>
            <w:tcW w:w="1360" w:type="dxa"/>
          </w:tcPr>
          <w:p>
            <w:pPr>
              <w:pStyle w:val="TableParagraph"/>
              <w:spacing w:before="99"/>
              <w:ind w:right="30"/>
              <w:jc w:val="right"/>
              <w:rPr>
                <w:sz w:val="16"/>
              </w:rPr>
            </w:pPr>
            <w:r>
              <w:rPr>
                <w:w w:val="100"/>
                <w:sz w:val="16"/>
              </w:rPr>
              <w:t>-</w:t>
            </w:r>
          </w:p>
          <w:p>
            <w:pPr>
              <w:pStyle w:val="TableParagraph"/>
              <w:tabs>
                <w:tab w:pos="1267" w:val="left" w:leader="none"/>
              </w:tabs>
              <w:spacing w:line="184" w:lineRule="exact" w:before="15"/>
              <w:ind w:right="-15"/>
              <w:jc w:val="right"/>
              <w:rPr>
                <w:sz w:val="16"/>
              </w:rPr>
            </w:pPr>
            <w:r>
              <w:rPr>
                <w:w w:val="100"/>
                <w:sz w:val="16"/>
                <w:u w:val="single"/>
              </w:rPr>
              <w:t> </w:t>
            </w:r>
            <w:r>
              <w:rPr>
                <w:sz w:val="16"/>
                <w:u w:val="single"/>
              </w:rPr>
              <w:tab/>
              <w:t>-</w:t>
            </w:r>
          </w:p>
        </w:tc>
      </w:tr>
      <w:tr>
        <w:trPr>
          <w:trHeight w:val="302" w:hRule="atLeast"/>
        </w:trPr>
        <w:tc>
          <w:tcPr>
            <w:tcW w:w="6163" w:type="dxa"/>
          </w:tcPr>
          <w:p>
            <w:pPr>
              <w:pStyle w:val="TableParagraph"/>
              <w:spacing w:before="5"/>
              <w:ind w:left="200"/>
              <w:rPr>
                <w:b/>
                <w:sz w:val="16"/>
              </w:rPr>
            </w:pPr>
            <w:r>
              <w:rPr>
                <w:b/>
                <w:sz w:val="16"/>
              </w:rPr>
              <w:t>Net expenditure for the Year</w:t>
            </w:r>
          </w:p>
        </w:tc>
        <w:tc>
          <w:tcPr>
            <w:tcW w:w="730" w:type="dxa"/>
            <w:vMerge/>
            <w:tcBorders>
              <w:top w:val="nil"/>
            </w:tcBorders>
          </w:tcPr>
          <w:p>
            <w:pPr>
              <w:rPr>
                <w:sz w:val="2"/>
                <w:szCs w:val="2"/>
              </w:rPr>
            </w:pPr>
          </w:p>
        </w:tc>
        <w:tc>
          <w:tcPr>
            <w:tcW w:w="1360" w:type="dxa"/>
          </w:tcPr>
          <w:p>
            <w:pPr>
              <w:pStyle w:val="TableParagraph"/>
              <w:spacing w:line="182" w:lineRule="exact"/>
              <w:ind w:right="30"/>
              <w:jc w:val="right"/>
              <w:rPr>
                <w:b/>
                <w:sz w:val="16"/>
              </w:rPr>
            </w:pPr>
            <w:r>
              <w:rPr>
                <w:b/>
                <w:sz w:val="16"/>
              </w:rPr>
              <w:t>319,448</w:t>
            </w:r>
          </w:p>
        </w:tc>
        <w:tc>
          <w:tcPr>
            <w:tcW w:w="153" w:type="dxa"/>
            <w:vMerge/>
            <w:tcBorders>
              <w:top w:val="nil"/>
            </w:tcBorders>
          </w:tcPr>
          <w:p>
            <w:pPr>
              <w:rPr>
                <w:sz w:val="2"/>
                <w:szCs w:val="2"/>
              </w:rPr>
            </w:pPr>
          </w:p>
        </w:tc>
        <w:tc>
          <w:tcPr>
            <w:tcW w:w="1360" w:type="dxa"/>
          </w:tcPr>
          <w:p>
            <w:pPr>
              <w:pStyle w:val="TableParagraph"/>
              <w:spacing w:line="182" w:lineRule="exact"/>
              <w:ind w:right="31"/>
              <w:jc w:val="right"/>
              <w:rPr>
                <w:b/>
                <w:sz w:val="16"/>
              </w:rPr>
            </w:pPr>
            <w:r>
              <w:rPr>
                <w:b/>
                <w:sz w:val="16"/>
              </w:rPr>
              <w:t>297,814</w:t>
            </w:r>
          </w:p>
        </w:tc>
      </w:tr>
      <w:tr>
        <w:trPr>
          <w:trHeight w:val="301" w:hRule="atLeast"/>
        </w:trPr>
        <w:tc>
          <w:tcPr>
            <w:tcW w:w="6163" w:type="dxa"/>
          </w:tcPr>
          <w:p>
            <w:pPr>
              <w:pStyle w:val="TableParagraph"/>
              <w:spacing w:line="178" w:lineRule="exact" w:before="103"/>
              <w:ind w:left="200"/>
              <w:rPr>
                <w:sz w:val="16"/>
              </w:rPr>
            </w:pPr>
            <w:r>
              <w:rPr>
                <w:sz w:val="16"/>
              </w:rPr>
              <w:t>Net (Gain)/Loss on Transfer by Absorption</w:t>
            </w:r>
          </w:p>
        </w:tc>
        <w:tc>
          <w:tcPr>
            <w:tcW w:w="730" w:type="dxa"/>
            <w:vMerge w:val="restart"/>
          </w:tcPr>
          <w:p>
            <w:pPr>
              <w:pStyle w:val="TableParagraph"/>
              <w:rPr>
                <w:rFonts w:ascii="Times New Roman"/>
                <w:sz w:val="16"/>
              </w:rPr>
            </w:pPr>
          </w:p>
        </w:tc>
        <w:tc>
          <w:tcPr>
            <w:tcW w:w="1360" w:type="dxa"/>
          </w:tcPr>
          <w:p>
            <w:pPr>
              <w:pStyle w:val="TableParagraph"/>
              <w:tabs>
                <w:tab w:pos="1269" w:val="left" w:leader="none"/>
              </w:tabs>
              <w:spacing w:line="182" w:lineRule="exact" w:before="99"/>
              <w:ind w:right="-15"/>
              <w:jc w:val="right"/>
              <w:rPr>
                <w:sz w:val="16"/>
              </w:rPr>
            </w:pPr>
            <w:r>
              <w:rPr>
                <w:w w:val="100"/>
                <w:sz w:val="16"/>
                <w:u w:val="single"/>
              </w:rPr>
              <w:t> </w:t>
            </w:r>
            <w:r>
              <w:rPr>
                <w:sz w:val="16"/>
                <w:u w:val="single"/>
              </w:rPr>
              <w:tab/>
              <w:t>-</w:t>
            </w:r>
          </w:p>
        </w:tc>
        <w:tc>
          <w:tcPr>
            <w:tcW w:w="153" w:type="dxa"/>
            <w:vMerge w:val="restart"/>
          </w:tcPr>
          <w:p>
            <w:pPr>
              <w:pStyle w:val="TableParagraph"/>
              <w:rPr>
                <w:rFonts w:ascii="Times New Roman"/>
                <w:sz w:val="16"/>
              </w:rPr>
            </w:pPr>
          </w:p>
        </w:tc>
        <w:tc>
          <w:tcPr>
            <w:tcW w:w="1360" w:type="dxa"/>
          </w:tcPr>
          <w:p>
            <w:pPr>
              <w:pStyle w:val="TableParagraph"/>
              <w:tabs>
                <w:tab w:pos="1267" w:val="left" w:leader="none"/>
              </w:tabs>
              <w:spacing w:line="182" w:lineRule="exact" w:before="99"/>
              <w:ind w:right="-15"/>
              <w:jc w:val="right"/>
              <w:rPr>
                <w:sz w:val="16"/>
              </w:rPr>
            </w:pPr>
            <w:r>
              <w:rPr>
                <w:w w:val="100"/>
                <w:sz w:val="16"/>
                <w:u w:val="single"/>
              </w:rPr>
              <w:t> </w:t>
            </w:r>
            <w:r>
              <w:rPr>
                <w:sz w:val="16"/>
                <w:u w:val="single"/>
              </w:rPr>
              <w:tab/>
              <w:t>-</w:t>
            </w:r>
          </w:p>
        </w:tc>
      </w:tr>
      <w:tr>
        <w:trPr>
          <w:trHeight w:val="200" w:hRule="atLeast"/>
        </w:trPr>
        <w:tc>
          <w:tcPr>
            <w:tcW w:w="6163" w:type="dxa"/>
          </w:tcPr>
          <w:p>
            <w:pPr>
              <w:pStyle w:val="TableParagraph"/>
              <w:spacing w:line="180" w:lineRule="exact"/>
              <w:ind w:left="200"/>
              <w:rPr>
                <w:b/>
                <w:sz w:val="16"/>
              </w:rPr>
            </w:pPr>
            <w:r>
              <w:rPr>
                <w:b/>
                <w:sz w:val="16"/>
              </w:rPr>
              <w:t>Total Net Expenditure for the Financial Year</w:t>
            </w:r>
          </w:p>
        </w:tc>
        <w:tc>
          <w:tcPr>
            <w:tcW w:w="730" w:type="dxa"/>
            <w:vMerge/>
            <w:tcBorders>
              <w:top w:val="nil"/>
            </w:tcBorders>
          </w:tcPr>
          <w:p>
            <w:pPr>
              <w:rPr>
                <w:sz w:val="2"/>
                <w:szCs w:val="2"/>
              </w:rPr>
            </w:pPr>
          </w:p>
        </w:tc>
        <w:tc>
          <w:tcPr>
            <w:tcW w:w="1360" w:type="dxa"/>
          </w:tcPr>
          <w:p>
            <w:pPr>
              <w:pStyle w:val="TableParagraph"/>
              <w:spacing w:line="180" w:lineRule="exact"/>
              <w:ind w:right="30"/>
              <w:jc w:val="right"/>
              <w:rPr>
                <w:b/>
                <w:sz w:val="16"/>
              </w:rPr>
            </w:pPr>
            <w:r>
              <w:rPr>
                <w:b/>
                <w:sz w:val="16"/>
              </w:rPr>
              <w:t>319,448</w:t>
            </w:r>
          </w:p>
        </w:tc>
        <w:tc>
          <w:tcPr>
            <w:tcW w:w="153" w:type="dxa"/>
            <w:vMerge/>
            <w:tcBorders>
              <w:top w:val="nil"/>
            </w:tcBorders>
          </w:tcPr>
          <w:p>
            <w:pPr>
              <w:rPr>
                <w:sz w:val="2"/>
                <w:szCs w:val="2"/>
              </w:rPr>
            </w:pPr>
          </w:p>
        </w:tc>
        <w:tc>
          <w:tcPr>
            <w:tcW w:w="1360" w:type="dxa"/>
          </w:tcPr>
          <w:p>
            <w:pPr>
              <w:pStyle w:val="TableParagraph"/>
              <w:spacing w:line="180" w:lineRule="exact"/>
              <w:ind w:right="31"/>
              <w:jc w:val="right"/>
              <w:rPr>
                <w:b/>
                <w:sz w:val="16"/>
              </w:rPr>
            </w:pPr>
            <w:r>
              <w:rPr>
                <w:b/>
                <w:sz w:val="16"/>
              </w:rPr>
              <w:t>297,814</w:t>
            </w:r>
          </w:p>
        </w:tc>
      </w:tr>
      <w:tr>
        <w:trPr>
          <w:trHeight w:val="205" w:hRule="atLeast"/>
        </w:trPr>
        <w:tc>
          <w:tcPr>
            <w:tcW w:w="6163" w:type="dxa"/>
          </w:tcPr>
          <w:p>
            <w:pPr>
              <w:pStyle w:val="TableParagraph"/>
              <w:spacing w:line="182" w:lineRule="exact" w:before="3"/>
              <w:ind w:left="200"/>
              <w:rPr>
                <w:b/>
                <w:sz w:val="16"/>
              </w:rPr>
            </w:pPr>
            <w:r>
              <w:rPr>
                <w:b/>
                <w:sz w:val="16"/>
              </w:rPr>
              <w:t>Other Comprehensive Expenditure</w:t>
            </w:r>
          </w:p>
        </w:tc>
        <w:tc>
          <w:tcPr>
            <w:tcW w:w="730" w:type="dxa"/>
          </w:tcPr>
          <w:p>
            <w:pPr>
              <w:pStyle w:val="TableParagraph"/>
              <w:rPr>
                <w:rFonts w:ascii="Times New Roman"/>
                <w:sz w:val="14"/>
              </w:rPr>
            </w:pPr>
          </w:p>
        </w:tc>
        <w:tc>
          <w:tcPr>
            <w:tcW w:w="1360" w:type="dxa"/>
          </w:tcPr>
          <w:p>
            <w:pPr>
              <w:pStyle w:val="TableParagraph"/>
              <w:rPr>
                <w:rFonts w:ascii="Times New Roman"/>
                <w:sz w:val="14"/>
              </w:rPr>
            </w:pPr>
          </w:p>
        </w:tc>
        <w:tc>
          <w:tcPr>
            <w:tcW w:w="153" w:type="dxa"/>
          </w:tcPr>
          <w:p>
            <w:pPr>
              <w:pStyle w:val="TableParagraph"/>
              <w:rPr>
                <w:rFonts w:ascii="Times New Roman"/>
                <w:sz w:val="14"/>
              </w:rPr>
            </w:pPr>
          </w:p>
        </w:tc>
        <w:tc>
          <w:tcPr>
            <w:tcW w:w="1360" w:type="dxa"/>
          </w:tcPr>
          <w:p>
            <w:pPr>
              <w:pStyle w:val="TableParagraph"/>
              <w:rPr>
                <w:rFonts w:ascii="Times New Roman"/>
                <w:sz w:val="14"/>
              </w:rPr>
            </w:pPr>
          </w:p>
        </w:tc>
      </w:tr>
      <w:tr>
        <w:trPr>
          <w:trHeight w:val="394" w:hRule="atLeast"/>
        </w:trPr>
        <w:tc>
          <w:tcPr>
            <w:tcW w:w="6163" w:type="dxa"/>
          </w:tcPr>
          <w:p>
            <w:pPr>
              <w:pStyle w:val="TableParagraph"/>
              <w:spacing w:before="4"/>
              <w:ind w:left="200"/>
              <w:rPr>
                <w:b/>
                <w:sz w:val="16"/>
              </w:rPr>
            </w:pPr>
            <w:r>
              <w:rPr>
                <w:b/>
                <w:sz w:val="16"/>
                <w:u w:val="single"/>
              </w:rPr>
              <w:t>I tems which will not be reclassified to net operating costs</w:t>
            </w:r>
          </w:p>
          <w:p>
            <w:pPr>
              <w:pStyle w:val="TableParagraph"/>
              <w:spacing w:line="181" w:lineRule="exact" w:before="5"/>
              <w:ind w:left="200"/>
              <w:rPr>
                <w:sz w:val="16"/>
              </w:rPr>
            </w:pPr>
            <w:r>
              <w:rPr>
                <w:sz w:val="16"/>
              </w:rPr>
              <w:t>Net (gain)/loss on revaluation of PPE</w:t>
            </w:r>
          </w:p>
        </w:tc>
        <w:tc>
          <w:tcPr>
            <w:tcW w:w="730" w:type="dxa"/>
          </w:tcPr>
          <w:p>
            <w:pPr>
              <w:pStyle w:val="TableParagraph"/>
              <w:rPr>
                <w:rFonts w:ascii="Times New Roman"/>
                <w:sz w:val="16"/>
              </w:rPr>
            </w:pPr>
          </w:p>
        </w:tc>
        <w:tc>
          <w:tcPr>
            <w:tcW w:w="1360" w:type="dxa"/>
          </w:tcPr>
          <w:p>
            <w:pPr>
              <w:pStyle w:val="TableParagraph"/>
              <w:spacing w:before="9"/>
              <w:rPr>
                <w:sz w:val="16"/>
              </w:rPr>
            </w:pPr>
          </w:p>
          <w:p>
            <w:pPr>
              <w:pStyle w:val="TableParagraph"/>
              <w:spacing w:line="181" w:lineRule="exact"/>
              <w:ind w:right="31"/>
              <w:jc w:val="right"/>
              <w:rPr>
                <w:sz w:val="16"/>
              </w:rPr>
            </w:pPr>
            <w:r>
              <w:rPr>
                <w:w w:val="100"/>
                <w:sz w:val="16"/>
              </w:rPr>
              <w:t>-</w:t>
            </w:r>
          </w:p>
        </w:tc>
        <w:tc>
          <w:tcPr>
            <w:tcW w:w="153" w:type="dxa"/>
          </w:tcPr>
          <w:p>
            <w:pPr>
              <w:pStyle w:val="TableParagraph"/>
              <w:rPr>
                <w:rFonts w:ascii="Times New Roman"/>
                <w:sz w:val="16"/>
              </w:rPr>
            </w:pPr>
          </w:p>
        </w:tc>
        <w:tc>
          <w:tcPr>
            <w:tcW w:w="1360" w:type="dxa"/>
          </w:tcPr>
          <w:p>
            <w:pPr>
              <w:pStyle w:val="TableParagraph"/>
              <w:spacing w:before="9"/>
              <w:rPr>
                <w:sz w:val="16"/>
              </w:rPr>
            </w:pPr>
          </w:p>
          <w:p>
            <w:pPr>
              <w:pStyle w:val="TableParagraph"/>
              <w:spacing w:line="181" w:lineRule="exact"/>
              <w:ind w:right="30"/>
              <w:jc w:val="right"/>
              <w:rPr>
                <w:sz w:val="16"/>
              </w:rPr>
            </w:pPr>
            <w:r>
              <w:rPr>
                <w:w w:val="100"/>
                <w:sz w:val="16"/>
              </w:rPr>
              <w:t>-</w:t>
            </w:r>
          </w:p>
        </w:tc>
      </w:tr>
      <w:tr>
        <w:trPr>
          <w:trHeight w:val="206" w:hRule="atLeast"/>
        </w:trPr>
        <w:tc>
          <w:tcPr>
            <w:tcW w:w="6163" w:type="dxa"/>
          </w:tcPr>
          <w:p>
            <w:pPr>
              <w:pStyle w:val="TableParagraph"/>
              <w:spacing w:line="179" w:lineRule="exact" w:before="7"/>
              <w:ind w:left="200"/>
              <w:rPr>
                <w:sz w:val="16"/>
              </w:rPr>
            </w:pPr>
            <w:r>
              <w:rPr>
                <w:sz w:val="16"/>
              </w:rPr>
              <w:t>Net (gain)/loss on revaluation of Intangibles</w:t>
            </w:r>
          </w:p>
        </w:tc>
        <w:tc>
          <w:tcPr>
            <w:tcW w:w="730" w:type="dxa"/>
            <w:vMerge w:val="restart"/>
          </w:tcPr>
          <w:p>
            <w:pPr>
              <w:pStyle w:val="TableParagraph"/>
              <w:rPr>
                <w:rFonts w:ascii="Times New Roman"/>
                <w:sz w:val="16"/>
              </w:rPr>
            </w:pPr>
          </w:p>
        </w:tc>
        <w:tc>
          <w:tcPr>
            <w:tcW w:w="1360" w:type="dxa"/>
          </w:tcPr>
          <w:p>
            <w:pPr>
              <w:pStyle w:val="TableParagraph"/>
              <w:spacing w:line="184" w:lineRule="exact" w:before="3"/>
              <w:ind w:right="31"/>
              <w:jc w:val="right"/>
              <w:rPr>
                <w:sz w:val="16"/>
              </w:rPr>
            </w:pPr>
            <w:r>
              <w:rPr>
                <w:w w:val="100"/>
                <w:sz w:val="16"/>
              </w:rPr>
              <w:t>-</w:t>
            </w:r>
          </w:p>
        </w:tc>
        <w:tc>
          <w:tcPr>
            <w:tcW w:w="153" w:type="dxa"/>
            <w:vMerge w:val="restart"/>
          </w:tcPr>
          <w:p>
            <w:pPr>
              <w:pStyle w:val="TableParagraph"/>
              <w:rPr>
                <w:rFonts w:ascii="Times New Roman"/>
                <w:sz w:val="16"/>
              </w:rPr>
            </w:pPr>
          </w:p>
        </w:tc>
        <w:tc>
          <w:tcPr>
            <w:tcW w:w="1360" w:type="dxa"/>
          </w:tcPr>
          <w:p>
            <w:pPr>
              <w:pStyle w:val="TableParagraph"/>
              <w:spacing w:line="184" w:lineRule="exact" w:before="3"/>
              <w:ind w:right="30"/>
              <w:jc w:val="right"/>
              <w:rPr>
                <w:sz w:val="16"/>
              </w:rPr>
            </w:pPr>
            <w:r>
              <w:rPr>
                <w:w w:val="100"/>
                <w:sz w:val="16"/>
              </w:rPr>
              <w:t>-</w:t>
            </w:r>
          </w:p>
        </w:tc>
      </w:tr>
      <w:tr>
        <w:trPr>
          <w:trHeight w:val="397" w:hRule="atLeast"/>
        </w:trPr>
        <w:tc>
          <w:tcPr>
            <w:tcW w:w="6163" w:type="dxa"/>
          </w:tcPr>
          <w:p>
            <w:pPr>
              <w:pStyle w:val="TableParagraph"/>
              <w:spacing w:line="190" w:lineRule="exact" w:before="3"/>
              <w:ind w:left="200" w:right="2474"/>
              <w:rPr>
                <w:sz w:val="16"/>
              </w:rPr>
            </w:pPr>
            <w:r>
              <w:rPr>
                <w:sz w:val="16"/>
              </w:rPr>
              <w:t>Net (gain)/loss on revaluation of Financial Assets Net (gain)/loss on assets held for sale</w:t>
            </w:r>
          </w:p>
        </w:tc>
        <w:tc>
          <w:tcPr>
            <w:tcW w:w="730" w:type="dxa"/>
            <w:vMerge/>
            <w:tcBorders>
              <w:top w:val="nil"/>
            </w:tcBorders>
          </w:tcPr>
          <w:p>
            <w:pPr>
              <w:rPr>
                <w:sz w:val="2"/>
                <w:szCs w:val="2"/>
              </w:rPr>
            </w:pPr>
          </w:p>
        </w:tc>
        <w:tc>
          <w:tcPr>
            <w:tcW w:w="1360" w:type="dxa"/>
          </w:tcPr>
          <w:p>
            <w:pPr>
              <w:pStyle w:val="TableParagraph"/>
              <w:ind w:right="31"/>
              <w:jc w:val="right"/>
              <w:rPr>
                <w:sz w:val="16"/>
              </w:rPr>
            </w:pPr>
            <w:r>
              <w:rPr>
                <w:w w:val="100"/>
                <w:sz w:val="16"/>
              </w:rPr>
              <w:t>-</w:t>
            </w:r>
          </w:p>
          <w:p>
            <w:pPr>
              <w:pStyle w:val="TableParagraph"/>
              <w:spacing w:line="182" w:lineRule="exact" w:before="11"/>
              <w:ind w:right="31"/>
              <w:jc w:val="right"/>
              <w:rPr>
                <w:sz w:val="16"/>
              </w:rPr>
            </w:pPr>
            <w:r>
              <w:rPr>
                <w:w w:val="100"/>
                <w:sz w:val="16"/>
              </w:rPr>
              <w:t>-</w:t>
            </w:r>
          </w:p>
        </w:tc>
        <w:tc>
          <w:tcPr>
            <w:tcW w:w="153" w:type="dxa"/>
            <w:vMerge/>
            <w:tcBorders>
              <w:top w:val="nil"/>
            </w:tcBorders>
          </w:tcPr>
          <w:p>
            <w:pPr>
              <w:rPr>
                <w:sz w:val="2"/>
                <w:szCs w:val="2"/>
              </w:rPr>
            </w:pPr>
          </w:p>
        </w:tc>
        <w:tc>
          <w:tcPr>
            <w:tcW w:w="1360" w:type="dxa"/>
          </w:tcPr>
          <w:p>
            <w:pPr>
              <w:pStyle w:val="TableParagraph"/>
              <w:ind w:right="30"/>
              <w:jc w:val="right"/>
              <w:rPr>
                <w:sz w:val="16"/>
              </w:rPr>
            </w:pPr>
            <w:r>
              <w:rPr>
                <w:w w:val="100"/>
                <w:sz w:val="16"/>
              </w:rPr>
              <w:t>-</w:t>
            </w:r>
          </w:p>
          <w:p>
            <w:pPr>
              <w:pStyle w:val="TableParagraph"/>
              <w:spacing w:line="182" w:lineRule="exact" w:before="11"/>
              <w:ind w:right="32"/>
              <w:jc w:val="right"/>
              <w:rPr>
                <w:sz w:val="16"/>
              </w:rPr>
            </w:pPr>
            <w:r>
              <w:rPr>
                <w:w w:val="100"/>
                <w:sz w:val="16"/>
              </w:rPr>
              <w:t>-</w:t>
            </w:r>
          </w:p>
        </w:tc>
      </w:tr>
      <w:tr>
        <w:trPr>
          <w:trHeight w:val="206" w:hRule="atLeast"/>
        </w:trPr>
        <w:tc>
          <w:tcPr>
            <w:tcW w:w="6163" w:type="dxa"/>
          </w:tcPr>
          <w:p>
            <w:pPr>
              <w:pStyle w:val="TableParagraph"/>
              <w:spacing w:line="177" w:lineRule="exact" w:before="9"/>
              <w:ind w:left="200"/>
              <w:rPr>
                <w:sz w:val="16"/>
              </w:rPr>
            </w:pPr>
            <w:r>
              <w:rPr>
                <w:sz w:val="16"/>
              </w:rPr>
              <w:t>Actuarial (gain)/loss in pension schemes</w:t>
            </w:r>
          </w:p>
        </w:tc>
        <w:tc>
          <w:tcPr>
            <w:tcW w:w="730" w:type="dxa"/>
            <w:vMerge w:val="restart"/>
          </w:tcPr>
          <w:p>
            <w:pPr>
              <w:pStyle w:val="TableParagraph"/>
              <w:rPr>
                <w:rFonts w:ascii="Times New Roman"/>
                <w:sz w:val="16"/>
              </w:rPr>
            </w:pPr>
          </w:p>
        </w:tc>
        <w:tc>
          <w:tcPr>
            <w:tcW w:w="1360" w:type="dxa"/>
          </w:tcPr>
          <w:p>
            <w:pPr>
              <w:pStyle w:val="TableParagraph"/>
              <w:spacing w:line="182" w:lineRule="exact" w:before="4"/>
              <w:ind w:right="31"/>
              <w:jc w:val="right"/>
              <w:rPr>
                <w:sz w:val="16"/>
              </w:rPr>
            </w:pPr>
            <w:r>
              <w:rPr>
                <w:w w:val="100"/>
                <w:sz w:val="16"/>
              </w:rPr>
              <w:t>-</w:t>
            </w:r>
          </w:p>
        </w:tc>
        <w:tc>
          <w:tcPr>
            <w:tcW w:w="153" w:type="dxa"/>
            <w:vMerge w:val="restart"/>
          </w:tcPr>
          <w:p>
            <w:pPr>
              <w:pStyle w:val="TableParagraph"/>
              <w:rPr>
                <w:rFonts w:ascii="Times New Roman"/>
                <w:sz w:val="16"/>
              </w:rPr>
            </w:pPr>
          </w:p>
        </w:tc>
        <w:tc>
          <w:tcPr>
            <w:tcW w:w="1360" w:type="dxa"/>
          </w:tcPr>
          <w:p>
            <w:pPr>
              <w:pStyle w:val="TableParagraph"/>
              <w:spacing w:line="182" w:lineRule="exact" w:before="4"/>
              <w:ind w:right="30"/>
              <w:jc w:val="right"/>
              <w:rPr>
                <w:sz w:val="16"/>
              </w:rPr>
            </w:pPr>
            <w:r>
              <w:rPr>
                <w:w w:val="100"/>
                <w:sz w:val="16"/>
              </w:rPr>
              <w:t>-</w:t>
            </w:r>
          </w:p>
        </w:tc>
      </w:tr>
      <w:tr>
        <w:trPr>
          <w:trHeight w:val="202" w:hRule="atLeast"/>
        </w:trPr>
        <w:tc>
          <w:tcPr>
            <w:tcW w:w="6163" w:type="dxa"/>
          </w:tcPr>
          <w:p>
            <w:pPr>
              <w:pStyle w:val="TableParagraph"/>
              <w:spacing w:line="183" w:lineRule="exact"/>
              <w:ind w:left="200"/>
              <w:rPr>
                <w:sz w:val="16"/>
              </w:rPr>
            </w:pPr>
            <w:r>
              <w:rPr>
                <w:sz w:val="16"/>
              </w:rPr>
              <w:t>Impairments and reversals taken to Revaluation Reserve</w:t>
            </w:r>
          </w:p>
        </w:tc>
        <w:tc>
          <w:tcPr>
            <w:tcW w:w="730" w:type="dxa"/>
            <w:vMerge/>
            <w:tcBorders>
              <w:top w:val="nil"/>
            </w:tcBorders>
          </w:tcPr>
          <w:p>
            <w:pPr>
              <w:rPr>
                <w:sz w:val="2"/>
                <w:szCs w:val="2"/>
              </w:rPr>
            </w:pPr>
          </w:p>
        </w:tc>
        <w:tc>
          <w:tcPr>
            <w:tcW w:w="1360" w:type="dxa"/>
          </w:tcPr>
          <w:p>
            <w:pPr>
              <w:pStyle w:val="TableParagraph"/>
              <w:spacing w:line="183" w:lineRule="exact"/>
              <w:ind w:right="31"/>
              <w:jc w:val="right"/>
              <w:rPr>
                <w:sz w:val="16"/>
              </w:rPr>
            </w:pPr>
            <w:r>
              <w:rPr>
                <w:w w:val="100"/>
                <w:sz w:val="16"/>
              </w:rPr>
              <w:t>-</w:t>
            </w:r>
          </w:p>
        </w:tc>
        <w:tc>
          <w:tcPr>
            <w:tcW w:w="153" w:type="dxa"/>
            <w:vMerge/>
            <w:tcBorders>
              <w:top w:val="nil"/>
            </w:tcBorders>
          </w:tcPr>
          <w:p>
            <w:pPr>
              <w:rPr>
                <w:sz w:val="2"/>
                <w:szCs w:val="2"/>
              </w:rPr>
            </w:pPr>
          </w:p>
        </w:tc>
        <w:tc>
          <w:tcPr>
            <w:tcW w:w="1360" w:type="dxa"/>
          </w:tcPr>
          <w:p>
            <w:pPr>
              <w:pStyle w:val="TableParagraph"/>
              <w:spacing w:line="183" w:lineRule="exact"/>
              <w:ind w:right="30"/>
              <w:jc w:val="right"/>
              <w:rPr>
                <w:sz w:val="16"/>
              </w:rPr>
            </w:pPr>
            <w:r>
              <w:rPr>
                <w:w w:val="100"/>
                <w:sz w:val="16"/>
              </w:rPr>
              <w:t>-</w:t>
            </w:r>
          </w:p>
        </w:tc>
      </w:tr>
      <w:tr>
        <w:trPr>
          <w:trHeight w:val="394" w:hRule="atLeast"/>
        </w:trPr>
        <w:tc>
          <w:tcPr>
            <w:tcW w:w="6163" w:type="dxa"/>
          </w:tcPr>
          <w:p>
            <w:pPr>
              <w:pStyle w:val="TableParagraph"/>
              <w:spacing w:before="5"/>
              <w:ind w:left="200"/>
              <w:rPr>
                <w:b/>
                <w:sz w:val="16"/>
              </w:rPr>
            </w:pPr>
            <w:r>
              <w:rPr>
                <w:b/>
                <w:sz w:val="16"/>
                <w:u w:val="single"/>
              </w:rPr>
              <w:t>I tems that may be reclassified to Net Operating Costs</w:t>
            </w:r>
          </w:p>
          <w:p>
            <w:pPr>
              <w:pStyle w:val="TableParagraph"/>
              <w:spacing w:line="182" w:lineRule="exact" w:before="3"/>
              <w:ind w:left="200"/>
              <w:rPr>
                <w:sz w:val="16"/>
              </w:rPr>
            </w:pPr>
            <w:r>
              <w:rPr>
                <w:sz w:val="16"/>
              </w:rPr>
              <w:t>Net (gain)/loss on revaluation of other Financial Assets</w:t>
            </w:r>
          </w:p>
        </w:tc>
        <w:tc>
          <w:tcPr>
            <w:tcW w:w="730" w:type="dxa"/>
          </w:tcPr>
          <w:p>
            <w:pPr>
              <w:pStyle w:val="TableParagraph"/>
              <w:rPr>
                <w:rFonts w:ascii="Times New Roman"/>
                <w:sz w:val="16"/>
              </w:rPr>
            </w:pPr>
          </w:p>
        </w:tc>
        <w:tc>
          <w:tcPr>
            <w:tcW w:w="1360" w:type="dxa"/>
          </w:tcPr>
          <w:p>
            <w:pPr>
              <w:pStyle w:val="TableParagraph"/>
              <w:spacing w:before="10"/>
              <w:rPr>
                <w:sz w:val="16"/>
              </w:rPr>
            </w:pPr>
          </w:p>
          <w:p>
            <w:pPr>
              <w:pStyle w:val="TableParagraph"/>
              <w:spacing w:line="180" w:lineRule="exact" w:before="1"/>
              <w:ind w:right="31"/>
              <w:jc w:val="right"/>
              <w:rPr>
                <w:sz w:val="16"/>
              </w:rPr>
            </w:pPr>
            <w:r>
              <w:rPr>
                <w:w w:val="100"/>
                <w:sz w:val="16"/>
              </w:rPr>
              <w:t>-</w:t>
            </w:r>
          </w:p>
        </w:tc>
        <w:tc>
          <w:tcPr>
            <w:tcW w:w="153" w:type="dxa"/>
          </w:tcPr>
          <w:p>
            <w:pPr>
              <w:pStyle w:val="TableParagraph"/>
              <w:rPr>
                <w:rFonts w:ascii="Times New Roman"/>
                <w:sz w:val="16"/>
              </w:rPr>
            </w:pPr>
          </w:p>
        </w:tc>
        <w:tc>
          <w:tcPr>
            <w:tcW w:w="1360" w:type="dxa"/>
          </w:tcPr>
          <w:p>
            <w:pPr>
              <w:pStyle w:val="TableParagraph"/>
              <w:spacing w:before="10"/>
              <w:rPr>
                <w:sz w:val="16"/>
              </w:rPr>
            </w:pPr>
          </w:p>
          <w:p>
            <w:pPr>
              <w:pStyle w:val="TableParagraph"/>
              <w:spacing w:line="180" w:lineRule="exact" w:before="1"/>
              <w:ind w:right="30"/>
              <w:jc w:val="right"/>
              <w:rPr>
                <w:sz w:val="16"/>
              </w:rPr>
            </w:pPr>
            <w:r>
              <w:rPr>
                <w:w w:val="100"/>
                <w:sz w:val="16"/>
              </w:rPr>
              <w:t>-</w:t>
            </w:r>
          </w:p>
        </w:tc>
      </w:tr>
      <w:tr>
        <w:trPr>
          <w:trHeight w:val="203" w:hRule="atLeast"/>
        </w:trPr>
        <w:tc>
          <w:tcPr>
            <w:tcW w:w="6163" w:type="dxa"/>
          </w:tcPr>
          <w:p>
            <w:pPr>
              <w:pStyle w:val="TableParagraph"/>
              <w:spacing w:line="182" w:lineRule="exact" w:before="1"/>
              <w:ind w:left="200"/>
              <w:rPr>
                <w:sz w:val="16"/>
              </w:rPr>
            </w:pPr>
            <w:r>
              <w:rPr>
                <w:sz w:val="16"/>
              </w:rPr>
              <w:t>Net gain/loss on revaluation of available for sale financial assets</w:t>
            </w:r>
          </w:p>
        </w:tc>
        <w:tc>
          <w:tcPr>
            <w:tcW w:w="730" w:type="dxa"/>
          </w:tcPr>
          <w:p>
            <w:pPr>
              <w:pStyle w:val="TableParagraph"/>
              <w:rPr>
                <w:rFonts w:ascii="Times New Roman"/>
                <w:sz w:val="14"/>
              </w:rPr>
            </w:pPr>
          </w:p>
        </w:tc>
        <w:tc>
          <w:tcPr>
            <w:tcW w:w="1360" w:type="dxa"/>
          </w:tcPr>
          <w:p>
            <w:pPr>
              <w:pStyle w:val="TableParagraph"/>
              <w:spacing w:line="182" w:lineRule="exact" w:before="1"/>
              <w:ind w:right="31"/>
              <w:jc w:val="right"/>
              <w:rPr>
                <w:sz w:val="16"/>
              </w:rPr>
            </w:pPr>
            <w:r>
              <w:rPr>
                <w:w w:val="100"/>
                <w:sz w:val="16"/>
              </w:rPr>
              <w:t>-</w:t>
            </w:r>
          </w:p>
        </w:tc>
        <w:tc>
          <w:tcPr>
            <w:tcW w:w="153" w:type="dxa"/>
          </w:tcPr>
          <w:p>
            <w:pPr>
              <w:pStyle w:val="TableParagraph"/>
              <w:rPr>
                <w:rFonts w:ascii="Times New Roman"/>
                <w:sz w:val="14"/>
              </w:rPr>
            </w:pPr>
          </w:p>
        </w:tc>
        <w:tc>
          <w:tcPr>
            <w:tcW w:w="1360" w:type="dxa"/>
          </w:tcPr>
          <w:p>
            <w:pPr>
              <w:pStyle w:val="TableParagraph"/>
              <w:spacing w:line="182" w:lineRule="exact" w:before="1"/>
              <w:ind w:right="30"/>
              <w:jc w:val="right"/>
              <w:rPr>
                <w:sz w:val="16"/>
              </w:rPr>
            </w:pPr>
            <w:r>
              <w:rPr>
                <w:w w:val="100"/>
                <w:sz w:val="16"/>
              </w:rPr>
              <w:t>-</w:t>
            </w:r>
          </w:p>
        </w:tc>
      </w:tr>
      <w:tr>
        <w:trPr>
          <w:trHeight w:val="306" w:hRule="atLeast"/>
        </w:trPr>
        <w:tc>
          <w:tcPr>
            <w:tcW w:w="6163" w:type="dxa"/>
          </w:tcPr>
          <w:p>
            <w:pPr>
              <w:pStyle w:val="TableParagraph"/>
              <w:spacing w:before="9"/>
              <w:ind w:left="200"/>
              <w:rPr>
                <w:sz w:val="16"/>
              </w:rPr>
            </w:pPr>
            <w:r>
              <w:rPr>
                <w:sz w:val="16"/>
              </w:rPr>
              <w:t>Reclassification adjustment on disposal of available for sale financial assets</w:t>
            </w:r>
          </w:p>
        </w:tc>
        <w:tc>
          <w:tcPr>
            <w:tcW w:w="730" w:type="dxa"/>
          </w:tcPr>
          <w:p>
            <w:pPr>
              <w:pStyle w:val="TableParagraph"/>
              <w:rPr>
                <w:rFonts w:ascii="Times New Roman"/>
                <w:sz w:val="16"/>
              </w:rPr>
            </w:pPr>
          </w:p>
        </w:tc>
        <w:tc>
          <w:tcPr>
            <w:tcW w:w="1360" w:type="dxa"/>
          </w:tcPr>
          <w:p>
            <w:pPr>
              <w:pStyle w:val="TableParagraph"/>
              <w:tabs>
                <w:tab w:pos="1269" w:val="left" w:leader="none"/>
              </w:tabs>
              <w:spacing w:before="4"/>
              <w:ind w:right="-15"/>
              <w:jc w:val="right"/>
              <w:rPr>
                <w:sz w:val="16"/>
              </w:rPr>
            </w:pPr>
            <w:r>
              <w:rPr>
                <w:w w:val="100"/>
                <w:sz w:val="16"/>
                <w:u w:val="single"/>
              </w:rPr>
              <w:t> </w:t>
            </w:r>
            <w:r>
              <w:rPr>
                <w:sz w:val="16"/>
                <w:u w:val="single"/>
              </w:rPr>
              <w:tab/>
              <w:t>-</w:t>
            </w:r>
          </w:p>
        </w:tc>
        <w:tc>
          <w:tcPr>
            <w:tcW w:w="153" w:type="dxa"/>
          </w:tcPr>
          <w:p>
            <w:pPr>
              <w:pStyle w:val="TableParagraph"/>
              <w:rPr>
                <w:rFonts w:ascii="Times New Roman"/>
                <w:sz w:val="16"/>
              </w:rPr>
            </w:pPr>
          </w:p>
        </w:tc>
        <w:tc>
          <w:tcPr>
            <w:tcW w:w="1360" w:type="dxa"/>
          </w:tcPr>
          <w:p>
            <w:pPr>
              <w:pStyle w:val="TableParagraph"/>
              <w:tabs>
                <w:tab w:pos="1267" w:val="left" w:leader="none"/>
              </w:tabs>
              <w:spacing w:before="4"/>
              <w:ind w:right="-15"/>
              <w:jc w:val="right"/>
              <w:rPr>
                <w:sz w:val="16"/>
              </w:rPr>
            </w:pPr>
            <w:r>
              <w:rPr>
                <w:w w:val="100"/>
                <w:sz w:val="16"/>
                <w:u w:val="single"/>
              </w:rPr>
              <w:t> </w:t>
            </w:r>
            <w:r>
              <w:rPr>
                <w:sz w:val="16"/>
                <w:u w:val="single"/>
              </w:rPr>
              <w:tab/>
              <w:t>-</w:t>
            </w:r>
          </w:p>
        </w:tc>
      </w:tr>
      <w:tr>
        <w:trPr>
          <w:trHeight w:val="496" w:hRule="atLeast"/>
        </w:trPr>
        <w:tc>
          <w:tcPr>
            <w:tcW w:w="6163" w:type="dxa"/>
          </w:tcPr>
          <w:p>
            <w:pPr>
              <w:pStyle w:val="TableParagraph"/>
              <w:spacing w:before="106"/>
              <w:ind w:left="200"/>
              <w:rPr>
                <w:b/>
                <w:sz w:val="16"/>
              </w:rPr>
            </w:pPr>
            <w:r>
              <w:rPr>
                <w:b/>
                <w:sz w:val="16"/>
              </w:rPr>
              <w:t>Sub total</w:t>
            </w:r>
          </w:p>
        </w:tc>
        <w:tc>
          <w:tcPr>
            <w:tcW w:w="730" w:type="dxa"/>
          </w:tcPr>
          <w:p>
            <w:pPr>
              <w:pStyle w:val="TableParagraph"/>
              <w:rPr>
                <w:rFonts w:ascii="Times New Roman"/>
                <w:sz w:val="16"/>
              </w:rPr>
            </w:pPr>
          </w:p>
        </w:tc>
        <w:tc>
          <w:tcPr>
            <w:tcW w:w="1360" w:type="dxa"/>
            <w:tcBorders>
              <w:bottom w:val="single" w:sz="8" w:space="0" w:color="000000"/>
            </w:tcBorders>
          </w:tcPr>
          <w:p>
            <w:pPr>
              <w:pStyle w:val="TableParagraph"/>
              <w:spacing w:before="99"/>
              <w:ind w:right="31"/>
              <w:jc w:val="right"/>
              <w:rPr>
                <w:b/>
                <w:sz w:val="16"/>
              </w:rPr>
            </w:pPr>
            <w:r>
              <w:rPr>
                <w:b/>
                <w:w w:val="100"/>
                <w:sz w:val="16"/>
              </w:rPr>
              <w:t>-</w:t>
            </w:r>
          </w:p>
        </w:tc>
        <w:tc>
          <w:tcPr>
            <w:tcW w:w="153" w:type="dxa"/>
          </w:tcPr>
          <w:p>
            <w:pPr>
              <w:pStyle w:val="TableParagraph"/>
              <w:rPr>
                <w:rFonts w:ascii="Times New Roman"/>
                <w:sz w:val="16"/>
              </w:rPr>
            </w:pPr>
          </w:p>
        </w:tc>
        <w:tc>
          <w:tcPr>
            <w:tcW w:w="1360" w:type="dxa"/>
            <w:tcBorders>
              <w:bottom w:val="single" w:sz="8" w:space="0" w:color="000000"/>
            </w:tcBorders>
          </w:tcPr>
          <w:p>
            <w:pPr>
              <w:pStyle w:val="TableParagraph"/>
              <w:spacing w:before="99"/>
              <w:ind w:right="32"/>
              <w:jc w:val="right"/>
              <w:rPr>
                <w:b/>
                <w:sz w:val="16"/>
              </w:rPr>
            </w:pPr>
            <w:r>
              <w:rPr>
                <w:b/>
                <w:w w:val="100"/>
                <w:sz w:val="16"/>
              </w:rPr>
              <w:t>-</w:t>
            </w:r>
          </w:p>
        </w:tc>
      </w:tr>
      <w:tr>
        <w:trPr>
          <w:trHeight w:val="169" w:hRule="atLeast"/>
        </w:trPr>
        <w:tc>
          <w:tcPr>
            <w:tcW w:w="6163" w:type="dxa"/>
          </w:tcPr>
          <w:p>
            <w:pPr>
              <w:pStyle w:val="TableParagraph"/>
              <w:spacing w:line="150" w:lineRule="exact"/>
              <w:ind w:left="200"/>
              <w:rPr>
                <w:b/>
                <w:sz w:val="16"/>
              </w:rPr>
            </w:pPr>
            <w:r>
              <w:rPr>
                <w:b/>
                <w:sz w:val="16"/>
              </w:rPr>
              <w:t>Comprehensive Expenditure for the year</w:t>
            </w:r>
          </w:p>
        </w:tc>
        <w:tc>
          <w:tcPr>
            <w:tcW w:w="730" w:type="dxa"/>
          </w:tcPr>
          <w:p>
            <w:pPr>
              <w:pStyle w:val="TableParagraph"/>
              <w:rPr>
                <w:rFonts w:ascii="Times New Roman"/>
                <w:sz w:val="10"/>
              </w:rPr>
            </w:pPr>
          </w:p>
        </w:tc>
        <w:tc>
          <w:tcPr>
            <w:tcW w:w="1360" w:type="dxa"/>
            <w:tcBorders>
              <w:top w:val="single" w:sz="8" w:space="0" w:color="000000"/>
            </w:tcBorders>
          </w:tcPr>
          <w:p>
            <w:pPr>
              <w:pStyle w:val="TableParagraph"/>
              <w:tabs>
                <w:tab w:pos="731" w:val="left" w:leader="none"/>
              </w:tabs>
              <w:spacing w:line="148" w:lineRule="exact"/>
              <w:ind w:right="-15"/>
              <w:jc w:val="right"/>
              <w:rPr>
                <w:b/>
                <w:sz w:val="16"/>
              </w:rPr>
            </w:pPr>
            <w:r>
              <w:rPr>
                <w:b/>
                <w:w w:val="100"/>
                <w:sz w:val="16"/>
                <w:u w:val="single"/>
              </w:rPr>
              <w:t> </w:t>
            </w:r>
            <w:r>
              <w:rPr>
                <w:b/>
                <w:sz w:val="16"/>
                <w:u w:val="single"/>
              </w:rPr>
              <w:tab/>
            </w:r>
            <w:r>
              <w:rPr>
                <w:b/>
                <w:spacing w:val="-1"/>
                <w:sz w:val="16"/>
                <w:u w:val="single"/>
              </w:rPr>
              <w:t>319,448</w:t>
            </w:r>
          </w:p>
        </w:tc>
        <w:tc>
          <w:tcPr>
            <w:tcW w:w="153" w:type="dxa"/>
          </w:tcPr>
          <w:p>
            <w:pPr>
              <w:pStyle w:val="TableParagraph"/>
              <w:rPr>
                <w:rFonts w:ascii="Times New Roman"/>
                <w:sz w:val="10"/>
              </w:rPr>
            </w:pPr>
          </w:p>
        </w:tc>
        <w:tc>
          <w:tcPr>
            <w:tcW w:w="1360" w:type="dxa"/>
            <w:tcBorders>
              <w:top w:val="single" w:sz="8" w:space="0" w:color="000000"/>
            </w:tcBorders>
          </w:tcPr>
          <w:p>
            <w:pPr>
              <w:pStyle w:val="TableParagraph"/>
              <w:tabs>
                <w:tab w:pos="729" w:val="left" w:leader="none"/>
              </w:tabs>
              <w:spacing w:line="148" w:lineRule="exact"/>
              <w:ind w:right="-15"/>
              <w:jc w:val="right"/>
              <w:rPr>
                <w:b/>
                <w:sz w:val="16"/>
              </w:rPr>
            </w:pPr>
            <w:r>
              <w:rPr>
                <w:b/>
                <w:w w:val="100"/>
                <w:sz w:val="16"/>
                <w:u w:val="single"/>
              </w:rPr>
              <w:t> </w:t>
            </w:r>
            <w:r>
              <w:rPr>
                <w:b/>
                <w:sz w:val="16"/>
                <w:u w:val="single"/>
              </w:rPr>
              <w:tab/>
            </w:r>
            <w:r>
              <w:rPr>
                <w:b/>
                <w:spacing w:val="-1"/>
                <w:sz w:val="16"/>
                <w:u w:val="single"/>
              </w:rPr>
              <w:t>297,814</w:t>
            </w:r>
          </w:p>
        </w:tc>
      </w:tr>
    </w:tbl>
    <w:p>
      <w:pPr>
        <w:spacing w:after="0" w:line="148" w:lineRule="exact"/>
        <w:jc w:val="right"/>
        <w:rPr>
          <w:sz w:val="16"/>
        </w:rPr>
        <w:sectPr>
          <w:footerReference w:type="default" r:id="rId48"/>
          <w:pgSz w:w="11920" w:h="16850"/>
          <w:pgMar w:footer="407" w:header="0" w:top="1080" w:bottom="600" w:left="740" w:right="520"/>
          <w:pgNumType w:start="1"/>
        </w:sectPr>
      </w:pPr>
    </w:p>
    <w:tbl>
      <w:tblPr>
        <w:tblW w:w="0" w:type="auto"/>
        <w:jc w:val="lef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68"/>
        <w:gridCol w:w="991"/>
        <w:gridCol w:w="1414"/>
        <w:gridCol w:w="147"/>
        <w:gridCol w:w="1385"/>
      </w:tblGrid>
      <w:tr>
        <w:trPr>
          <w:trHeight w:val="625" w:hRule="atLeast"/>
        </w:trPr>
        <w:tc>
          <w:tcPr>
            <w:tcW w:w="5768" w:type="dxa"/>
          </w:tcPr>
          <w:p>
            <w:pPr>
              <w:pStyle w:val="TableParagraph"/>
              <w:spacing w:line="186" w:lineRule="exact"/>
              <w:ind w:left="200"/>
              <w:rPr>
                <w:sz w:val="17"/>
              </w:rPr>
            </w:pPr>
            <w:r>
              <w:rPr>
                <w:sz w:val="17"/>
              </w:rPr>
              <w:t>NHS North Lincolnshire CCG - Annual Accounts 2021-22</w:t>
            </w:r>
          </w:p>
          <w:p>
            <w:pPr>
              <w:pStyle w:val="TableParagraph"/>
              <w:spacing w:before="6"/>
              <w:rPr>
                <w:sz w:val="19"/>
              </w:rPr>
            </w:pPr>
          </w:p>
          <w:p>
            <w:pPr>
              <w:pStyle w:val="TableParagraph"/>
              <w:spacing w:line="195" w:lineRule="exact"/>
              <w:ind w:left="200"/>
              <w:rPr>
                <w:b/>
                <w:sz w:val="17"/>
              </w:rPr>
            </w:pPr>
            <w:r>
              <w:rPr>
                <w:b/>
                <w:sz w:val="17"/>
              </w:rPr>
              <w:t>Statement of Financial Position as at</w:t>
            </w:r>
          </w:p>
        </w:tc>
        <w:tc>
          <w:tcPr>
            <w:tcW w:w="991" w:type="dxa"/>
          </w:tcPr>
          <w:p>
            <w:pPr>
              <w:pStyle w:val="TableParagraph"/>
              <w:rPr>
                <w:rFonts w:ascii="Times New Roman"/>
                <w:sz w:val="16"/>
              </w:rPr>
            </w:pPr>
          </w:p>
        </w:tc>
        <w:tc>
          <w:tcPr>
            <w:tcW w:w="1414" w:type="dxa"/>
          </w:tcPr>
          <w:p>
            <w:pPr>
              <w:pStyle w:val="TableParagraph"/>
              <w:rPr>
                <w:rFonts w:ascii="Times New Roman"/>
                <w:sz w:val="16"/>
              </w:rPr>
            </w:pPr>
          </w:p>
        </w:tc>
        <w:tc>
          <w:tcPr>
            <w:tcW w:w="147" w:type="dxa"/>
          </w:tcPr>
          <w:p>
            <w:pPr>
              <w:pStyle w:val="TableParagraph"/>
              <w:rPr>
                <w:rFonts w:ascii="Times New Roman"/>
                <w:sz w:val="16"/>
              </w:rPr>
            </w:pPr>
          </w:p>
        </w:tc>
        <w:tc>
          <w:tcPr>
            <w:tcW w:w="1385" w:type="dxa"/>
          </w:tcPr>
          <w:p>
            <w:pPr>
              <w:pStyle w:val="TableParagraph"/>
              <w:rPr>
                <w:rFonts w:ascii="Times New Roman"/>
                <w:sz w:val="16"/>
              </w:rPr>
            </w:pPr>
          </w:p>
        </w:tc>
      </w:tr>
      <w:tr>
        <w:trPr>
          <w:trHeight w:val="215" w:hRule="atLeast"/>
        </w:trPr>
        <w:tc>
          <w:tcPr>
            <w:tcW w:w="5768" w:type="dxa"/>
          </w:tcPr>
          <w:p>
            <w:pPr>
              <w:pStyle w:val="TableParagraph"/>
              <w:spacing w:line="190" w:lineRule="exact" w:before="6"/>
              <w:ind w:left="200"/>
              <w:rPr>
                <w:b/>
                <w:sz w:val="17"/>
              </w:rPr>
            </w:pPr>
            <w:r>
              <w:rPr>
                <w:b/>
                <w:sz w:val="17"/>
              </w:rPr>
              <w:t>31 March 2022</w:t>
            </w:r>
          </w:p>
        </w:tc>
        <w:tc>
          <w:tcPr>
            <w:tcW w:w="991" w:type="dxa"/>
          </w:tcPr>
          <w:p>
            <w:pPr>
              <w:pStyle w:val="TableParagraph"/>
              <w:rPr>
                <w:rFonts w:ascii="Times New Roman"/>
                <w:sz w:val="14"/>
              </w:rPr>
            </w:pPr>
          </w:p>
        </w:tc>
        <w:tc>
          <w:tcPr>
            <w:tcW w:w="1414" w:type="dxa"/>
          </w:tcPr>
          <w:p>
            <w:pPr>
              <w:pStyle w:val="TableParagraph"/>
              <w:rPr>
                <w:rFonts w:ascii="Times New Roman"/>
                <w:sz w:val="14"/>
              </w:rPr>
            </w:pPr>
          </w:p>
        </w:tc>
        <w:tc>
          <w:tcPr>
            <w:tcW w:w="147" w:type="dxa"/>
          </w:tcPr>
          <w:p>
            <w:pPr>
              <w:pStyle w:val="TableParagraph"/>
              <w:rPr>
                <w:rFonts w:ascii="Times New Roman"/>
                <w:sz w:val="14"/>
              </w:rPr>
            </w:pPr>
          </w:p>
        </w:tc>
        <w:tc>
          <w:tcPr>
            <w:tcW w:w="1385" w:type="dxa"/>
          </w:tcPr>
          <w:p>
            <w:pPr>
              <w:pStyle w:val="TableParagraph"/>
              <w:rPr>
                <w:rFonts w:ascii="Times New Roman"/>
                <w:sz w:val="14"/>
              </w:rPr>
            </w:pPr>
          </w:p>
        </w:tc>
      </w:tr>
      <w:tr>
        <w:trPr>
          <w:trHeight w:val="320" w:hRule="atLeast"/>
        </w:trPr>
        <w:tc>
          <w:tcPr>
            <w:tcW w:w="5768" w:type="dxa"/>
          </w:tcPr>
          <w:p>
            <w:pPr>
              <w:pStyle w:val="TableParagraph"/>
              <w:rPr>
                <w:rFonts w:ascii="Times New Roman"/>
                <w:sz w:val="16"/>
              </w:rPr>
            </w:pPr>
          </w:p>
        </w:tc>
        <w:tc>
          <w:tcPr>
            <w:tcW w:w="991" w:type="dxa"/>
          </w:tcPr>
          <w:p>
            <w:pPr>
              <w:pStyle w:val="TableParagraph"/>
              <w:rPr>
                <w:rFonts w:ascii="Times New Roman"/>
                <w:sz w:val="16"/>
              </w:rPr>
            </w:pPr>
          </w:p>
        </w:tc>
        <w:tc>
          <w:tcPr>
            <w:tcW w:w="1414" w:type="dxa"/>
          </w:tcPr>
          <w:p>
            <w:pPr>
              <w:pStyle w:val="TableParagraph"/>
              <w:spacing w:before="1"/>
              <w:ind w:left="396"/>
              <w:rPr>
                <w:b/>
                <w:sz w:val="17"/>
              </w:rPr>
            </w:pPr>
            <w:r>
              <w:rPr>
                <w:b/>
                <w:sz w:val="17"/>
              </w:rPr>
              <w:t>2021-22</w:t>
            </w:r>
          </w:p>
        </w:tc>
        <w:tc>
          <w:tcPr>
            <w:tcW w:w="147" w:type="dxa"/>
          </w:tcPr>
          <w:p>
            <w:pPr>
              <w:pStyle w:val="TableParagraph"/>
              <w:rPr>
                <w:rFonts w:ascii="Times New Roman"/>
                <w:sz w:val="16"/>
              </w:rPr>
            </w:pPr>
          </w:p>
        </w:tc>
        <w:tc>
          <w:tcPr>
            <w:tcW w:w="1385" w:type="dxa"/>
          </w:tcPr>
          <w:p>
            <w:pPr>
              <w:pStyle w:val="TableParagraph"/>
              <w:spacing w:before="1"/>
              <w:ind w:left="380"/>
              <w:rPr>
                <w:sz w:val="17"/>
              </w:rPr>
            </w:pPr>
            <w:r>
              <w:rPr>
                <w:sz w:val="17"/>
              </w:rPr>
              <w:t>2020-21</w:t>
            </w:r>
          </w:p>
        </w:tc>
      </w:tr>
      <w:tr>
        <w:trPr>
          <w:trHeight w:val="317" w:hRule="atLeast"/>
        </w:trPr>
        <w:tc>
          <w:tcPr>
            <w:tcW w:w="5768" w:type="dxa"/>
          </w:tcPr>
          <w:p>
            <w:pPr>
              <w:pStyle w:val="TableParagraph"/>
              <w:rPr>
                <w:rFonts w:ascii="Times New Roman"/>
                <w:sz w:val="16"/>
              </w:rPr>
            </w:pPr>
          </w:p>
        </w:tc>
        <w:tc>
          <w:tcPr>
            <w:tcW w:w="991" w:type="dxa"/>
          </w:tcPr>
          <w:p>
            <w:pPr>
              <w:pStyle w:val="TableParagraph"/>
              <w:spacing w:line="187" w:lineRule="exact" w:before="110"/>
              <w:ind w:right="30"/>
              <w:jc w:val="right"/>
              <w:rPr>
                <w:b/>
                <w:sz w:val="17"/>
              </w:rPr>
            </w:pPr>
            <w:r>
              <w:rPr>
                <w:b/>
                <w:sz w:val="17"/>
              </w:rPr>
              <w:t>Note</w:t>
            </w:r>
          </w:p>
        </w:tc>
        <w:tc>
          <w:tcPr>
            <w:tcW w:w="1414" w:type="dxa"/>
          </w:tcPr>
          <w:p>
            <w:pPr>
              <w:pStyle w:val="TableParagraph"/>
              <w:spacing w:line="187" w:lineRule="exact" w:before="110"/>
              <w:ind w:left="483" w:right="472"/>
              <w:jc w:val="center"/>
              <w:rPr>
                <w:b/>
                <w:sz w:val="17"/>
              </w:rPr>
            </w:pPr>
            <w:r>
              <w:rPr>
                <w:b/>
                <w:sz w:val="17"/>
              </w:rPr>
              <w:t>£'000</w:t>
            </w:r>
          </w:p>
        </w:tc>
        <w:tc>
          <w:tcPr>
            <w:tcW w:w="147" w:type="dxa"/>
          </w:tcPr>
          <w:p>
            <w:pPr>
              <w:pStyle w:val="TableParagraph"/>
              <w:rPr>
                <w:rFonts w:ascii="Times New Roman"/>
                <w:sz w:val="16"/>
              </w:rPr>
            </w:pPr>
          </w:p>
        </w:tc>
        <w:tc>
          <w:tcPr>
            <w:tcW w:w="1385" w:type="dxa"/>
          </w:tcPr>
          <w:p>
            <w:pPr>
              <w:pStyle w:val="TableParagraph"/>
              <w:spacing w:line="187" w:lineRule="exact" w:before="110"/>
              <w:ind w:left="471" w:right="463"/>
              <w:jc w:val="center"/>
              <w:rPr>
                <w:sz w:val="17"/>
              </w:rPr>
            </w:pPr>
            <w:r>
              <w:rPr>
                <w:sz w:val="17"/>
              </w:rPr>
              <w:t>£'000</w:t>
            </w:r>
          </w:p>
        </w:tc>
      </w:tr>
      <w:tr>
        <w:trPr>
          <w:trHeight w:val="213" w:hRule="atLeast"/>
        </w:trPr>
        <w:tc>
          <w:tcPr>
            <w:tcW w:w="5768" w:type="dxa"/>
          </w:tcPr>
          <w:p>
            <w:pPr>
              <w:pStyle w:val="TableParagraph"/>
              <w:spacing w:line="194" w:lineRule="exact"/>
              <w:ind w:left="200"/>
              <w:rPr>
                <w:b/>
                <w:sz w:val="17"/>
              </w:rPr>
            </w:pPr>
            <w:r>
              <w:rPr>
                <w:b/>
                <w:sz w:val="17"/>
              </w:rPr>
              <w:t>Non-current assets:</w:t>
            </w:r>
          </w:p>
        </w:tc>
        <w:tc>
          <w:tcPr>
            <w:tcW w:w="2405" w:type="dxa"/>
            <w:gridSpan w:val="2"/>
          </w:tcPr>
          <w:p>
            <w:pPr>
              <w:pStyle w:val="TableParagraph"/>
              <w:rPr>
                <w:rFonts w:ascii="Times New Roman"/>
                <w:sz w:val="14"/>
              </w:rPr>
            </w:pPr>
          </w:p>
        </w:tc>
        <w:tc>
          <w:tcPr>
            <w:tcW w:w="147" w:type="dxa"/>
          </w:tcPr>
          <w:p>
            <w:pPr>
              <w:pStyle w:val="TableParagraph"/>
              <w:rPr>
                <w:rFonts w:ascii="Times New Roman"/>
                <w:sz w:val="14"/>
              </w:rPr>
            </w:pPr>
          </w:p>
        </w:tc>
        <w:tc>
          <w:tcPr>
            <w:tcW w:w="1385" w:type="dxa"/>
          </w:tcPr>
          <w:p>
            <w:pPr>
              <w:pStyle w:val="TableParagraph"/>
              <w:rPr>
                <w:rFonts w:ascii="Times New Roman"/>
                <w:sz w:val="14"/>
              </w:rPr>
            </w:pPr>
          </w:p>
        </w:tc>
      </w:tr>
      <w:tr>
        <w:trPr>
          <w:trHeight w:val="217" w:hRule="atLeast"/>
        </w:trPr>
        <w:tc>
          <w:tcPr>
            <w:tcW w:w="5768" w:type="dxa"/>
          </w:tcPr>
          <w:p>
            <w:pPr>
              <w:pStyle w:val="TableParagraph"/>
              <w:spacing w:line="191" w:lineRule="exact" w:before="6"/>
              <w:ind w:left="200"/>
              <w:rPr>
                <w:sz w:val="17"/>
              </w:rPr>
            </w:pPr>
            <w:r>
              <w:rPr>
                <w:sz w:val="17"/>
              </w:rPr>
              <w:t>Property, plant and equipment</w:t>
            </w:r>
          </w:p>
        </w:tc>
        <w:tc>
          <w:tcPr>
            <w:tcW w:w="2405" w:type="dxa"/>
            <w:gridSpan w:val="2"/>
          </w:tcPr>
          <w:p>
            <w:pPr>
              <w:pStyle w:val="TableParagraph"/>
              <w:spacing w:line="191" w:lineRule="exact" w:before="6"/>
              <w:ind w:right="35"/>
              <w:jc w:val="right"/>
              <w:rPr>
                <w:sz w:val="17"/>
              </w:rPr>
            </w:pPr>
            <w:r>
              <w:rPr>
                <w:w w:val="100"/>
                <w:sz w:val="17"/>
              </w:rPr>
              <w:t>-</w:t>
            </w:r>
          </w:p>
        </w:tc>
        <w:tc>
          <w:tcPr>
            <w:tcW w:w="147" w:type="dxa"/>
            <w:vMerge w:val="restart"/>
          </w:tcPr>
          <w:p>
            <w:pPr>
              <w:pStyle w:val="TableParagraph"/>
              <w:rPr>
                <w:rFonts w:ascii="Times New Roman"/>
                <w:sz w:val="16"/>
              </w:rPr>
            </w:pPr>
          </w:p>
        </w:tc>
        <w:tc>
          <w:tcPr>
            <w:tcW w:w="1385" w:type="dxa"/>
          </w:tcPr>
          <w:p>
            <w:pPr>
              <w:pStyle w:val="TableParagraph"/>
              <w:spacing w:line="191" w:lineRule="exact" w:before="6"/>
              <w:ind w:right="35"/>
              <w:jc w:val="right"/>
              <w:rPr>
                <w:sz w:val="17"/>
              </w:rPr>
            </w:pPr>
            <w:r>
              <w:rPr>
                <w:w w:val="100"/>
                <w:sz w:val="17"/>
              </w:rPr>
              <w:t>-</w:t>
            </w:r>
          </w:p>
        </w:tc>
      </w:tr>
      <w:tr>
        <w:trPr>
          <w:trHeight w:val="212" w:hRule="atLeast"/>
        </w:trPr>
        <w:tc>
          <w:tcPr>
            <w:tcW w:w="5768" w:type="dxa"/>
          </w:tcPr>
          <w:p>
            <w:pPr>
              <w:pStyle w:val="TableParagraph"/>
              <w:spacing w:line="190" w:lineRule="exact" w:before="2"/>
              <w:ind w:left="200"/>
              <w:rPr>
                <w:sz w:val="17"/>
              </w:rPr>
            </w:pPr>
            <w:r>
              <w:rPr>
                <w:sz w:val="17"/>
              </w:rPr>
              <w:t>Intangible assets</w:t>
            </w:r>
          </w:p>
        </w:tc>
        <w:tc>
          <w:tcPr>
            <w:tcW w:w="2405" w:type="dxa"/>
            <w:gridSpan w:val="2"/>
          </w:tcPr>
          <w:p>
            <w:pPr>
              <w:pStyle w:val="TableParagraph"/>
              <w:spacing w:line="190" w:lineRule="exact" w:before="2"/>
              <w:ind w:right="35"/>
              <w:jc w:val="right"/>
              <w:rPr>
                <w:sz w:val="17"/>
              </w:rPr>
            </w:pPr>
            <w:r>
              <w:rPr>
                <w:w w:val="100"/>
                <w:sz w:val="17"/>
              </w:rPr>
              <w:t>-</w:t>
            </w:r>
          </w:p>
        </w:tc>
        <w:tc>
          <w:tcPr>
            <w:tcW w:w="147" w:type="dxa"/>
            <w:vMerge/>
            <w:tcBorders>
              <w:top w:val="nil"/>
            </w:tcBorders>
          </w:tcPr>
          <w:p>
            <w:pPr>
              <w:rPr>
                <w:sz w:val="2"/>
                <w:szCs w:val="2"/>
              </w:rPr>
            </w:pPr>
          </w:p>
        </w:tc>
        <w:tc>
          <w:tcPr>
            <w:tcW w:w="1385" w:type="dxa"/>
          </w:tcPr>
          <w:p>
            <w:pPr>
              <w:pStyle w:val="TableParagraph"/>
              <w:spacing w:line="190" w:lineRule="exact" w:before="2"/>
              <w:ind w:right="35"/>
              <w:jc w:val="right"/>
              <w:rPr>
                <w:sz w:val="17"/>
              </w:rPr>
            </w:pPr>
            <w:r>
              <w:rPr>
                <w:w w:val="100"/>
                <w:sz w:val="17"/>
              </w:rPr>
              <w:t>-</w:t>
            </w:r>
          </w:p>
        </w:tc>
      </w:tr>
      <w:tr>
        <w:trPr>
          <w:trHeight w:val="213" w:hRule="atLeast"/>
        </w:trPr>
        <w:tc>
          <w:tcPr>
            <w:tcW w:w="5768" w:type="dxa"/>
          </w:tcPr>
          <w:p>
            <w:pPr>
              <w:pStyle w:val="TableParagraph"/>
              <w:spacing w:line="192" w:lineRule="exact" w:before="1"/>
              <w:ind w:left="200"/>
              <w:rPr>
                <w:sz w:val="17"/>
              </w:rPr>
            </w:pPr>
            <w:r>
              <w:rPr>
                <w:sz w:val="17"/>
              </w:rPr>
              <w:t>Investment property</w:t>
            </w:r>
          </w:p>
        </w:tc>
        <w:tc>
          <w:tcPr>
            <w:tcW w:w="2405" w:type="dxa"/>
            <w:gridSpan w:val="2"/>
          </w:tcPr>
          <w:p>
            <w:pPr>
              <w:pStyle w:val="TableParagraph"/>
              <w:spacing w:line="190" w:lineRule="exact" w:before="3"/>
              <w:ind w:right="35"/>
              <w:jc w:val="right"/>
              <w:rPr>
                <w:sz w:val="17"/>
              </w:rPr>
            </w:pPr>
            <w:r>
              <w:rPr>
                <w:w w:val="100"/>
                <w:sz w:val="17"/>
              </w:rPr>
              <w:t>-</w:t>
            </w:r>
          </w:p>
        </w:tc>
        <w:tc>
          <w:tcPr>
            <w:tcW w:w="147" w:type="dxa"/>
            <w:vMerge/>
            <w:tcBorders>
              <w:top w:val="nil"/>
            </w:tcBorders>
          </w:tcPr>
          <w:p>
            <w:pPr>
              <w:rPr>
                <w:sz w:val="2"/>
                <w:szCs w:val="2"/>
              </w:rPr>
            </w:pPr>
          </w:p>
        </w:tc>
        <w:tc>
          <w:tcPr>
            <w:tcW w:w="1385" w:type="dxa"/>
          </w:tcPr>
          <w:p>
            <w:pPr>
              <w:pStyle w:val="TableParagraph"/>
              <w:spacing w:line="190" w:lineRule="exact" w:before="3"/>
              <w:ind w:right="35"/>
              <w:jc w:val="right"/>
              <w:rPr>
                <w:sz w:val="17"/>
              </w:rPr>
            </w:pPr>
            <w:r>
              <w:rPr>
                <w:w w:val="100"/>
                <w:sz w:val="17"/>
              </w:rPr>
              <w:t>-</w:t>
            </w:r>
          </w:p>
        </w:tc>
      </w:tr>
      <w:tr>
        <w:trPr>
          <w:trHeight w:val="213" w:hRule="atLeast"/>
        </w:trPr>
        <w:tc>
          <w:tcPr>
            <w:tcW w:w="5768" w:type="dxa"/>
          </w:tcPr>
          <w:p>
            <w:pPr>
              <w:pStyle w:val="TableParagraph"/>
              <w:spacing w:line="192" w:lineRule="exact" w:before="1"/>
              <w:ind w:left="200"/>
              <w:rPr>
                <w:sz w:val="17"/>
              </w:rPr>
            </w:pPr>
            <w:r>
              <w:rPr>
                <w:sz w:val="17"/>
              </w:rPr>
              <w:t>Trade and other receivables</w:t>
            </w:r>
          </w:p>
        </w:tc>
        <w:tc>
          <w:tcPr>
            <w:tcW w:w="2405" w:type="dxa"/>
            <w:gridSpan w:val="2"/>
          </w:tcPr>
          <w:p>
            <w:pPr>
              <w:pStyle w:val="TableParagraph"/>
              <w:spacing w:line="190" w:lineRule="exact" w:before="3"/>
              <w:ind w:right="37"/>
              <w:jc w:val="right"/>
              <w:rPr>
                <w:sz w:val="17"/>
              </w:rPr>
            </w:pPr>
            <w:r>
              <w:rPr>
                <w:w w:val="100"/>
                <w:sz w:val="17"/>
              </w:rPr>
              <w:t>-</w:t>
            </w:r>
          </w:p>
        </w:tc>
        <w:tc>
          <w:tcPr>
            <w:tcW w:w="147" w:type="dxa"/>
            <w:vMerge/>
            <w:tcBorders>
              <w:top w:val="nil"/>
            </w:tcBorders>
          </w:tcPr>
          <w:p>
            <w:pPr>
              <w:rPr>
                <w:sz w:val="2"/>
                <w:szCs w:val="2"/>
              </w:rPr>
            </w:pPr>
          </w:p>
        </w:tc>
        <w:tc>
          <w:tcPr>
            <w:tcW w:w="1385" w:type="dxa"/>
          </w:tcPr>
          <w:p>
            <w:pPr>
              <w:pStyle w:val="TableParagraph"/>
              <w:spacing w:line="190" w:lineRule="exact" w:before="3"/>
              <w:ind w:right="33"/>
              <w:jc w:val="right"/>
              <w:rPr>
                <w:sz w:val="17"/>
              </w:rPr>
            </w:pPr>
            <w:r>
              <w:rPr>
                <w:w w:val="100"/>
                <w:sz w:val="17"/>
              </w:rPr>
              <w:t>-</w:t>
            </w:r>
          </w:p>
        </w:tc>
      </w:tr>
      <w:tr>
        <w:trPr>
          <w:trHeight w:val="213" w:hRule="atLeast"/>
        </w:trPr>
        <w:tc>
          <w:tcPr>
            <w:tcW w:w="5768" w:type="dxa"/>
          </w:tcPr>
          <w:p>
            <w:pPr>
              <w:pStyle w:val="TableParagraph"/>
              <w:spacing w:line="192" w:lineRule="exact" w:before="1"/>
              <w:ind w:left="200"/>
              <w:rPr>
                <w:sz w:val="17"/>
              </w:rPr>
            </w:pPr>
            <w:r>
              <w:rPr>
                <w:sz w:val="17"/>
              </w:rPr>
              <w:t>Other financial assets</w:t>
            </w:r>
          </w:p>
        </w:tc>
        <w:tc>
          <w:tcPr>
            <w:tcW w:w="2405" w:type="dxa"/>
            <w:gridSpan w:val="2"/>
          </w:tcPr>
          <w:p>
            <w:pPr>
              <w:pStyle w:val="TableParagraph"/>
              <w:tabs>
                <w:tab w:pos="2344" w:val="left" w:leader="none"/>
              </w:tabs>
              <w:spacing w:line="190" w:lineRule="exact" w:before="3"/>
              <w:ind w:left="1027"/>
              <w:rPr>
                <w:sz w:val="17"/>
              </w:rPr>
            </w:pPr>
            <w:r>
              <w:rPr>
                <w:w w:val="100"/>
                <w:sz w:val="17"/>
                <w:u w:val="single"/>
              </w:rPr>
              <w:t> </w:t>
            </w:r>
            <w:r>
              <w:rPr>
                <w:sz w:val="17"/>
                <w:u w:val="single"/>
              </w:rPr>
              <w:tab/>
            </w:r>
            <w:r>
              <w:rPr>
                <w:spacing w:val="-16"/>
                <w:sz w:val="17"/>
                <w:u w:val="single"/>
              </w:rPr>
              <w:t>-</w:t>
            </w:r>
          </w:p>
        </w:tc>
        <w:tc>
          <w:tcPr>
            <w:tcW w:w="147" w:type="dxa"/>
            <w:vMerge/>
            <w:tcBorders>
              <w:top w:val="nil"/>
            </w:tcBorders>
          </w:tcPr>
          <w:p>
            <w:pPr>
              <w:rPr>
                <w:sz w:val="2"/>
                <w:szCs w:val="2"/>
              </w:rPr>
            </w:pPr>
          </w:p>
        </w:tc>
        <w:tc>
          <w:tcPr>
            <w:tcW w:w="1385" w:type="dxa"/>
          </w:tcPr>
          <w:p>
            <w:pPr>
              <w:pStyle w:val="TableParagraph"/>
              <w:tabs>
                <w:tab w:pos="1291" w:val="left" w:leader="none"/>
              </w:tabs>
              <w:spacing w:line="190" w:lineRule="exact" w:before="3"/>
              <w:ind w:right="1"/>
              <w:jc w:val="right"/>
              <w:rPr>
                <w:sz w:val="17"/>
              </w:rPr>
            </w:pPr>
            <w:r>
              <w:rPr>
                <w:w w:val="100"/>
                <w:sz w:val="17"/>
                <w:u w:val="single"/>
              </w:rPr>
              <w:t> </w:t>
            </w:r>
            <w:r>
              <w:rPr>
                <w:sz w:val="17"/>
                <w:u w:val="single"/>
              </w:rPr>
              <w:tab/>
              <w:t>-</w:t>
            </w:r>
          </w:p>
        </w:tc>
      </w:tr>
      <w:tr>
        <w:trPr>
          <w:trHeight w:val="268" w:hRule="atLeast"/>
        </w:trPr>
        <w:tc>
          <w:tcPr>
            <w:tcW w:w="5768" w:type="dxa"/>
          </w:tcPr>
          <w:p>
            <w:pPr>
              <w:pStyle w:val="TableParagraph"/>
              <w:spacing w:before="1"/>
              <w:ind w:left="200"/>
              <w:rPr>
                <w:b/>
                <w:sz w:val="17"/>
              </w:rPr>
            </w:pPr>
            <w:r>
              <w:rPr>
                <w:b/>
                <w:sz w:val="17"/>
              </w:rPr>
              <w:t>Total non-current assets</w:t>
            </w:r>
          </w:p>
        </w:tc>
        <w:tc>
          <w:tcPr>
            <w:tcW w:w="2405" w:type="dxa"/>
            <w:gridSpan w:val="2"/>
          </w:tcPr>
          <w:p>
            <w:pPr>
              <w:pStyle w:val="TableParagraph"/>
              <w:spacing w:before="3"/>
              <w:ind w:right="35"/>
              <w:jc w:val="right"/>
              <w:rPr>
                <w:sz w:val="17"/>
              </w:rPr>
            </w:pPr>
            <w:r>
              <w:rPr>
                <w:w w:val="100"/>
                <w:sz w:val="17"/>
              </w:rPr>
              <w:t>-</w:t>
            </w:r>
          </w:p>
        </w:tc>
        <w:tc>
          <w:tcPr>
            <w:tcW w:w="147" w:type="dxa"/>
            <w:vMerge/>
            <w:tcBorders>
              <w:top w:val="nil"/>
            </w:tcBorders>
          </w:tcPr>
          <w:p>
            <w:pPr>
              <w:rPr>
                <w:sz w:val="2"/>
                <w:szCs w:val="2"/>
              </w:rPr>
            </w:pPr>
          </w:p>
        </w:tc>
        <w:tc>
          <w:tcPr>
            <w:tcW w:w="1385" w:type="dxa"/>
          </w:tcPr>
          <w:p>
            <w:pPr>
              <w:pStyle w:val="TableParagraph"/>
              <w:spacing w:before="3"/>
              <w:ind w:right="35"/>
              <w:jc w:val="right"/>
              <w:rPr>
                <w:sz w:val="17"/>
              </w:rPr>
            </w:pPr>
            <w:r>
              <w:rPr>
                <w:w w:val="100"/>
                <w:sz w:val="17"/>
              </w:rPr>
              <w:t>-</w:t>
            </w:r>
          </w:p>
        </w:tc>
      </w:tr>
      <w:tr>
        <w:trPr>
          <w:trHeight w:val="477" w:hRule="atLeast"/>
        </w:trPr>
        <w:tc>
          <w:tcPr>
            <w:tcW w:w="5768" w:type="dxa"/>
          </w:tcPr>
          <w:p>
            <w:pPr>
              <w:pStyle w:val="TableParagraph"/>
              <w:spacing w:before="56"/>
              <w:ind w:left="200"/>
              <w:rPr>
                <w:b/>
                <w:sz w:val="17"/>
              </w:rPr>
            </w:pPr>
            <w:r>
              <w:rPr>
                <w:b/>
                <w:sz w:val="17"/>
              </w:rPr>
              <w:t>Current assets:</w:t>
            </w:r>
          </w:p>
          <w:p>
            <w:pPr>
              <w:pStyle w:val="TableParagraph"/>
              <w:spacing w:line="195" w:lineRule="exact" w:before="11"/>
              <w:ind w:left="200"/>
              <w:rPr>
                <w:sz w:val="17"/>
              </w:rPr>
            </w:pPr>
            <w:r>
              <w:rPr>
                <w:sz w:val="17"/>
              </w:rPr>
              <w:t>Inventories</w:t>
            </w:r>
          </w:p>
        </w:tc>
        <w:tc>
          <w:tcPr>
            <w:tcW w:w="991" w:type="dxa"/>
          </w:tcPr>
          <w:p>
            <w:pPr>
              <w:pStyle w:val="TableParagraph"/>
              <w:rPr>
                <w:rFonts w:ascii="Times New Roman"/>
                <w:sz w:val="16"/>
              </w:rPr>
            </w:pPr>
          </w:p>
        </w:tc>
        <w:tc>
          <w:tcPr>
            <w:tcW w:w="1414" w:type="dxa"/>
          </w:tcPr>
          <w:p>
            <w:pPr>
              <w:pStyle w:val="TableParagraph"/>
              <w:spacing w:before="9"/>
              <w:rPr>
                <w:sz w:val="22"/>
              </w:rPr>
            </w:pPr>
          </w:p>
          <w:p>
            <w:pPr>
              <w:pStyle w:val="TableParagraph"/>
              <w:spacing w:line="195" w:lineRule="exact" w:before="1"/>
              <w:ind w:right="35"/>
              <w:jc w:val="right"/>
              <w:rPr>
                <w:sz w:val="17"/>
              </w:rPr>
            </w:pPr>
            <w:r>
              <w:rPr>
                <w:w w:val="100"/>
                <w:sz w:val="17"/>
              </w:rPr>
              <w:t>-</w:t>
            </w:r>
          </w:p>
        </w:tc>
        <w:tc>
          <w:tcPr>
            <w:tcW w:w="147" w:type="dxa"/>
          </w:tcPr>
          <w:p>
            <w:pPr>
              <w:pStyle w:val="TableParagraph"/>
              <w:rPr>
                <w:rFonts w:ascii="Times New Roman"/>
                <w:sz w:val="16"/>
              </w:rPr>
            </w:pPr>
          </w:p>
        </w:tc>
        <w:tc>
          <w:tcPr>
            <w:tcW w:w="1385" w:type="dxa"/>
          </w:tcPr>
          <w:p>
            <w:pPr>
              <w:pStyle w:val="TableParagraph"/>
              <w:spacing w:before="9"/>
              <w:rPr>
                <w:sz w:val="22"/>
              </w:rPr>
            </w:pPr>
          </w:p>
          <w:p>
            <w:pPr>
              <w:pStyle w:val="TableParagraph"/>
              <w:spacing w:line="195" w:lineRule="exact" w:before="1"/>
              <w:ind w:right="35"/>
              <w:jc w:val="right"/>
              <w:rPr>
                <w:sz w:val="17"/>
              </w:rPr>
            </w:pPr>
            <w:r>
              <w:rPr>
                <w:w w:val="100"/>
                <w:sz w:val="17"/>
              </w:rPr>
              <w:t>-</w:t>
            </w:r>
          </w:p>
        </w:tc>
      </w:tr>
      <w:tr>
        <w:trPr>
          <w:trHeight w:val="218" w:hRule="atLeast"/>
        </w:trPr>
        <w:tc>
          <w:tcPr>
            <w:tcW w:w="5768" w:type="dxa"/>
          </w:tcPr>
          <w:p>
            <w:pPr>
              <w:pStyle w:val="TableParagraph"/>
              <w:spacing w:line="190" w:lineRule="exact" w:before="8"/>
              <w:ind w:left="200"/>
              <w:rPr>
                <w:sz w:val="17"/>
              </w:rPr>
            </w:pPr>
            <w:r>
              <w:rPr>
                <w:sz w:val="17"/>
              </w:rPr>
              <w:t>Trade and other receivables</w:t>
            </w:r>
          </w:p>
        </w:tc>
        <w:tc>
          <w:tcPr>
            <w:tcW w:w="991" w:type="dxa"/>
          </w:tcPr>
          <w:p>
            <w:pPr>
              <w:pStyle w:val="TableParagraph"/>
              <w:spacing w:line="192" w:lineRule="exact" w:before="6"/>
              <w:ind w:right="35"/>
              <w:jc w:val="right"/>
              <w:rPr>
                <w:sz w:val="17"/>
              </w:rPr>
            </w:pPr>
            <w:r>
              <w:rPr>
                <w:w w:val="100"/>
                <w:sz w:val="17"/>
              </w:rPr>
              <w:t>8</w:t>
            </w:r>
          </w:p>
        </w:tc>
        <w:tc>
          <w:tcPr>
            <w:tcW w:w="1414" w:type="dxa"/>
          </w:tcPr>
          <w:p>
            <w:pPr>
              <w:pStyle w:val="TableParagraph"/>
              <w:spacing w:line="192" w:lineRule="exact" w:before="6"/>
              <w:ind w:right="34"/>
              <w:jc w:val="right"/>
              <w:rPr>
                <w:sz w:val="17"/>
              </w:rPr>
            </w:pPr>
            <w:r>
              <w:rPr>
                <w:sz w:val="17"/>
              </w:rPr>
              <w:t>685</w:t>
            </w:r>
          </w:p>
        </w:tc>
        <w:tc>
          <w:tcPr>
            <w:tcW w:w="147" w:type="dxa"/>
            <w:vMerge w:val="restart"/>
          </w:tcPr>
          <w:p>
            <w:pPr>
              <w:pStyle w:val="TableParagraph"/>
              <w:rPr>
                <w:rFonts w:ascii="Times New Roman"/>
                <w:sz w:val="16"/>
              </w:rPr>
            </w:pPr>
          </w:p>
        </w:tc>
        <w:tc>
          <w:tcPr>
            <w:tcW w:w="1385" w:type="dxa"/>
          </w:tcPr>
          <w:p>
            <w:pPr>
              <w:pStyle w:val="TableParagraph"/>
              <w:spacing w:line="192" w:lineRule="exact" w:before="6"/>
              <w:ind w:right="35"/>
              <w:jc w:val="right"/>
              <w:rPr>
                <w:sz w:val="17"/>
              </w:rPr>
            </w:pPr>
            <w:r>
              <w:rPr>
                <w:sz w:val="17"/>
              </w:rPr>
              <w:t>920</w:t>
            </w:r>
          </w:p>
        </w:tc>
      </w:tr>
      <w:tr>
        <w:trPr>
          <w:trHeight w:val="212" w:hRule="atLeast"/>
        </w:trPr>
        <w:tc>
          <w:tcPr>
            <w:tcW w:w="5768" w:type="dxa"/>
          </w:tcPr>
          <w:p>
            <w:pPr>
              <w:pStyle w:val="TableParagraph"/>
              <w:spacing w:line="191" w:lineRule="exact" w:before="1"/>
              <w:ind w:left="200"/>
              <w:rPr>
                <w:sz w:val="17"/>
              </w:rPr>
            </w:pPr>
            <w:r>
              <w:rPr>
                <w:sz w:val="17"/>
              </w:rPr>
              <w:t>Other financial assets</w:t>
            </w:r>
          </w:p>
        </w:tc>
        <w:tc>
          <w:tcPr>
            <w:tcW w:w="991" w:type="dxa"/>
          </w:tcPr>
          <w:p>
            <w:pPr>
              <w:pStyle w:val="TableParagraph"/>
              <w:rPr>
                <w:rFonts w:ascii="Times New Roman"/>
                <w:sz w:val="14"/>
              </w:rPr>
            </w:pPr>
          </w:p>
        </w:tc>
        <w:tc>
          <w:tcPr>
            <w:tcW w:w="1414" w:type="dxa"/>
          </w:tcPr>
          <w:p>
            <w:pPr>
              <w:pStyle w:val="TableParagraph"/>
              <w:spacing w:line="191" w:lineRule="exact" w:before="1"/>
              <w:ind w:right="35"/>
              <w:jc w:val="right"/>
              <w:rPr>
                <w:sz w:val="17"/>
              </w:rPr>
            </w:pPr>
            <w:r>
              <w:rPr>
                <w:w w:val="100"/>
                <w:sz w:val="17"/>
              </w:rPr>
              <w:t>-</w:t>
            </w:r>
          </w:p>
        </w:tc>
        <w:tc>
          <w:tcPr>
            <w:tcW w:w="147" w:type="dxa"/>
            <w:vMerge/>
            <w:tcBorders>
              <w:top w:val="nil"/>
            </w:tcBorders>
          </w:tcPr>
          <w:p>
            <w:pPr>
              <w:rPr>
                <w:sz w:val="2"/>
                <w:szCs w:val="2"/>
              </w:rPr>
            </w:pPr>
          </w:p>
        </w:tc>
        <w:tc>
          <w:tcPr>
            <w:tcW w:w="1385" w:type="dxa"/>
          </w:tcPr>
          <w:p>
            <w:pPr>
              <w:pStyle w:val="TableParagraph"/>
              <w:spacing w:line="191" w:lineRule="exact" w:before="1"/>
              <w:ind w:right="35"/>
              <w:jc w:val="right"/>
              <w:rPr>
                <w:sz w:val="17"/>
              </w:rPr>
            </w:pPr>
            <w:r>
              <w:rPr>
                <w:w w:val="100"/>
                <w:sz w:val="17"/>
              </w:rPr>
              <w:t>-</w:t>
            </w:r>
          </w:p>
        </w:tc>
      </w:tr>
      <w:tr>
        <w:trPr>
          <w:trHeight w:val="424" w:hRule="atLeast"/>
        </w:trPr>
        <w:tc>
          <w:tcPr>
            <w:tcW w:w="5768" w:type="dxa"/>
          </w:tcPr>
          <w:p>
            <w:pPr>
              <w:pStyle w:val="TableParagraph"/>
              <w:spacing w:before="2"/>
              <w:ind w:left="200"/>
              <w:rPr>
                <w:sz w:val="17"/>
              </w:rPr>
            </w:pPr>
            <w:r>
              <w:rPr>
                <w:sz w:val="17"/>
              </w:rPr>
              <w:t>Other current assets</w:t>
            </w:r>
          </w:p>
          <w:p>
            <w:pPr>
              <w:pStyle w:val="TableParagraph"/>
              <w:spacing w:before="11"/>
              <w:ind w:left="200"/>
              <w:rPr>
                <w:sz w:val="17"/>
              </w:rPr>
            </w:pPr>
            <w:r>
              <w:rPr>
                <w:sz w:val="17"/>
              </w:rPr>
              <w:t>Cash and cash equivalents</w:t>
            </w:r>
          </w:p>
        </w:tc>
        <w:tc>
          <w:tcPr>
            <w:tcW w:w="991" w:type="dxa"/>
          </w:tcPr>
          <w:p>
            <w:pPr>
              <w:pStyle w:val="TableParagraph"/>
              <w:spacing w:before="1"/>
              <w:rPr>
                <w:sz w:val="18"/>
              </w:rPr>
            </w:pPr>
          </w:p>
          <w:p>
            <w:pPr>
              <w:pStyle w:val="TableParagraph"/>
              <w:spacing w:before="1"/>
              <w:ind w:right="35"/>
              <w:jc w:val="right"/>
              <w:rPr>
                <w:sz w:val="17"/>
              </w:rPr>
            </w:pPr>
            <w:r>
              <w:rPr>
                <w:w w:val="100"/>
                <w:sz w:val="17"/>
              </w:rPr>
              <w:t>9</w:t>
            </w:r>
          </w:p>
        </w:tc>
        <w:tc>
          <w:tcPr>
            <w:tcW w:w="1414" w:type="dxa"/>
          </w:tcPr>
          <w:p>
            <w:pPr>
              <w:pStyle w:val="TableParagraph"/>
              <w:spacing w:before="2"/>
              <w:ind w:right="35"/>
              <w:jc w:val="right"/>
              <w:rPr>
                <w:sz w:val="17"/>
              </w:rPr>
            </w:pPr>
            <w:r>
              <w:rPr>
                <w:w w:val="100"/>
                <w:sz w:val="17"/>
              </w:rPr>
              <w:t>-</w:t>
            </w:r>
          </w:p>
          <w:p>
            <w:pPr>
              <w:pStyle w:val="TableParagraph"/>
              <w:spacing w:line="193" w:lineRule="exact" w:before="14"/>
              <w:ind w:right="31"/>
              <w:jc w:val="right"/>
              <w:rPr>
                <w:sz w:val="17"/>
              </w:rPr>
            </w:pPr>
            <w:r>
              <w:rPr>
                <w:sz w:val="17"/>
              </w:rPr>
              <w:t>12</w:t>
            </w:r>
          </w:p>
        </w:tc>
        <w:tc>
          <w:tcPr>
            <w:tcW w:w="147" w:type="dxa"/>
            <w:vMerge/>
            <w:tcBorders>
              <w:top w:val="nil"/>
            </w:tcBorders>
          </w:tcPr>
          <w:p>
            <w:pPr>
              <w:rPr>
                <w:sz w:val="2"/>
                <w:szCs w:val="2"/>
              </w:rPr>
            </w:pPr>
          </w:p>
        </w:tc>
        <w:tc>
          <w:tcPr>
            <w:tcW w:w="1385" w:type="dxa"/>
          </w:tcPr>
          <w:p>
            <w:pPr>
              <w:pStyle w:val="TableParagraph"/>
              <w:spacing w:before="2"/>
              <w:ind w:right="35"/>
              <w:jc w:val="right"/>
              <w:rPr>
                <w:sz w:val="17"/>
              </w:rPr>
            </w:pPr>
            <w:r>
              <w:rPr>
                <w:w w:val="100"/>
                <w:sz w:val="17"/>
              </w:rPr>
              <w:t>-</w:t>
            </w:r>
          </w:p>
          <w:p>
            <w:pPr>
              <w:pStyle w:val="TableParagraph"/>
              <w:spacing w:line="193" w:lineRule="exact" w:before="14"/>
              <w:ind w:right="35"/>
              <w:jc w:val="right"/>
              <w:rPr>
                <w:sz w:val="17"/>
              </w:rPr>
            </w:pPr>
            <w:r>
              <w:rPr>
                <w:sz w:val="17"/>
              </w:rPr>
              <w:t>16</w:t>
            </w:r>
          </w:p>
        </w:tc>
      </w:tr>
      <w:tr>
        <w:trPr>
          <w:trHeight w:val="322" w:hRule="atLeast"/>
        </w:trPr>
        <w:tc>
          <w:tcPr>
            <w:tcW w:w="5768" w:type="dxa"/>
          </w:tcPr>
          <w:p>
            <w:pPr>
              <w:pStyle w:val="TableParagraph"/>
              <w:spacing w:before="5"/>
              <w:ind w:left="200"/>
              <w:rPr>
                <w:b/>
                <w:sz w:val="17"/>
              </w:rPr>
            </w:pPr>
            <w:r>
              <w:rPr>
                <w:b/>
                <w:sz w:val="17"/>
              </w:rPr>
              <w:t>Total current assets</w:t>
            </w:r>
          </w:p>
        </w:tc>
        <w:tc>
          <w:tcPr>
            <w:tcW w:w="991" w:type="dxa"/>
          </w:tcPr>
          <w:p>
            <w:pPr>
              <w:pStyle w:val="TableParagraph"/>
              <w:rPr>
                <w:rFonts w:ascii="Times New Roman"/>
                <w:sz w:val="16"/>
              </w:rPr>
            </w:pPr>
          </w:p>
        </w:tc>
        <w:tc>
          <w:tcPr>
            <w:tcW w:w="1414" w:type="dxa"/>
          </w:tcPr>
          <w:p>
            <w:pPr>
              <w:pStyle w:val="TableParagraph"/>
              <w:spacing w:before="5"/>
              <w:ind w:right="36"/>
              <w:jc w:val="right"/>
              <w:rPr>
                <w:b/>
                <w:sz w:val="17"/>
              </w:rPr>
            </w:pPr>
            <w:r>
              <w:rPr>
                <w:b/>
                <w:sz w:val="17"/>
              </w:rPr>
              <w:t>697</w:t>
            </w:r>
          </w:p>
        </w:tc>
        <w:tc>
          <w:tcPr>
            <w:tcW w:w="147" w:type="dxa"/>
          </w:tcPr>
          <w:p>
            <w:pPr>
              <w:pStyle w:val="TableParagraph"/>
              <w:rPr>
                <w:rFonts w:ascii="Times New Roman"/>
                <w:sz w:val="16"/>
              </w:rPr>
            </w:pPr>
          </w:p>
        </w:tc>
        <w:tc>
          <w:tcPr>
            <w:tcW w:w="1385" w:type="dxa"/>
          </w:tcPr>
          <w:p>
            <w:pPr>
              <w:pStyle w:val="TableParagraph"/>
              <w:spacing w:before="5"/>
              <w:ind w:right="35"/>
              <w:jc w:val="right"/>
              <w:rPr>
                <w:sz w:val="17"/>
              </w:rPr>
            </w:pPr>
            <w:r>
              <w:rPr>
                <w:sz w:val="17"/>
              </w:rPr>
              <w:t>936</w:t>
            </w:r>
          </w:p>
        </w:tc>
      </w:tr>
      <w:tr>
        <w:trPr>
          <w:trHeight w:val="529" w:hRule="atLeast"/>
        </w:trPr>
        <w:tc>
          <w:tcPr>
            <w:tcW w:w="5768" w:type="dxa"/>
          </w:tcPr>
          <w:p>
            <w:pPr>
              <w:pStyle w:val="TableParagraph"/>
              <w:spacing w:before="109"/>
              <w:ind w:left="200"/>
              <w:rPr>
                <w:sz w:val="17"/>
              </w:rPr>
            </w:pPr>
            <w:r>
              <w:rPr>
                <w:sz w:val="17"/>
              </w:rPr>
              <w:t>Non-current assets held for sale</w:t>
            </w:r>
          </w:p>
        </w:tc>
        <w:tc>
          <w:tcPr>
            <w:tcW w:w="991" w:type="dxa"/>
          </w:tcPr>
          <w:p>
            <w:pPr>
              <w:pStyle w:val="TableParagraph"/>
              <w:rPr>
                <w:rFonts w:ascii="Times New Roman"/>
                <w:sz w:val="16"/>
              </w:rPr>
            </w:pPr>
          </w:p>
        </w:tc>
        <w:tc>
          <w:tcPr>
            <w:tcW w:w="1414" w:type="dxa"/>
            <w:tcBorders>
              <w:bottom w:val="single" w:sz="8" w:space="0" w:color="000000"/>
            </w:tcBorders>
          </w:tcPr>
          <w:p>
            <w:pPr>
              <w:pStyle w:val="TableParagraph"/>
              <w:spacing w:before="109"/>
              <w:ind w:right="35"/>
              <w:jc w:val="right"/>
              <w:rPr>
                <w:sz w:val="17"/>
              </w:rPr>
            </w:pPr>
            <w:r>
              <w:rPr>
                <w:w w:val="100"/>
                <w:sz w:val="17"/>
              </w:rPr>
              <w:t>-</w:t>
            </w:r>
          </w:p>
        </w:tc>
        <w:tc>
          <w:tcPr>
            <w:tcW w:w="147" w:type="dxa"/>
          </w:tcPr>
          <w:p>
            <w:pPr>
              <w:pStyle w:val="TableParagraph"/>
              <w:rPr>
                <w:rFonts w:ascii="Times New Roman"/>
                <w:sz w:val="16"/>
              </w:rPr>
            </w:pPr>
          </w:p>
        </w:tc>
        <w:tc>
          <w:tcPr>
            <w:tcW w:w="1385" w:type="dxa"/>
            <w:tcBorders>
              <w:bottom w:val="single" w:sz="8" w:space="0" w:color="000000"/>
            </w:tcBorders>
          </w:tcPr>
          <w:p>
            <w:pPr>
              <w:pStyle w:val="TableParagraph"/>
              <w:spacing w:before="109"/>
              <w:ind w:right="35"/>
              <w:jc w:val="right"/>
              <w:rPr>
                <w:sz w:val="17"/>
              </w:rPr>
            </w:pPr>
            <w:r>
              <w:rPr>
                <w:w w:val="100"/>
                <w:sz w:val="17"/>
              </w:rPr>
              <w:t>-</w:t>
            </w:r>
          </w:p>
        </w:tc>
      </w:tr>
      <w:tr>
        <w:trPr>
          <w:trHeight w:val="407" w:hRule="atLeast"/>
        </w:trPr>
        <w:tc>
          <w:tcPr>
            <w:tcW w:w="5768" w:type="dxa"/>
          </w:tcPr>
          <w:p>
            <w:pPr>
              <w:pStyle w:val="TableParagraph"/>
              <w:spacing w:line="183" w:lineRule="exact"/>
              <w:ind w:left="200"/>
              <w:rPr>
                <w:b/>
                <w:sz w:val="17"/>
              </w:rPr>
            </w:pPr>
            <w:r>
              <w:rPr>
                <w:b/>
                <w:sz w:val="17"/>
              </w:rPr>
              <w:t>Total current assets</w:t>
            </w:r>
          </w:p>
        </w:tc>
        <w:tc>
          <w:tcPr>
            <w:tcW w:w="991" w:type="dxa"/>
          </w:tcPr>
          <w:p>
            <w:pPr>
              <w:pStyle w:val="TableParagraph"/>
              <w:rPr>
                <w:rFonts w:ascii="Times New Roman"/>
                <w:sz w:val="16"/>
              </w:rPr>
            </w:pPr>
          </w:p>
        </w:tc>
        <w:tc>
          <w:tcPr>
            <w:tcW w:w="1414" w:type="dxa"/>
            <w:tcBorders>
              <w:top w:val="single" w:sz="8" w:space="0" w:color="000000"/>
              <w:bottom w:val="single" w:sz="8" w:space="0" w:color="000000"/>
            </w:tcBorders>
          </w:tcPr>
          <w:p>
            <w:pPr>
              <w:pStyle w:val="TableParagraph"/>
              <w:spacing w:line="183" w:lineRule="exact"/>
              <w:ind w:right="36"/>
              <w:jc w:val="right"/>
              <w:rPr>
                <w:b/>
                <w:sz w:val="17"/>
              </w:rPr>
            </w:pPr>
            <w:r>
              <w:rPr>
                <w:b/>
                <w:sz w:val="17"/>
              </w:rPr>
              <w:t>697</w:t>
            </w:r>
          </w:p>
        </w:tc>
        <w:tc>
          <w:tcPr>
            <w:tcW w:w="147" w:type="dxa"/>
          </w:tcPr>
          <w:p>
            <w:pPr>
              <w:pStyle w:val="TableParagraph"/>
              <w:rPr>
                <w:rFonts w:ascii="Times New Roman"/>
                <w:sz w:val="16"/>
              </w:rPr>
            </w:pPr>
          </w:p>
        </w:tc>
        <w:tc>
          <w:tcPr>
            <w:tcW w:w="1385" w:type="dxa"/>
            <w:tcBorders>
              <w:top w:val="single" w:sz="8" w:space="0" w:color="000000"/>
              <w:bottom w:val="single" w:sz="8" w:space="0" w:color="000000"/>
            </w:tcBorders>
          </w:tcPr>
          <w:p>
            <w:pPr>
              <w:pStyle w:val="TableParagraph"/>
              <w:spacing w:line="183" w:lineRule="exact"/>
              <w:ind w:right="35"/>
              <w:jc w:val="right"/>
              <w:rPr>
                <w:sz w:val="17"/>
              </w:rPr>
            </w:pPr>
            <w:r>
              <w:rPr>
                <w:sz w:val="17"/>
              </w:rPr>
              <w:t>936</w:t>
            </w:r>
          </w:p>
        </w:tc>
      </w:tr>
      <w:tr>
        <w:trPr>
          <w:trHeight w:val="304" w:hRule="atLeast"/>
        </w:trPr>
        <w:tc>
          <w:tcPr>
            <w:tcW w:w="5768" w:type="dxa"/>
          </w:tcPr>
          <w:p>
            <w:pPr>
              <w:pStyle w:val="TableParagraph"/>
              <w:spacing w:line="183" w:lineRule="exact"/>
              <w:ind w:left="200"/>
              <w:rPr>
                <w:b/>
                <w:sz w:val="17"/>
              </w:rPr>
            </w:pPr>
            <w:r>
              <w:rPr>
                <w:b/>
                <w:sz w:val="17"/>
              </w:rPr>
              <w:t>Total assets</w:t>
            </w:r>
          </w:p>
        </w:tc>
        <w:tc>
          <w:tcPr>
            <w:tcW w:w="2405" w:type="dxa"/>
            <w:gridSpan w:val="2"/>
          </w:tcPr>
          <w:p>
            <w:pPr>
              <w:pStyle w:val="TableParagraph"/>
              <w:tabs>
                <w:tab w:pos="2119" w:val="left" w:leader="none"/>
              </w:tabs>
              <w:spacing w:line="183" w:lineRule="exact"/>
              <w:ind w:left="1032"/>
              <w:rPr>
                <w:b/>
                <w:sz w:val="17"/>
              </w:rPr>
            </w:pPr>
            <w:r>
              <w:rPr>
                <w:b/>
                <w:w w:val="100"/>
                <w:sz w:val="17"/>
                <w:u w:val="single"/>
              </w:rPr>
              <w:t> </w:t>
            </w:r>
            <w:r>
              <w:rPr>
                <w:b/>
                <w:sz w:val="17"/>
                <w:u w:val="single"/>
              </w:rPr>
              <w:tab/>
            </w:r>
            <w:r>
              <w:rPr>
                <w:b/>
                <w:spacing w:val="-7"/>
                <w:sz w:val="17"/>
                <w:u w:val="single"/>
              </w:rPr>
              <w:t>697</w:t>
            </w:r>
          </w:p>
        </w:tc>
        <w:tc>
          <w:tcPr>
            <w:tcW w:w="147" w:type="dxa"/>
          </w:tcPr>
          <w:p>
            <w:pPr>
              <w:pStyle w:val="TableParagraph"/>
              <w:rPr>
                <w:rFonts w:ascii="Times New Roman"/>
                <w:sz w:val="16"/>
              </w:rPr>
            </w:pPr>
          </w:p>
        </w:tc>
        <w:tc>
          <w:tcPr>
            <w:tcW w:w="1385" w:type="dxa"/>
            <w:tcBorders>
              <w:top w:val="single" w:sz="8" w:space="0" w:color="000000"/>
            </w:tcBorders>
          </w:tcPr>
          <w:p>
            <w:pPr>
              <w:pStyle w:val="TableParagraph"/>
              <w:tabs>
                <w:tab w:pos="1060" w:val="left" w:leader="none"/>
              </w:tabs>
              <w:spacing w:line="183" w:lineRule="exact"/>
              <w:ind w:right="1"/>
              <w:jc w:val="right"/>
              <w:rPr>
                <w:sz w:val="17"/>
              </w:rPr>
            </w:pPr>
            <w:r>
              <w:rPr>
                <w:w w:val="100"/>
                <w:sz w:val="17"/>
                <w:u w:val="single"/>
              </w:rPr>
              <w:t> </w:t>
            </w:r>
            <w:r>
              <w:rPr>
                <w:sz w:val="17"/>
                <w:u w:val="single"/>
              </w:rPr>
              <w:tab/>
            </w:r>
            <w:r>
              <w:rPr>
                <w:spacing w:val="-2"/>
                <w:sz w:val="17"/>
                <w:u w:val="single"/>
              </w:rPr>
              <w:t>936</w:t>
            </w:r>
          </w:p>
        </w:tc>
      </w:tr>
      <w:tr>
        <w:trPr>
          <w:trHeight w:val="530" w:hRule="atLeast"/>
        </w:trPr>
        <w:tc>
          <w:tcPr>
            <w:tcW w:w="5768" w:type="dxa"/>
          </w:tcPr>
          <w:p>
            <w:pPr>
              <w:pStyle w:val="TableParagraph"/>
              <w:spacing w:before="108"/>
              <w:ind w:left="200"/>
              <w:rPr>
                <w:b/>
                <w:sz w:val="17"/>
              </w:rPr>
            </w:pPr>
            <w:r>
              <w:rPr>
                <w:b/>
                <w:sz w:val="17"/>
              </w:rPr>
              <w:t>Current liabilities</w:t>
            </w:r>
          </w:p>
          <w:p>
            <w:pPr>
              <w:pStyle w:val="TableParagraph"/>
              <w:spacing w:before="11"/>
              <w:ind w:left="200"/>
              <w:rPr>
                <w:sz w:val="17"/>
              </w:rPr>
            </w:pPr>
            <w:r>
              <w:rPr>
                <w:sz w:val="17"/>
              </w:rPr>
              <w:t>Trade and other payables</w:t>
            </w:r>
          </w:p>
        </w:tc>
        <w:tc>
          <w:tcPr>
            <w:tcW w:w="991" w:type="dxa"/>
          </w:tcPr>
          <w:p>
            <w:pPr>
              <w:pStyle w:val="TableParagraph"/>
              <w:rPr>
                <w:sz w:val="18"/>
              </w:rPr>
            </w:pPr>
          </w:p>
          <w:p>
            <w:pPr>
              <w:pStyle w:val="TableParagraph"/>
              <w:spacing w:line="193" w:lineRule="exact" w:before="110"/>
              <w:ind w:right="29"/>
              <w:jc w:val="right"/>
              <w:rPr>
                <w:sz w:val="17"/>
              </w:rPr>
            </w:pPr>
            <w:r>
              <w:rPr>
                <w:sz w:val="17"/>
              </w:rPr>
              <w:t>10</w:t>
            </w:r>
          </w:p>
        </w:tc>
        <w:tc>
          <w:tcPr>
            <w:tcW w:w="1414" w:type="dxa"/>
          </w:tcPr>
          <w:p>
            <w:pPr>
              <w:pStyle w:val="TableParagraph"/>
              <w:rPr>
                <w:sz w:val="18"/>
              </w:rPr>
            </w:pPr>
          </w:p>
          <w:p>
            <w:pPr>
              <w:pStyle w:val="TableParagraph"/>
              <w:spacing w:line="193" w:lineRule="exact" w:before="110"/>
              <w:ind w:right="34"/>
              <w:jc w:val="right"/>
              <w:rPr>
                <w:sz w:val="17"/>
              </w:rPr>
            </w:pPr>
            <w:r>
              <w:rPr>
                <w:sz w:val="17"/>
              </w:rPr>
              <w:t>(20,132)</w:t>
            </w:r>
          </w:p>
        </w:tc>
        <w:tc>
          <w:tcPr>
            <w:tcW w:w="147" w:type="dxa"/>
          </w:tcPr>
          <w:p>
            <w:pPr>
              <w:pStyle w:val="TableParagraph"/>
              <w:rPr>
                <w:rFonts w:ascii="Times New Roman"/>
                <w:sz w:val="16"/>
              </w:rPr>
            </w:pPr>
          </w:p>
        </w:tc>
        <w:tc>
          <w:tcPr>
            <w:tcW w:w="1385" w:type="dxa"/>
          </w:tcPr>
          <w:p>
            <w:pPr>
              <w:pStyle w:val="TableParagraph"/>
              <w:rPr>
                <w:sz w:val="18"/>
              </w:rPr>
            </w:pPr>
          </w:p>
          <w:p>
            <w:pPr>
              <w:pStyle w:val="TableParagraph"/>
              <w:spacing w:line="193" w:lineRule="exact" w:before="110"/>
              <w:ind w:right="32"/>
              <w:jc w:val="right"/>
              <w:rPr>
                <w:sz w:val="17"/>
              </w:rPr>
            </w:pPr>
            <w:r>
              <w:rPr>
                <w:sz w:val="17"/>
              </w:rPr>
              <w:t>(18,448)</w:t>
            </w:r>
          </w:p>
        </w:tc>
      </w:tr>
      <w:tr>
        <w:trPr>
          <w:trHeight w:val="217" w:hRule="atLeast"/>
        </w:trPr>
        <w:tc>
          <w:tcPr>
            <w:tcW w:w="5768" w:type="dxa"/>
          </w:tcPr>
          <w:p>
            <w:pPr>
              <w:pStyle w:val="TableParagraph"/>
              <w:spacing w:line="190" w:lineRule="exact" w:before="7"/>
              <w:ind w:left="200"/>
              <w:rPr>
                <w:sz w:val="17"/>
              </w:rPr>
            </w:pPr>
            <w:r>
              <w:rPr>
                <w:sz w:val="17"/>
              </w:rPr>
              <w:t>Other financial liabilities</w:t>
            </w:r>
          </w:p>
        </w:tc>
        <w:tc>
          <w:tcPr>
            <w:tcW w:w="991" w:type="dxa"/>
            <w:vMerge w:val="restart"/>
          </w:tcPr>
          <w:p>
            <w:pPr>
              <w:pStyle w:val="TableParagraph"/>
              <w:rPr>
                <w:rFonts w:ascii="Times New Roman"/>
                <w:sz w:val="16"/>
              </w:rPr>
            </w:pPr>
          </w:p>
        </w:tc>
        <w:tc>
          <w:tcPr>
            <w:tcW w:w="1414" w:type="dxa"/>
          </w:tcPr>
          <w:p>
            <w:pPr>
              <w:pStyle w:val="TableParagraph"/>
              <w:spacing w:line="192" w:lineRule="exact" w:before="5"/>
              <w:ind w:right="35"/>
              <w:jc w:val="right"/>
              <w:rPr>
                <w:sz w:val="17"/>
              </w:rPr>
            </w:pPr>
            <w:r>
              <w:rPr>
                <w:w w:val="100"/>
                <w:sz w:val="17"/>
              </w:rPr>
              <w:t>-</w:t>
            </w:r>
          </w:p>
        </w:tc>
        <w:tc>
          <w:tcPr>
            <w:tcW w:w="147" w:type="dxa"/>
            <w:vMerge w:val="restart"/>
          </w:tcPr>
          <w:p>
            <w:pPr>
              <w:pStyle w:val="TableParagraph"/>
              <w:rPr>
                <w:rFonts w:ascii="Times New Roman"/>
                <w:sz w:val="16"/>
              </w:rPr>
            </w:pPr>
          </w:p>
        </w:tc>
        <w:tc>
          <w:tcPr>
            <w:tcW w:w="1385" w:type="dxa"/>
          </w:tcPr>
          <w:p>
            <w:pPr>
              <w:pStyle w:val="TableParagraph"/>
              <w:spacing w:line="192" w:lineRule="exact" w:before="5"/>
              <w:ind w:right="35"/>
              <w:jc w:val="right"/>
              <w:rPr>
                <w:sz w:val="17"/>
              </w:rPr>
            </w:pPr>
            <w:r>
              <w:rPr>
                <w:w w:val="100"/>
                <w:sz w:val="17"/>
              </w:rPr>
              <w:t>-</w:t>
            </w:r>
          </w:p>
        </w:tc>
      </w:tr>
      <w:tr>
        <w:trPr>
          <w:trHeight w:val="212" w:hRule="atLeast"/>
        </w:trPr>
        <w:tc>
          <w:tcPr>
            <w:tcW w:w="5768" w:type="dxa"/>
          </w:tcPr>
          <w:p>
            <w:pPr>
              <w:pStyle w:val="TableParagraph"/>
              <w:spacing w:line="191" w:lineRule="exact" w:before="1"/>
              <w:ind w:left="200"/>
              <w:rPr>
                <w:sz w:val="17"/>
              </w:rPr>
            </w:pPr>
            <w:r>
              <w:rPr>
                <w:sz w:val="17"/>
              </w:rPr>
              <w:t>Other liabilities</w:t>
            </w:r>
          </w:p>
        </w:tc>
        <w:tc>
          <w:tcPr>
            <w:tcW w:w="991" w:type="dxa"/>
            <w:vMerge/>
            <w:tcBorders>
              <w:top w:val="nil"/>
            </w:tcBorders>
          </w:tcPr>
          <w:p>
            <w:pPr>
              <w:rPr>
                <w:sz w:val="2"/>
                <w:szCs w:val="2"/>
              </w:rPr>
            </w:pPr>
          </w:p>
        </w:tc>
        <w:tc>
          <w:tcPr>
            <w:tcW w:w="1414" w:type="dxa"/>
          </w:tcPr>
          <w:p>
            <w:pPr>
              <w:pStyle w:val="TableParagraph"/>
              <w:spacing w:line="191" w:lineRule="exact" w:before="1"/>
              <w:ind w:right="35"/>
              <w:jc w:val="right"/>
              <w:rPr>
                <w:sz w:val="17"/>
              </w:rPr>
            </w:pPr>
            <w:r>
              <w:rPr>
                <w:w w:val="100"/>
                <w:sz w:val="17"/>
              </w:rPr>
              <w:t>-</w:t>
            </w:r>
          </w:p>
        </w:tc>
        <w:tc>
          <w:tcPr>
            <w:tcW w:w="147" w:type="dxa"/>
            <w:vMerge/>
            <w:tcBorders>
              <w:top w:val="nil"/>
            </w:tcBorders>
          </w:tcPr>
          <w:p>
            <w:pPr>
              <w:rPr>
                <w:sz w:val="2"/>
                <w:szCs w:val="2"/>
              </w:rPr>
            </w:pPr>
          </w:p>
        </w:tc>
        <w:tc>
          <w:tcPr>
            <w:tcW w:w="1385" w:type="dxa"/>
          </w:tcPr>
          <w:p>
            <w:pPr>
              <w:pStyle w:val="TableParagraph"/>
              <w:spacing w:line="191" w:lineRule="exact" w:before="1"/>
              <w:ind w:right="35"/>
              <w:jc w:val="right"/>
              <w:rPr>
                <w:sz w:val="17"/>
              </w:rPr>
            </w:pPr>
            <w:r>
              <w:rPr>
                <w:w w:val="100"/>
                <w:sz w:val="17"/>
              </w:rPr>
              <w:t>-</w:t>
            </w:r>
          </w:p>
        </w:tc>
      </w:tr>
      <w:tr>
        <w:trPr>
          <w:trHeight w:val="212" w:hRule="atLeast"/>
        </w:trPr>
        <w:tc>
          <w:tcPr>
            <w:tcW w:w="5768" w:type="dxa"/>
          </w:tcPr>
          <w:p>
            <w:pPr>
              <w:pStyle w:val="TableParagraph"/>
              <w:spacing w:line="190" w:lineRule="exact" w:before="2"/>
              <w:ind w:left="200"/>
              <w:rPr>
                <w:sz w:val="17"/>
              </w:rPr>
            </w:pPr>
            <w:r>
              <w:rPr>
                <w:sz w:val="17"/>
              </w:rPr>
              <w:t>Borrowings</w:t>
            </w:r>
          </w:p>
        </w:tc>
        <w:tc>
          <w:tcPr>
            <w:tcW w:w="991" w:type="dxa"/>
            <w:vMerge/>
            <w:tcBorders>
              <w:top w:val="nil"/>
            </w:tcBorders>
          </w:tcPr>
          <w:p>
            <w:pPr>
              <w:rPr>
                <w:sz w:val="2"/>
                <w:szCs w:val="2"/>
              </w:rPr>
            </w:pPr>
          </w:p>
        </w:tc>
        <w:tc>
          <w:tcPr>
            <w:tcW w:w="1414" w:type="dxa"/>
          </w:tcPr>
          <w:p>
            <w:pPr>
              <w:pStyle w:val="TableParagraph"/>
              <w:spacing w:line="190" w:lineRule="exact" w:before="2"/>
              <w:ind w:right="35"/>
              <w:jc w:val="right"/>
              <w:rPr>
                <w:sz w:val="17"/>
              </w:rPr>
            </w:pPr>
            <w:r>
              <w:rPr>
                <w:w w:val="100"/>
                <w:sz w:val="17"/>
              </w:rPr>
              <w:t>-</w:t>
            </w:r>
          </w:p>
        </w:tc>
        <w:tc>
          <w:tcPr>
            <w:tcW w:w="147" w:type="dxa"/>
            <w:vMerge/>
            <w:tcBorders>
              <w:top w:val="nil"/>
            </w:tcBorders>
          </w:tcPr>
          <w:p>
            <w:pPr>
              <w:rPr>
                <w:sz w:val="2"/>
                <w:szCs w:val="2"/>
              </w:rPr>
            </w:pPr>
          </w:p>
        </w:tc>
        <w:tc>
          <w:tcPr>
            <w:tcW w:w="1385" w:type="dxa"/>
          </w:tcPr>
          <w:p>
            <w:pPr>
              <w:pStyle w:val="TableParagraph"/>
              <w:spacing w:line="190" w:lineRule="exact" w:before="2"/>
              <w:ind w:right="35"/>
              <w:jc w:val="right"/>
              <w:rPr>
                <w:sz w:val="17"/>
              </w:rPr>
            </w:pPr>
            <w:r>
              <w:rPr>
                <w:w w:val="100"/>
                <w:sz w:val="17"/>
              </w:rPr>
              <w:t>-</w:t>
            </w:r>
          </w:p>
        </w:tc>
      </w:tr>
      <w:tr>
        <w:trPr>
          <w:trHeight w:val="213" w:hRule="atLeast"/>
        </w:trPr>
        <w:tc>
          <w:tcPr>
            <w:tcW w:w="5768" w:type="dxa"/>
          </w:tcPr>
          <w:p>
            <w:pPr>
              <w:pStyle w:val="TableParagraph"/>
              <w:spacing w:line="192" w:lineRule="exact" w:before="1"/>
              <w:ind w:left="200"/>
              <w:rPr>
                <w:sz w:val="17"/>
              </w:rPr>
            </w:pPr>
            <w:r>
              <w:rPr>
                <w:sz w:val="17"/>
              </w:rPr>
              <w:t>Provisions</w:t>
            </w:r>
          </w:p>
        </w:tc>
        <w:tc>
          <w:tcPr>
            <w:tcW w:w="991" w:type="dxa"/>
            <w:vMerge/>
            <w:tcBorders>
              <w:top w:val="nil"/>
            </w:tcBorders>
          </w:tcPr>
          <w:p>
            <w:pPr>
              <w:rPr>
                <w:sz w:val="2"/>
                <w:szCs w:val="2"/>
              </w:rPr>
            </w:pPr>
          </w:p>
        </w:tc>
        <w:tc>
          <w:tcPr>
            <w:tcW w:w="1414" w:type="dxa"/>
          </w:tcPr>
          <w:p>
            <w:pPr>
              <w:pStyle w:val="TableParagraph"/>
              <w:spacing w:line="190" w:lineRule="exact" w:before="3"/>
              <w:ind w:right="35"/>
              <w:jc w:val="right"/>
              <w:rPr>
                <w:sz w:val="17"/>
              </w:rPr>
            </w:pPr>
            <w:r>
              <w:rPr>
                <w:w w:val="100"/>
                <w:sz w:val="17"/>
              </w:rPr>
              <w:t>-</w:t>
            </w:r>
          </w:p>
        </w:tc>
        <w:tc>
          <w:tcPr>
            <w:tcW w:w="147" w:type="dxa"/>
            <w:vMerge/>
            <w:tcBorders>
              <w:top w:val="nil"/>
            </w:tcBorders>
          </w:tcPr>
          <w:p>
            <w:pPr>
              <w:rPr>
                <w:sz w:val="2"/>
                <w:szCs w:val="2"/>
              </w:rPr>
            </w:pPr>
          </w:p>
        </w:tc>
        <w:tc>
          <w:tcPr>
            <w:tcW w:w="1385" w:type="dxa"/>
          </w:tcPr>
          <w:p>
            <w:pPr>
              <w:pStyle w:val="TableParagraph"/>
              <w:spacing w:line="190" w:lineRule="exact" w:before="3"/>
              <w:ind w:right="35"/>
              <w:jc w:val="right"/>
              <w:rPr>
                <w:sz w:val="17"/>
              </w:rPr>
            </w:pPr>
            <w:r>
              <w:rPr>
                <w:w w:val="100"/>
                <w:sz w:val="17"/>
              </w:rPr>
              <w:t>-</w:t>
            </w:r>
          </w:p>
        </w:tc>
      </w:tr>
      <w:tr>
        <w:trPr>
          <w:trHeight w:val="423" w:hRule="atLeast"/>
        </w:trPr>
        <w:tc>
          <w:tcPr>
            <w:tcW w:w="5768" w:type="dxa"/>
          </w:tcPr>
          <w:p>
            <w:pPr>
              <w:pStyle w:val="TableParagraph"/>
              <w:spacing w:before="1"/>
              <w:ind w:left="200"/>
              <w:rPr>
                <w:b/>
                <w:sz w:val="17"/>
              </w:rPr>
            </w:pPr>
            <w:r>
              <w:rPr>
                <w:b/>
                <w:sz w:val="17"/>
              </w:rPr>
              <w:t>Total current liabilities</w:t>
            </w:r>
          </w:p>
        </w:tc>
        <w:tc>
          <w:tcPr>
            <w:tcW w:w="991" w:type="dxa"/>
            <w:vMerge/>
            <w:tcBorders>
              <w:top w:val="nil"/>
            </w:tcBorders>
          </w:tcPr>
          <w:p>
            <w:pPr>
              <w:rPr>
                <w:sz w:val="2"/>
                <w:szCs w:val="2"/>
              </w:rPr>
            </w:pPr>
          </w:p>
        </w:tc>
        <w:tc>
          <w:tcPr>
            <w:tcW w:w="1414" w:type="dxa"/>
            <w:tcBorders>
              <w:bottom w:val="single" w:sz="8" w:space="0" w:color="000000"/>
            </w:tcBorders>
          </w:tcPr>
          <w:p>
            <w:pPr>
              <w:pStyle w:val="TableParagraph"/>
              <w:spacing w:before="3"/>
              <w:ind w:right="34"/>
              <w:jc w:val="right"/>
              <w:rPr>
                <w:b/>
                <w:sz w:val="17"/>
              </w:rPr>
            </w:pPr>
            <w:r>
              <w:rPr>
                <w:b/>
                <w:sz w:val="17"/>
              </w:rPr>
              <w:t>(20,132)</w:t>
            </w:r>
          </w:p>
        </w:tc>
        <w:tc>
          <w:tcPr>
            <w:tcW w:w="147" w:type="dxa"/>
            <w:vMerge/>
            <w:tcBorders>
              <w:top w:val="nil"/>
            </w:tcBorders>
          </w:tcPr>
          <w:p>
            <w:pPr>
              <w:rPr>
                <w:sz w:val="2"/>
                <w:szCs w:val="2"/>
              </w:rPr>
            </w:pPr>
          </w:p>
        </w:tc>
        <w:tc>
          <w:tcPr>
            <w:tcW w:w="1385" w:type="dxa"/>
            <w:tcBorders>
              <w:bottom w:val="single" w:sz="8" w:space="0" w:color="000000"/>
            </w:tcBorders>
          </w:tcPr>
          <w:p>
            <w:pPr>
              <w:pStyle w:val="TableParagraph"/>
              <w:spacing w:before="3"/>
              <w:ind w:right="32"/>
              <w:jc w:val="right"/>
              <w:rPr>
                <w:sz w:val="17"/>
              </w:rPr>
            </w:pPr>
            <w:r>
              <w:rPr>
                <w:sz w:val="17"/>
              </w:rPr>
              <w:t>(18,448)</w:t>
            </w:r>
          </w:p>
        </w:tc>
      </w:tr>
      <w:tr>
        <w:trPr>
          <w:trHeight w:val="305" w:hRule="atLeast"/>
        </w:trPr>
        <w:tc>
          <w:tcPr>
            <w:tcW w:w="5768" w:type="dxa"/>
          </w:tcPr>
          <w:p>
            <w:pPr>
              <w:pStyle w:val="TableParagraph"/>
              <w:spacing w:line="183" w:lineRule="exact"/>
              <w:ind w:left="200"/>
              <w:rPr>
                <w:b/>
                <w:sz w:val="17"/>
              </w:rPr>
            </w:pPr>
            <w:r>
              <w:rPr>
                <w:b/>
                <w:sz w:val="17"/>
              </w:rPr>
              <w:t>Non-Current Assets plus/less Net Current Assets/Liabilities</w:t>
            </w:r>
          </w:p>
        </w:tc>
        <w:tc>
          <w:tcPr>
            <w:tcW w:w="991" w:type="dxa"/>
          </w:tcPr>
          <w:p>
            <w:pPr>
              <w:pStyle w:val="TableParagraph"/>
              <w:rPr>
                <w:rFonts w:ascii="Times New Roman"/>
                <w:sz w:val="16"/>
              </w:rPr>
            </w:pPr>
          </w:p>
        </w:tc>
        <w:tc>
          <w:tcPr>
            <w:tcW w:w="1414" w:type="dxa"/>
            <w:tcBorders>
              <w:top w:val="single" w:sz="8" w:space="0" w:color="000000"/>
            </w:tcBorders>
          </w:tcPr>
          <w:p>
            <w:pPr>
              <w:pStyle w:val="TableParagraph"/>
              <w:tabs>
                <w:tab w:pos="731" w:val="left" w:leader="none"/>
              </w:tabs>
              <w:spacing w:line="183" w:lineRule="exact"/>
              <w:ind w:right="1"/>
              <w:jc w:val="right"/>
              <w:rPr>
                <w:b/>
                <w:sz w:val="17"/>
              </w:rPr>
            </w:pPr>
            <w:r>
              <w:rPr>
                <w:b/>
                <w:w w:val="100"/>
                <w:sz w:val="17"/>
                <w:u w:val="single"/>
              </w:rPr>
              <w:t> </w:t>
            </w:r>
            <w:r>
              <w:rPr>
                <w:b/>
                <w:sz w:val="17"/>
                <w:u w:val="single"/>
              </w:rPr>
              <w:tab/>
            </w:r>
            <w:r>
              <w:rPr>
                <w:b/>
                <w:spacing w:val="-2"/>
                <w:sz w:val="17"/>
                <w:u w:val="single"/>
              </w:rPr>
              <w:t>(19,435)</w:t>
            </w:r>
          </w:p>
        </w:tc>
        <w:tc>
          <w:tcPr>
            <w:tcW w:w="147" w:type="dxa"/>
          </w:tcPr>
          <w:p>
            <w:pPr>
              <w:pStyle w:val="TableParagraph"/>
              <w:rPr>
                <w:rFonts w:ascii="Times New Roman"/>
                <w:sz w:val="16"/>
              </w:rPr>
            </w:pPr>
          </w:p>
        </w:tc>
        <w:tc>
          <w:tcPr>
            <w:tcW w:w="1385" w:type="dxa"/>
            <w:tcBorders>
              <w:top w:val="single" w:sz="8" w:space="0" w:color="000000"/>
            </w:tcBorders>
          </w:tcPr>
          <w:p>
            <w:pPr>
              <w:pStyle w:val="TableParagraph"/>
              <w:tabs>
                <w:tab w:pos="705" w:val="left" w:leader="none"/>
              </w:tabs>
              <w:spacing w:line="183" w:lineRule="exact"/>
              <w:jc w:val="right"/>
              <w:rPr>
                <w:sz w:val="17"/>
              </w:rPr>
            </w:pPr>
            <w:r>
              <w:rPr>
                <w:w w:val="100"/>
                <w:sz w:val="17"/>
                <w:u w:val="single"/>
              </w:rPr>
              <w:t> </w:t>
            </w:r>
            <w:r>
              <w:rPr>
                <w:sz w:val="17"/>
                <w:u w:val="single"/>
              </w:rPr>
              <w:tab/>
            </w:r>
            <w:r>
              <w:rPr>
                <w:spacing w:val="-2"/>
                <w:sz w:val="17"/>
                <w:u w:val="single"/>
              </w:rPr>
              <w:t>(17,512)</w:t>
            </w:r>
          </w:p>
        </w:tc>
      </w:tr>
      <w:tr>
        <w:trPr>
          <w:trHeight w:val="529" w:hRule="atLeast"/>
        </w:trPr>
        <w:tc>
          <w:tcPr>
            <w:tcW w:w="5768" w:type="dxa"/>
          </w:tcPr>
          <w:p>
            <w:pPr>
              <w:pStyle w:val="TableParagraph"/>
              <w:spacing w:before="109"/>
              <w:ind w:left="200"/>
              <w:rPr>
                <w:b/>
                <w:sz w:val="17"/>
              </w:rPr>
            </w:pPr>
            <w:r>
              <w:rPr>
                <w:b/>
                <w:sz w:val="17"/>
              </w:rPr>
              <w:t>Non-current liabilities</w:t>
            </w:r>
          </w:p>
          <w:p>
            <w:pPr>
              <w:pStyle w:val="TableParagraph"/>
              <w:spacing w:line="193" w:lineRule="exact" w:before="11"/>
              <w:ind w:left="200"/>
              <w:rPr>
                <w:sz w:val="17"/>
              </w:rPr>
            </w:pPr>
            <w:r>
              <w:rPr>
                <w:sz w:val="17"/>
              </w:rPr>
              <w:t>Trade and other payables</w:t>
            </w:r>
          </w:p>
        </w:tc>
        <w:tc>
          <w:tcPr>
            <w:tcW w:w="991" w:type="dxa"/>
          </w:tcPr>
          <w:p>
            <w:pPr>
              <w:pStyle w:val="TableParagraph"/>
              <w:rPr>
                <w:rFonts w:ascii="Times New Roman"/>
                <w:sz w:val="16"/>
              </w:rPr>
            </w:pPr>
          </w:p>
        </w:tc>
        <w:tc>
          <w:tcPr>
            <w:tcW w:w="1414" w:type="dxa"/>
          </w:tcPr>
          <w:p>
            <w:pPr>
              <w:pStyle w:val="TableParagraph"/>
              <w:rPr>
                <w:sz w:val="18"/>
              </w:rPr>
            </w:pPr>
          </w:p>
          <w:p>
            <w:pPr>
              <w:pStyle w:val="TableParagraph"/>
              <w:spacing w:line="193" w:lineRule="exact" w:before="108"/>
              <w:ind w:right="35"/>
              <w:jc w:val="right"/>
              <w:rPr>
                <w:sz w:val="17"/>
              </w:rPr>
            </w:pPr>
            <w:r>
              <w:rPr>
                <w:w w:val="100"/>
                <w:sz w:val="17"/>
              </w:rPr>
              <w:t>-</w:t>
            </w:r>
          </w:p>
        </w:tc>
        <w:tc>
          <w:tcPr>
            <w:tcW w:w="147" w:type="dxa"/>
          </w:tcPr>
          <w:p>
            <w:pPr>
              <w:pStyle w:val="TableParagraph"/>
              <w:rPr>
                <w:rFonts w:ascii="Times New Roman"/>
                <w:sz w:val="16"/>
              </w:rPr>
            </w:pPr>
          </w:p>
        </w:tc>
        <w:tc>
          <w:tcPr>
            <w:tcW w:w="1385" w:type="dxa"/>
          </w:tcPr>
          <w:p>
            <w:pPr>
              <w:pStyle w:val="TableParagraph"/>
              <w:rPr>
                <w:sz w:val="18"/>
              </w:rPr>
            </w:pPr>
          </w:p>
          <w:p>
            <w:pPr>
              <w:pStyle w:val="TableParagraph"/>
              <w:spacing w:line="193" w:lineRule="exact" w:before="108"/>
              <w:ind w:right="35"/>
              <w:jc w:val="right"/>
              <w:rPr>
                <w:sz w:val="17"/>
              </w:rPr>
            </w:pPr>
            <w:r>
              <w:rPr>
                <w:w w:val="100"/>
                <w:sz w:val="17"/>
              </w:rPr>
              <w:t>-</w:t>
            </w:r>
          </w:p>
        </w:tc>
      </w:tr>
      <w:tr>
        <w:trPr>
          <w:trHeight w:val="217" w:hRule="atLeast"/>
        </w:trPr>
        <w:tc>
          <w:tcPr>
            <w:tcW w:w="5768" w:type="dxa"/>
          </w:tcPr>
          <w:p>
            <w:pPr>
              <w:pStyle w:val="TableParagraph"/>
              <w:spacing w:line="190" w:lineRule="exact" w:before="7"/>
              <w:ind w:left="200"/>
              <w:rPr>
                <w:sz w:val="17"/>
              </w:rPr>
            </w:pPr>
            <w:r>
              <w:rPr>
                <w:sz w:val="17"/>
              </w:rPr>
              <w:t>Other financial liabilities</w:t>
            </w:r>
          </w:p>
        </w:tc>
        <w:tc>
          <w:tcPr>
            <w:tcW w:w="991" w:type="dxa"/>
            <w:vMerge w:val="restart"/>
          </w:tcPr>
          <w:p>
            <w:pPr>
              <w:pStyle w:val="TableParagraph"/>
              <w:rPr>
                <w:rFonts w:ascii="Times New Roman"/>
                <w:sz w:val="16"/>
              </w:rPr>
            </w:pPr>
          </w:p>
        </w:tc>
        <w:tc>
          <w:tcPr>
            <w:tcW w:w="1414" w:type="dxa"/>
          </w:tcPr>
          <w:p>
            <w:pPr>
              <w:pStyle w:val="TableParagraph"/>
              <w:spacing w:line="192" w:lineRule="exact" w:before="5"/>
              <w:ind w:right="35"/>
              <w:jc w:val="right"/>
              <w:rPr>
                <w:sz w:val="17"/>
              </w:rPr>
            </w:pPr>
            <w:r>
              <w:rPr>
                <w:w w:val="100"/>
                <w:sz w:val="17"/>
              </w:rPr>
              <w:t>-</w:t>
            </w:r>
          </w:p>
        </w:tc>
        <w:tc>
          <w:tcPr>
            <w:tcW w:w="147" w:type="dxa"/>
            <w:vMerge w:val="restart"/>
          </w:tcPr>
          <w:p>
            <w:pPr>
              <w:pStyle w:val="TableParagraph"/>
              <w:rPr>
                <w:rFonts w:ascii="Times New Roman"/>
                <w:sz w:val="16"/>
              </w:rPr>
            </w:pPr>
          </w:p>
        </w:tc>
        <w:tc>
          <w:tcPr>
            <w:tcW w:w="1385" w:type="dxa"/>
          </w:tcPr>
          <w:p>
            <w:pPr>
              <w:pStyle w:val="TableParagraph"/>
              <w:spacing w:line="192" w:lineRule="exact" w:before="5"/>
              <w:ind w:right="35"/>
              <w:jc w:val="right"/>
              <w:rPr>
                <w:sz w:val="17"/>
              </w:rPr>
            </w:pPr>
            <w:r>
              <w:rPr>
                <w:w w:val="100"/>
                <w:sz w:val="17"/>
              </w:rPr>
              <w:t>-</w:t>
            </w:r>
          </w:p>
        </w:tc>
      </w:tr>
      <w:tr>
        <w:trPr>
          <w:trHeight w:val="213" w:hRule="atLeast"/>
        </w:trPr>
        <w:tc>
          <w:tcPr>
            <w:tcW w:w="5768" w:type="dxa"/>
          </w:tcPr>
          <w:p>
            <w:pPr>
              <w:pStyle w:val="TableParagraph"/>
              <w:spacing w:line="190" w:lineRule="exact" w:before="3"/>
              <w:ind w:left="200"/>
              <w:rPr>
                <w:sz w:val="17"/>
              </w:rPr>
            </w:pPr>
            <w:r>
              <w:rPr>
                <w:sz w:val="17"/>
              </w:rPr>
              <w:t>Other liabilities</w:t>
            </w:r>
          </w:p>
        </w:tc>
        <w:tc>
          <w:tcPr>
            <w:tcW w:w="991" w:type="dxa"/>
            <w:vMerge/>
            <w:tcBorders>
              <w:top w:val="nil"/>
            </w:tcBorders>
          </w:tcPr>
          <w:p>
            <w:pPr>
              <w:rPr>
                <w:sz w:val="2"/>
                <w:szCs w:val="2"/>
              </w:rPr>
            </w:pPr>
          </w:p>
        </w:tc>
        <w:tc>
          <w:tcPr>
            <w:tcW w:w="1414" w:type="dxa"/>
          </w:tcPr>
          <w:p>
            <w:pPr>
              <w:pStyle w:val="TableParagraph"/>
              <w:spacing w:line="192" w:lineRule="exact" w:before="1"/>
              <w:ind w:right="35"/>
              <w:jc w:val="right"/>
              <w:rPr>
                <w:sz w:val="17"/>
              </w:rPr>
            </w:pPr>
            <w:r>
              <w:rPr>
                <w:w w:val="100"/>
                <w:sz w:val="17"/>
              </w:rPr>
              <w:t>-</w:t>
            </w:r>
          </w:p>
        </w:tc>
        <w:tc>
          <w:tcPr>
            <w:tcW w:w="147" w:type="dxa"/>
            <w:vMerge/>
            <w:tcBorders>
              <w:top w:val="nil"/>
            </w:tcBorders>
          </w:tcPr>
          <w:p>
            <w:pPr>
              <w:rPr>
                <w:sz w:val="2"/>
                <w:szCs w:val="2"/>
              </w:rPr>
            </w:pPr>
          </w:p>
        </w:tc>
        <w:tc>
          <w:tcPr>
            <w:tcW w:w="1385" w:type="dxa"/>
          </w:tcPr>
          <w:p>
            <w:pPr>
              <w:pStyle w:val="TableParagraph"/>
              <w:spacing w:line="192" w:lineRule="exact" w:before="1"/>
              <w:ind w:right="35"/>
              <w:jc w:val="right"/>
              <w:rPr>
                <w:sz w:val="17"/>
              </w:rPr>
            </w:pPr>
            <w:r>
              <w:rPr>
                <w:w w:val="100"/>
                <w:sz w:val="17"/>
              </w:rPr>
              <w:t>-</w:t>
            </w:r>
          </w:p>
        </w:tc>
      </w:tr>
      <w:tr>
        <w:trPr>
          <w:trHeight w:val="212" w:hRule="atLeast"/>
        </w:trPr>
        <w:tc>
          <w:tcPr>
            <w:tcW w:w="5768" w:type="dxa"/>
          </w:tcPr>
          <w:p>
            <w:pPr>
              <w:pStyle w:val="TableParagraph"/>
              <w:spacing w:line="191" w:lineRule="exact" w:before="1"/>
              <w:ind w:left="200"/>
              <w:rPr>
                <w:sz w:val="17"/>
              </w:rPr>
            </w:pPr>
            <w:r>
              <w:rPr>
                <w:sz w:val="17"/>
              </w:rPr>
              <w:t>Borrowings</w:t>
            </w:r>
          </w:p>
        </w:tc>
        <w:tc>
          <w:tcPr>
            <w:tcW w:w="991" w:type="dxa"/>
            <w:vMerge/>
            <w:tcBorders>
              <w:top w:val="nil"/>
            </w:tcBorders>
          </w:tcPr>
          <w:p>
            <w:pPr>
              <w:rPr>
                <w:sz w:val="2"/>
                <w:szCs w:val="2"/>
              </w:rPr>
            </w:pPr>
          </w:p>
        </w:tc>
        <w:tc>
          <w:tcPr>
            <w:tcW w:w="1414" w:type="dxa"/>
          </w:tcPr>
          <w:p>
            <w:pPr>
              <w:pStyle w:val="TableParagraph"/>
              <w:spacing w:line="191" w:lineRule="exact" w:before="1"/>
              <w:ind w:right="35"/>
              <w:jc w:val="right"/>
              <w:rPr>
                <w:sz w:val="17"/>
              </w:rPr>
            </w:pPr>
            <w:r>
              <w:rPr>
                <w:w w:val="100"/>
                <w:sz w:val="17"/>
              </w:rPr>
              <w:t>-</w:t>
            </w:r>
          </w:p>
        </w:tc>
        <w:tc>
          <w:tcPr>
            <w:tcW w:w="147" w:type="dxa"/>
            <w:vMerge/>
            <w:tcBorders>
              <w:top w:val="nil"/>
            </w:tcBorders>
          </w:tcPr>
          <w:p>
            <w:pPr>
              <w:rPr>
                <w:sz w:val="2"/>
                <w:szCs w:val="2"/>
              </w:rPr>
            </w:pPr>
          </w:p>
        </w:tc>
        <w:tc>
          <w:tcPr>
            <w:tcW w:w="1385" w:type="dxa"/>
          </w:tcPr>
          <w:p>
            <w:pPr>
              <w:pStyle w:val="TableParagraph"/>
              <w:spacing w:line="191" w:lineRule="exact" w:before="1"/>
              <w:ind w:right="35"/>
              <w:jc w:val="right"/>
              <w:rPr>
                <w:sz w:val="17"/>
              </w:rPr>
            </w:pPr>
            <w:r>
              <w:rPr>
                <w:w w:val="100"/>
                <w:sz w:val="17"/>
              </w:rPr>
              <w:t>-</w:t>
            </w:r>
          </w:p>
        </w:tc>
      </w:tr>
      <w:tr>
        <w:trPr>
          <w:trHeight w:val="213" w:hRule="atLeast"/>
        </w:trPr>
        <w:tc>
          <w:tcPr>
            <w:tcW w:w="5768" w:type="dxa"/>
          </w:tcPr>
          <w:p>
            <w:pPr>
              <w:pStyle w:val="TableParagraph"/>
              <w:spacing w:line="191" w:lineRule="exact" w:before="2"/>
              <w:ind w:left="200"/>
              <w:rPr>
                <w:sz w:val="17"/>
              </w:rPr>
            </w:pPr>
            <w:r>
              <w:rPr>
                <w:sz w:val="17"/>
              </w:rPr>
              <w:t>Provisions</w:t>
            </w:r>
          </w:p>
        </w:tc>
        <w:tc>
          <w:tcPr>
            <w:tcW w:w="991" w:type="dxa"/>
            <w:vMerge/>
            <w:tcBorders>
              <w:top w:val="nil"/>
            </w:tcBorders>
          </w:tcPr>
          <w:p>
            <w:pPr>
              <w:rPr>
                <w:sz w:val="2"/>
                <w:szCs w:val="2"/>
              </w:rPr>
            </w:pPr>
          </w:p>
        </w:tc>
        <w:tc>
          <w:tcPr>
            <w:tcW w:w="1414" w:type="dxa"/>
          </w:tcPr>
          <w:p>
            <w:pPr>
              <w:pStyle w:val="TableParagraph"/>
              <w:spacing w:line="191" w:lineRule="exact" w:before="2"/>
              <w:ind w:right="35"/>
              <w:jc w:val="right"/>
              <w:rPr>
                <w:sz w:val="17"/>
              </w:rPr>
            </w:pPr>
            <w:r>
              <w:rPr>
                <w:w w:val="100"/>
                <w:sz w:val="17"/>
              </w:rPr>
              <w:t>-</w:t>
            </w:r>
          </w:p>
        </w:tc>
        <w:tc>
          <w:tcPr>
            <w:tcW w:w="147" w:type="dxa"/>
            <w:vMerge/>
            <w:tcBorders>
              <w:top w:val="nil"/>
            </w:tcBorders>
          </w:tcPr>
          <w:p>
            <w:pPr>
              <w:rPr>
                <w:sz w:val="2"/>
                <w:szCs w:val="2"/>
              </w:rPr>
            </w:pPr>
          </w:p>
        </w:tc>
        <w:tc>
          <w:tcPr>
            <w:tcW w:w="1385" w:type="dxa"/>
          </w:tcPr>
          <w:p>
            <w:pPr>
              <w:pStyle w:val="TableParagraph"/>
              <w:spacing w:line="191" w:lineRule="exact" w:before="2"/>
              <w:ind w:right="35"/>
              <w:jc w:val="right"/>
              <w:rPr>
                <w:sz w:val="17"/>
              </w:rPr>
            </w:pPr>
            <w:r>
              <w:rPr>
                <w:w w:val="100"/>
                <w:sz w:val="17"/>
              </w:rPr>
              <w:t>-</w:t>
            </w:r>
          </w:p>
        </w:tc>
      </w:tr>
      <w:tr>
        <w:trPr>
          <w:trHeight w:val="422" w:hRule="atLeast"/>
        </w:trPr>
        <w:tc>
          <w:tcPr>
            <w:tcW w:w="5768" w:type="dxa"/>
          </w:tcPr>
          <w:p>
            <w:pPr>
              <w:pStyle w:val="TableParagraph"/>
              <w:spacing w:before="2"/>
              <w:ind w:left="200"/>
              <w:rPr>
                <w:b/>
                <w:sz w:val="17"/>
              </w:rPr>
            </w:pPr>
            <w:r>
              <w:rPr>
                <w:b/>
                <w:sz w:val="17"/>
              </w:rPr>
              <w:t>Total non-current liabilities</w:t>
            </w:r>
          </w:p>
        </w:tc>
        <w:tc>
          <w:tcPr>
            <w:tcW w:w="991" w:type="dxa"/>
            <w:vMerge/>
            <w:tcBorders>
              <w:top w:val="nil"/>
            </w:tcBorders>
          </w:tcPr>
          <w:p>
            <w:pPr>
              <w:rPr>
                <w:sz w:val="2"/>
                <w:szCs w:val="2"/>
              </w:rPr>
            </w:pPr>
          </w:p>
        </w:tc>
        <w:tc>
          <w:tcPr>
            <w:tcW w:w="1414" w:type="dxa"/>
            <w:tcBorders>
              <w:bottom w:val="single" w:sz="8" w:space="0" w:color="000000"/>
            </w:tcBorders>
          </w:tcPr>
          <w:p>
            <w:pPr>
              <w:pStyle w:val="TableParagraph"/>
              <w:spacing w:before="2"/>
              <w:ind w:right="35"/>
              <w:jc w:val="right"/>
              <w:rPr>
                <w:b/>
                <w:sz w:val="17"/>
              </w:rPr>
            </w:pPr>
            <w:r>
              <w:rPr>
                <w:b/>
                <w:w w:val="100"/>
                <w:sz w:val="17"/>
              </w:rPr>
              <w:t>-</w:t>
            </w:r>
          </w:p>
        </w:tc>
        <w:tc>
          <w:tcPr>
            <w:tcW w:w="147" w:type="dxa"/>
            <w:vMerge/>
            <w:tcBorders>
              <w:top w:val="nil"/>
            </w:tcBorders>
          </w:tcPr>
          <w:p>
            <w:pPr>
              <w:rPr>
                <w:sz w:val="2"/>
                <w:szCs w:val="2"/>
              </w:rPr>
            </w:pPr>
          </w:p>
        </w:tc>
        <w:tc>
          <w:tcPr>
            <w:tcW w:w="1385" w:type="dxa"/>
            <w:tcBorders>
              <w:bottom w:val="single" w:sz="8" w:space="0" w:color="000000"/>
            </w:tcBorders>
          </w:tcPr>
          <w:p>
            <w:pPr>
              <w:pStyle w:val="TableParagraph"/>
              <w:spacing w:before="2"/>
              <w:ind w:right="35"/>
              <w:jc w:val="right"/>
              <w:rPr>
                <w:sz w:val="17"/>
              </w:rPr>
            </w:pPr>
            <w:r>
              <w:rPr>
                <w:w w:val="100"/>
                <w:sz w:val="17"/>
              </w:rPr>
              <w:t>-</w:t>
            </w:r>
          </w:p>
        </w:tc>
      </w:tr>
      <w:tr>
        <w:trPr>
          <w:trHeight w:val="305" w:hRule="atLeast"/>
        </w:trPr>
        <w:tc>
          <w:tcPr>
            <w:tcW w:w="5768" w:type="dxa"/>
          </w:tcPr>
          <w:p>
            <w:pPr>
              <w:pStyle w:val="TableParagraph"/>
              <w:spacing w:line="183" w:lineRule="exact"/>
              <w:ind w:left="200"/>
              <w:rPr>
                <w:b/>
                <w:sz w:val="17"/>
              </w:rPr>
            </w:pPr>
            <w:r>
              <w:rPr>
                <w:b/>
                <w:sz w:val="17"/>
              </w:rPr>
              <w:t>Assets less Liabilities</w:t>
            </w:r>
          </w:p>
        </w:tc>
        <w:tc>
          <w:tcPr>
            <w:tcW w:w="991" w:type="dxa"/>
          </w:tcPr>
          <w:p>
            <w:pPr>
              <w:pStyle w:val="TableParagraph"/>
              <w:rPr>
                <w:rFonts w:ascii="Times New Roman"/>
                <w:sz w:val="16"/>
              </w:rPr>
            </w:pPr>
          </w:p>
        </w:tc>
        <w:tc>
          <w:tcPr>
            <w:tcW w:w="1414" w:type="dxa"/>
            <w:tcBorders>
              <w:top w:val="single" w:sz="8" w:space="0" w:color="000000"/>
            </w:tcBorders>
          </w:tcPr>
          <w:p>
            <w:pPr>
              <w:pStyle w:val="TableParagraph"/>
              <w:tabs>
                <w:tab w:pos="731" w:val="left" w:leader="none"/>
              </w:tabs>
              <w:spacing w:line="183" w:lineRule="exact"/>
              <w:ind w:right="1"/>
              <w:jc w:val="right"/>
              <w:rPr>
                <w:b/>
                <w:sz w:val="17"/>
              </w:rPr>
            </w:pPr>
            <w:r>
              <w:rPr>
                <w:b/>
                <w:w w:val="100"/>
                <w:sz w:val="17"/>
                <w:u w:val="single"/>
              </w:rPr>
              <w:t> </w:t>
            </w:r>
            <w:r>
              <w:rPr>
                <w:b/>
                <w:sz w:val="17"/>
                <w:u w:val="single"/>
              </w:rPr>
              <w:tab/>
            </w:r>
            <w:r>
              <w:rPr>
                <w:b/>
                <w:spacing w:val="-2"/>
                <w:sz w:val="17"/>
                <w:u w:val="single"/>
              </w:rPr>
              <w:t>(19,435)</w:t>
            </w:r>
          </w:p>
        </w:tc>
        <w:tc>
          <w:tcPr>
            <w:tcW w:w="147" w:type="dxa"/>
          </w:tcPr>
          <w:p>
            <w:pPr>
              <w:pStyle w:val="TableParagraph"/>
              <w:rPr>
                <w:rFonts w:ascii="Times New Roman"/>
                <w:sz w:val="16"/>
              </w:rPr>
            </w:pPr>
          </w:p>
        </w:tc>
        <w:tc>
          <w:tcPr>
            <w:tcW w:w="1385" w:type="dxa"/>
            <w:tcBorders>
              <w:top w:val="single" w:sz="8" w:space="0" w:color="000000"/>
            </w:tcBorders>
          </w:tcPr>
          <w:p>
            <w:pPr>
              <w:pStyle w:val="TableParagraph"/>
              <w:tabs>
                <w:tab w:pos="705" w:val="left" w:leader="none"/>
              </w:tabs>
              <w:spacing w:line="183" w:lineRule="exact"/>
              <w:jc w:val="right"/>
              <w:rPr>
                <w:sz w:val="17"/>
              </w:rPr>
            </w:pPr>
            <w:r>
              <w:rPr>
                <w:w w:val="100"/>
                <w:sz w:val="17"/>
                <w:u w:val="single"/>
              </w:rPr>
              <w:t> </w:t>
            </w:r>
            <w:r>
              <w:rPr>
                <w:sz w:val="17"/>
                <w:u w:val="single"/>
              </w:rPr>
              <w:tab/>
            </w:r>
            <w:r>
              <w:rPr>
                <w:spacing w:val="-2"/>
                <w:sz w:val="17"/>
                <w:u w:val="single"/>
              </w:rPr>
              <w:t>(17,512)</w:t>
            </w:r>
          </w:p>
        </w:tc>
      </w:tr>
      <w:tr>
        <w:trPr>
          <w:trHeight w:val="530" w:hRule="atLeast"/>
        </w:trPr>
        <w:tc>
          <w:tcPr>
            <w:tcW w:w="5768" w:type="dxa"/>
          </w:tcPr>
          <w:p>
            <w:pPr>
              <w:pStyle w:val="TableParagraph"/>
              <w:spacing w:before="109"/>
              <w:ind w:left="200"/>
              <w:rPr>
                <w:b/>
                <w:sz w:val="17"/>
              </w:rPr>
            </w:pPr>
            <w:r>
              <w:rPr>
                <w:b/>
                <w:sz w:val="17"/>
              </w:rPr>
              <w:t>Financed by Taxpayers’ Equity</w:t>
            </w:r>
          </w:p>
          <w:p>
            <w:pPr>
              <w:pStyle w:val="TableParagraph"/>
              <w:spacing w:line="195" w:lineRule="exact" w:before="11"/>
              <w:ind w:left="200"/>
              <w:rPr>
                <w:sz w:val="17"/>
              </w:rPr>
            </w:pPr>
            <w:r>
              <w:rPr>
                <w:sz w:val="17"/>
              </w:rPr>
              <w:t>General fund</w:t>
            </w:r>
          </w:p>
        </w:tc>
        <w:tc>
          <w:tcPr>
            <w:tcW w:w="991" w:type="dxa"/>
          </w:tcPr>
          <w:p>
            <w:pPr>
              <w:pStyle w:val="TableParagraph"/>
              <w:rPr>
                <w:rFonts w:ascii="Times New Roman"/>
                <w:sz w:val="16"/>
              </w:rPr>
            </w:pPr>
          </w:p>
        </w:tc>
        <w:tc>
          <w:tcPr>
            <w:tcW w:w="1414" w:type="dxa"/>
          </w:tcPr>
          <w:p>
            <w:pPr>
              <w:pStyle w:val="TableParagraph"/>
              <w:rPr>
                <w:sz w:val="18"/>
              </w:rPr>
            </w:pPr>
          </w:p>
          <w:p>
            <w:pPr>
              <w:pStyle w:val="TableParagraph"/>
              <w:spacing w:line="195" w:lineRule="exact" w:before="108"/>
              <w:ind w:right="34"/>
              <w:jc w:val="right"/>
              <w:rPr>
                <w:sz w:val="17"/>
              </w:rPr>
            </w:pPr>
            <w:r>
              <w:rPr>
                <w:sz w:val="17"/>
              </w:rPr>
              <w:t>(19,435)</w:t>
            </w:r>
          </w:p>
        </w:tc>
        <w:tc>
          <w:tcPr>
            <w:tcW w:w="147" w:type="dxa"/>
          </w:tcPr>
          <w:p>
            <w:pPr>
              <w:pStyle w:val="TableParagraph"/>
              <w:rPr>
                <w:rFonts w:ascii="Times New Roman"/>
                <w:sz w:val="16"/>
              </w:rPr>
            </w:pPr>
          </w:p>
        </w:tc>
        <w:tc>
          <w:tcPr>
            <w:tcW w:w="1385" w:type="dxa"/>
          </w:tcPr>
          <w:p>
            <w:pPr>
              <w:pStyle w:val="TableParagraph"/>
              <w:rPr>
                <w:sz w:val="18"/>
              </w:rPr>
            </w:pPr>
          </w:p>
          <w:p>
            <w:pPr>
              <w:pStyle w:val="TableParagraph"/>
              <w:spacing w:line="195" w:lineRule="exact" w:before="108"/>
              <w:ind w:right="32"/>
              <w:jc w:val="right"/>
              <w:rPr>
                <w:sz w:val="17"/>
              </w:rPr>
            </w:pPr>
            <w:r>
              <w:rPr>
                <w:sz w:val="17"/>
              </w:rPr>
              <w:t>(17,512)</w:t>
            </w:r>
          </w:p>
        </w:tc>
      </w:tr>
      <w:tr>
        <w:trPr>
          <w:trHeight w:val="217" w:hRule="atLeast"/>
        </w:trPr>
        <w:tc>
          <w:tcPr>
            <w:tcW w:w="5768" w:type="dxa"/>
          </w:tcPr>
          <w:p>
            <w:pPr>
              <w:pStyle w:val="TableParagraph"/>
              <w:spacing w:line="191" w:lineRule="exact" w:before="6"/>
              <w:ind w:left="200"/>
              <w:rPr>
                <w:sz w:val="17"/>
              </w:rPr>
            </w:pPr>
            <w:r>
              <w:rPr>
                <w:sz w:val="17"/>
              </w:rPr>
              <w:t>Revaluation reserve</w:t>
            </w:r>
          </w:p>
        </w:tc>
        <w:tc>
          <w:tcPr>
            <w:tcW w:w="991" w:type="dxa"/>
            <w:vMerge w:val="restart"/>
          </w:tcPr>
          <w:p>
            <w:pPr>
              <w:pStyle w:val="TableParagraph"/>
              <w:rPr>
                <w:rFonts w:ascii="Times New Roman"/>
                <w:sz w:val="16"/>
              </w:rPr>
            </w:pPr>
          </w:p>
        </w:tc>
        <w:tc>
          <w:tcPr>
            <w:tcW w:w="1414" w:type="dxa"/>
          </w:tcPr>
          <w:p>
            <w:pPr>
              <w:pStyle w:val="TableParagraph"/>
              <w:spacing w:line="191" w:lineRule="exact" w:before="6"/>
              <w:ind w:right="37"/>
              <w:jc w:val="right"/>
              <w:rPr>
                <w:sz w:val="17"/>
              </w:rPr>
            </w:pPr>
            <w:r>
              <w:rPr>
                <w:w w:val="100"/>
                <w:sz w:val="17"/>
              </w:rPr>
              <w:t>-</w:t>
            </w:r>
          </w:p>
        </w:tc>
        <w:tc>
          <w:tcPr>
            <w:tcW w:w="147" w:type="dxa"/>
            <w:vMerge w:val="restart"/>
          </w:tcPr>
          <w:p>
            <w:pPr>
              <w:pStyle w:val="TableParagraph"/>
              <w:rPr>
                <w:rFonts w:ascii="Times New Roman"/>
                <w:sz w:val="16"/>
              </w:rPr>
            </w:pPr>
          </w:p>
        </w:tc>
        <w:tc>
          <w:tcPr>
            <w:tcW w:w="1385" w:type="dxa"/>
          </w:tcPr>
          <w:p>
            <w:pPr>
              <w:pStyle w:val="TableParagraph"/>
              <w:spacing w:line="191" w:lineRule="exact" w:before="6"/>
              <w:ind w:right="33"/>
              <w:jc w:val="right"/>
              <w:rPr>
                <w:sz w:val="17"/>
              </w:rPr>
            </w:pPr>
            <w:r>
              <w:rPr>
                <w:w w:val="100"/>
                <w:sz w:val="17"/>
              </w:rPr>
              <w:t>-</w:t>
            </w:r>
          </w:p>
        </w:tc>
      </w:tr>
      <w:tr>
        <w:trPr>
          <w:trHeight w:val="212" w:hRule="atLeast"/>
        </w:trPr>
        <w:tc>
          <w:tcPr>
            <w:tcW w:w="5768" w:type="dxa"/>
          </w:tcPr>
          <w:p>
            <w:pPr>
              <w:pStyle w:val="TableParagraph"/>
              <w:spacing w:line="190" w:lineRule="exact" w:before="2"/>
              <w:ind w:left="200"/>
              <w:rPr>
                <w:sz w:val="17"/>
              </w:rPr>
            </w:pPr>
            <w:r>
              <w:rPr>
                <w:sz w:val="17"/>
              </w:rPr>
              <w:t>Other reserves</w:t>
            </w:r>
          </w:p>
        </w:tc>
        <w:tc>
          <w:tcPr>
            <w:tcW w:w="991" w:type="dxa"/>
            <w:vMerge/>
            <w:tcBorders>
              <w:top w:val="nil"/>
            </w:tcBorders>
          </w:tcPr>
          <w:p>
            <w:pPr>
              <w:rPr>
                <w:sz w:val="2"/>
                <w:szCs w:val="2"/>
              </w:rPr>
            </w:pPr>
          </w:p>
        </w:tc>
        <w:tc>
          <w:tcPr>
            <w:tcW w:w="1414" w:type="dxa"/>
          </w:tcPr>
          <w:p>
            <w:pPr>
              <w:pStyle w:val="TableParagraph"/>
              <w:spacing w:line="190" w:lineRule="exact" w:before="2"/>
              <w:ind w:right="35"/>
              <w:jc w:val="right"/>
              <w:rPr>
                <w:sz w:val="17"/>
              </w:rPr>
            </w:pPr>
            <w:r>
              <w:rPr>
                <w:w w:val="100"/>
                <w:sz w:val="17"/>
              </w:rPr>
              <w:t>-</w:t>
            </w:r>
          </w:p>
        </w:tc>
        <w:tc>
          <w:tcPr>
            <w:tcW w:w="147" w:type="dxa"/>
            <w:vMerge/>
            <w:tcBorders>
              <w:top w:val="nil"/>
            </w:tcBorders>
          </w:tcPr>
          <w:p>
            <w:pPr>
              <w:rPr>
                <w:sz w:val="2"/>
                <w:szCs w:val="2"/>
              </w:rPr>
            </w:pPr>
          </w:p>
        </w:tc>
        <w:tc>
          <w:tcPr>
            <w:tcW w:w="1385" w:type="dxa"/>
          </w:tcPr>
          <w:p>
            <w:pPr>
              <w:pStyle w:val="TableParagraph"/>
              <w:spacing w:line="190" w:lineRule="exact" w:before="2"/>
              <w:ind w:right="35"/>
              <w:jc w:val="right"/>
              <w:rPr>
                <w:sz w:val="17"/>
              </w:rPr>
            </w:pPr>
            <w:r>
              <w:rPr>
                <w:w w:val="100"/>
                <w:sz w:val="17"/>
              </w:rPr>
              <w:t>-</w:t>
            </w:r>
          </w:p>
        </w:tc>
      </w:tr>
      <w:tr>
        <w:trPr>
          <w:trHeight w:val="213" w:hRule="atLeast"/>
        </w:trPr>
        <w:tc>
          <w:tcPr>
            <w:tcW w:w="5768" w:type="dxa"/>
          </w:tcPr>
          <w:p>
            <w:pPr>
              <w:pStyle w:val="TableParagraph"/>
              <w:spacing w:line="192" w:lineRule="exact" w:before="1"/>
              <w:ind w:left="200"/>
              <w:rPr>
                <w:sz w:val="17"/>
              </w:rPr>
            </w:pPr>
            <w:r>
              <w:rPr>
                <w:sz w:val="17"/>
              </w:rPr>
              <w:t>Charitable Reserves</w:t>
            </w:r>
          </w:p>
        </w:tc>
        <w:tc>
          <w:tcPr>
            <w:tcW w:w="991" w:type="dxa"/>
            <w:vMerge/>
            <w:tcBorders>
              <w:top w:val="nil"/>
            </w:tcBorders>
          </w:tcPr>
          <w:p>
            <w:pPr>
              <w:rPr>
                <w:sz w:val="2"/>
                <w:szCs w:val="2"/>
              </w:rPr>
            </w:pPr>
          </w:p>
        </w:tc>
        <w:tc>
          <w:tcPr>
            <w:tcW w:w="1414" w:type="dxa"/>
          </w:tcPr>
          <w:p>
            <w:pPr>
              <w:pStyle w:val="TableParagraph"/>
              <w:tabs>
                <w:tab w:pos="1317" w:val="left" w:leader="none"/>
              </w:tabs>
              <w:spacing w:line="190" w:lineRule="exact" w:before="3"/>
              <w:ind w:right="1"/>
              <w:jc w:val="right"/>
              <w:rPr>
                <w:sz w:val="17"/>
              </w:rPr>
            </w:pPr>
            <w:r>
              <w:rPr>
                <w:w w:val="100"/>
                <w:sz w:val="17"/>
                <w:u w:val="single"/>
              </w:rPr>
              <w:t> </w:t>
            </w:r>
            <w:r>
              <w:rPr>
                <w:sz w:val="17"/>
                <w:u w:val="single"/>
              </w:rPr>
              <w:tab/>
              <w:t>-</w:t>
            </w:r>
          </w:p>
        </w:tc>
        <w:tc>
          <w:tcPr>
            <w:tcW w:w="147" w:type="dxa"/>
            <w:vMerge/>
            <w:tcBorders>
              <w:top w:val="nil"/>
            </w:tcBorders>
          </w:tcPr>
          <w:p>
            <w:pPr>
              <w:rPr>
                <w:sz w:val="2"/>
                <w:szCs w:val="2"/>
              </w:rPr>
            </w:pPr>
          </w:p>
        </w:tc>
        <w:tc>
          <w:tcPr>
            <w:tcW w:w="1385" w:type="dxa"/>
          </w:tcPr>
          <w:p>
            <w:pPr>
              <w:pStyle w:val="TableParagraph"/>
              <w:tabs>
                <w:tab w:pos="1291" w:val="left" w:leader="none"/>
              </w:tabs>
              <w:spacing w:line="190" w:lineRule="exact" w:before="3"/>
              <w:ind w:right="1"/>
              <w:jc w:val="right"/>
              <w:rPr>
                <w:sz w:val="17"/>
              </w:rPr>
            </w:pPr>
            <w:r>
              <w:rPr>
                <w:w w:val="100"/>
                <w:sz w:val="17"/>
                <w:u w:val="single"/>
              </w:rPr>
              <w:t> </w:t>
            </w:r>
            <w:r>
              <w:rPr>
                <w:sz w:val="17"/>
                <w:u w:val="single"/>
              </w:rPr>
              <w:tab/>
              <w:t>-</w:t>
            </w:r>
          </w:p>
        </w:tc>
      </w:tr>
      <w:tr>
        <w:trPr>
          <w:trHeight w:val="312" w:hRule="atLeast"/>
        </w:trPr>
        <w:tc>
          <w:tcPr>
            <w:tcW w:w="5768" w:type="dxa"/>
          </w:tcPr>
          <w:p>
            <w:pPr>
              <w:pStyle w:val="TableParagraph"/>
              <w:spacing w:before="1"/>
              <w:ind w:left="200"/>
              <w:rPr>
                <w:b/>
                <w:sz w:val="17"/>
              </w:rPr>
            </w:pPr>
            <w:r>
              <w:rPr>
                <w:b/>
                <w:sz w:val="17"/>
              </w:rPr>
              <w:t>Total taxpayers' equity:</w:t>
            </w:r>
          </w:p>
        </w:tc>
        <w:tc>
          <w:tcPr>
            <w:tcW w:w="991" w:type="dxa"/>
            <w:vMerge/>
            <w:tcBorders>
              <w:top w:val="nil"/>
            </w:tcBorders>
          </w:tcPr>
          <w:p>
            <w:pPr>
              <w:rPr>
                <w:sz w:val="2"/>
                <w:szCs w:val="2"/>
              </w:rPr>
            </w:pPr>
          </w:p>
        </w:tc>
        <w:tc>
          <w:tcPr>
            <w:tcW w:w="1414" w:type="dxa"/>
          </w:tcPr>
          <w:p>
            <w:pPr>
              <w:pStyle w:val="TableParagraph"/>
              <w:tabs>
                <w:tab w:pos="731" w:val="left" w:leader="none"/>
              </w:tabs>
              <w:spacing w:before="1"/>
              <w:ind w:right="1"/>
              <w:jc w:val="right"/>
              <w:rPr>
                <w:b/>
                <w:sz w:val="17"/>
              </w:rPr>
            </w:pPr>
            <w:r>
              <w:rPr>
                <w:b/>
                <w:w w:val="100"/>
                <w:sz w:val="17"/>
                <w:u w:val="single"/>
              </w:rPr>
              <w:t> </w:t>
            </w:r>
            <w:r>
              <w:rPr>
                <w:b/>
                <w:sz w:val="17"/>
                <w:u w:val="single"/>
              </w:rPr>
              <w:tab/>
            </w:r>
            <w:r>
              <w:rPr>
                <w:b/>
                <w:spacing w:val="-2"/>
                <w:sz w:val="17"/>
                <w:u w:val="single"/>
              </w:rPr>
              <w:t>(19,435)</w:t>
            </w:r>
          </w:p>
        </w:tc>
        <w:tc>
          <w:tcPr>
            <w:tcW w:w="147" w:type="dxa"/>
            <w:vMerge/>
            <w:tcBorders>
              <w:top w:val="nil"/>
            </w:tcBorders>
          </w:tcPr>
          <w:p>
            <w:pPr>
              <w:rPr>
                <w:sz w:val="2"/>
                <w:szCs w:val="2"/>
              </w:rPr>
            </w:pPr>
          </w:p>
        </w:tc>
        <w:tc>
          <w:tcPr>
            <w:tcW w:w="1385" w:type="dxa"/>
          </w:tcPr>
          <w:p>
            <w:pPr>
              <w:pStyle w:val="TableParagraph"/>
              <w:tabs>
                <w:tab w:pos="705" w:val="left" w:leader="none"/>
              </w:tabs>
              <w:spacing w:before="1"/>
              <w:jc w:val="right"/>
              <w:rPr>
                <w:sz w:val="17"/>
              </w:rPr>
            </w:pPr>
            <w:r>
              <w:rPr>
                <w:w w:val="100"/>
                <w:sz w:val="17"/>
                <w:u w:val="single"/>
              </w:rPr>
              <w:t> </w:t>
            </w:r>
            <w:r>
              <w:rPr>
                <w:sz w:val="17"/>
                <w:u w:val="single"/>
              </w:rPr>
              <w:tab/>
            </w:r>
            <w:r>
              <w:rPr>
                <w:spacing w:val="-2"/>
                <w:sz w:val="17"/>
                <w:u w:val="single"/>
              </w:rPr>
              <w:t>(17,512)</w:t>
            </w:r>
          </w:p>
        </w:tc>
      </w:tr>
      <w:tr>
        <w:trPr>
          <w:trHeight w:val="301" w:hRule="atLeast"/>
        </w:trPr>
        <w:tc>
          <w:tcPr>
            <w:tcW w:w="5768" w:type="dxa"/>
          </w:tcPr>
          <w:p>
            <w:pPr>
              <w:pStyle w:val="TableParagraph"/>
              <w:spacing w:line="179" w:lineRule="exact" w:before="102"/>
              <w:ind w:left="200"/>
              <w:rPr>
                <w:sz w:val="17"/>
              </w:rPr>
            </w:pPr>
            <w:r>
              <w:rPr>
                <w:sz w:val="17"/>
              </w:rPr>
              <w:t>The notes on pages 5 to 27 form part of this statement</w:t>
            </w:r>
          </w:p>
        </w:tc>
        <w:tc>
          <w:tcPr>
            <w:tcW w:w="991" w:type="dxa"/>
          </w:tcPr>
          <w:p>
            <w:pPr>
              <w:pStyle w:val="TableParagraph"/>
              <w:rPr>
                <w:rFonts w:ascii="Times New Roman"/>
                <w:sz w:val="16"/>
              </w:rPr>
            </w:pPr>
          </w:p>
        </w:tc>
        <w:tc>
          <w:tcPr>
            <w:tcW w:w="1414" w:type="dxa"/>
          </w:tcPr>
          <w:p>
            <w:pPr>
              <w:pStyle w:val="TableParagraph"/>
              <w:rPr>
                <w:rFonts w:ascii="Times New Roman"/>
                <w:sz w:val="16"/>
              </w:rPr>
            </w:pPr>
          </w:p>
        </w:tc>
        <w:tc>
          <w:tcPr>
            <w:tcW w:w="147" w:type="dxa"/>
          </w:tcPr>
          <w:p>
            <w:pPr>
              <w:pStyle w:val="TableParagraph"/>
              <w:rPr>
                <w:rFonts w:ascii="Times New Roman"/>
                <w:sz w:val="16"/>
              </w:rPr>
            </w:pPr>
          </w:p>
        </w:tc>
        <w:tc>
          <w:tcPr>
            <w:tcW w:w="1385" w:type="dxa"/>
          </w:tcPr>
          <w:p>
            <w:pPr>
              <w:pStyle w:val="TableParagraph"/>
              <w:rPr>
                <w:rFonts w:ascii="Times New Roman"/>
                <w:sz w:val="16"/>
              </w:rPr>
            </w:pPr>
          </w:p>
        </w:tc>
      </w:tr>
    </w:tbl>
    <w:p>
      <w:pPr>
        <w:pStyle w:val="BodyText"/>
        <w:rPr>
          <w:sz w:val="20"/>
        </w:rPr>
      </w:pPr>
    </w:p>
    <w:p>
      <w:pPr>
        <w:pStyle w:val="BodyText"/>
        <w:spacing w:before="4"/>
        <w:rPr>
          <w:sz w:val="19"/>
        </w:rPr>
      </w:pPr>
    </w:p>
    <w:p>
      <w:pPr>
        <w:spacing w:line="261" w:lineRule="auto" w:before="1"/>
        <w:ind w:left="323" w:right="1358" w:firstLine="0"/>
        <w:jc w:val="left"/>
        <w:rPr>
          <w:sz w:val="17"/>
        </w:rPr>
      </w:pPr>
      <w:r>
        <w:rPr/>
        <w:drawing>
          <wp:anchor distT="0" distB="0" distL="0" distR="0" allowOverlap="1" layoutInCell="1" locked="0" behindDoc="0" simplePos="0" relativeHeight="26">
            <wp:simplePos x="0" y="0"/>
            <wp:positionH relativeFrom="page">
              <wp:posOffset>755562</wp:posOffset>
            </wp:positionH>
            <wp:positionV relativeFrom="paragraph">
              <wp:posOffset>352413</wp:posOffset>
            </wp:positionV>
            <wp:extent cx="1518652" cy="381000"/>
            <wp:effectExtent l="0" t="0" r="0" b="0"/>
            <wp:wrapTopAndBottom/>
            <wp:docPr id="27" name="image4.png" descr="cid:image001.jpg@01D23C15.E085F1A0"/>
            <wp:cNvGraphicFramePr>
              <a:graphicFrameLocks noChangeAspect="1"/>
            </wp:cNvGraphicFramePr>
            <a:graphic>
              <a:graphicData uri="http://schemas.openxmlformats.org/drawingml/2006/picture">
                <pic:pic>
                  <pic:nvPicPr>
                    <pic:cNvPr id="28" name="image4.png"/>
                    <pic:cNvPicPr/>
                  </pic:nvPicPr>
                  <pic:blipFill>
                    <a:blip r:embed="rId12" cstate="print"/>
                    <a:stretch>
                      <a:fillRect/>
                    </a:stretch>
                  </pic:blipFill>
                  <pic:spPr>
                    <a:xfrm>
                      <a:off x="0" y="0"/>
                      <a:ext cx="1518652" cy="381000"/>
                    </a:xfrm>
                    <a:prstGeom prst="rect">
                      <a:avLst/>
                    </a:prstGeom>
                  </pic:spPr>
                </pic:pic>
              </a:graphicData>
            </a:graphic>
          </wp:anchor>
        </w:drawing>
      </w:r>
      <w:r>
        <w:rPr>
          <w:sz w:val="17"/>
        </w:rPr>
        <w:t>The financial statements on pages 1 to 4 were approved by the Integrated Audit and Governance Committee on 8 June 2022 and signed on its behalf by:</w:t>
      </w:r>
    </w:p>
    <w:p>
      <w:pPr>
        <w:pStyle w:val="BodyText"/>
        <w:spacing w:before="11"/>
      </w:pPr>
    </w:p>
    <w:p>
      <w:pPr>
        <w:spacing w:line="480" w:lineRule="auto" w:before="0"/>
        <w:ind w:left="323" w:right="8833" w:firstLine="0"/>
        <w:jc w:val="left"/>
        <w:rPr>
          <w:sz w:val="17"/>
        </w:rPr>
      </w:pPr>
      <w:r>
        <w:rPr>
          <w:sz w:val="17"/>
        </w:rPr>
        <w:t>Accountable Officer 20th June 2022</w:t>
      </w:r>
    </w:p>
    <w:p>
      <w:pPr>
        <w:spacing w:after="0" w:line="480" w:lineRule="auto"/>
        <w:jc w:val="left"/>
        <w:rPr>
          <w:sz w:val="17"/>
        </w:rPr>
        <w:sectPr>
          <w:pgSz w:w="11920" w:h="16850"/>
          <w:pgMar w:header="0" w:footer="407" w:top="1080" w:bottom="600" w:left="740" w:right="520"/>
        </w:sect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97"/>
        <w:gridCol w:w="1083"/>
        <w:gridCol w:w="886"/>
        <w:gridCol w:w="777"/>
        <w:gridCol w:w="958"/>
      </w:tblGrid>
      <w:tr>
        <w:trPr>
          <w:trHeight w:val="453" w:hRule="atLeast"/>
        </w:trPr>
        <w:tc>
          <w:tcPr>
            <w:tcW w:w="6097" w:type="dxa"/>
          </w:tcPr>
          <w:p>
            <w:pPr>
              <w:pStyle w:val="TableParagraph"/>
              <w:spacing w:line="134" w:lineRule="exact"/>
              <w:ind w:left="125"/>
              <w:rPr>
                <w:sz w:val="12"/>
              </w:rPr>
            </w:pPr>
            <w:r>
              <w:rPr>
                <w:w w:val="105"/>
                <w:sz w:val="12"/>
              </w:rPr>
              <w:t>NHS North Lincolnshire CCG - Annual Accounts 2021-22</w:t>
            </w:r>
          </w:p>
          <w:p>
            <w:pPr>
              <w:pStyle w:val="TableParagraph"/>
              <w:spacing w:before="5"/>
              <w:rPr>
                <w:sz w:val="14"/>
              </w:rPr>
            </w:pPr>
          </w:p>
          <w:p>
            <w:pPr>
              <w:pStyle w:val="TableParagraph"/>
              <w:spacing w:line="133" w:lineRule="exact" w:before="1"/>
              <w:ind w:left="125"/>
              <w:rPr>
                <w:b/>
                <w:sz w:val="12"/>
              </w:rPr>
            </w:pPr>
            <w:r>
              <w:rPr>
                <w:b/>
                <w:w w:val="105"/>
                <w:sz w:val="12"/>
              </w:rPr>
              <w:t>Statement of Changes In Taxpayers Equity for the year ended</w:t>
            </w:r>
          </w:p>
        </w:tc>
        <w:tc>
          <w:tcPr>
            <w:tcW w:w="1083" w:type="dxa"/>
          </w:tcPr>
          <w:p>
            <w:pPr>
              <w:pStyle w:val="TableParagraph"/>
              <w:rPr>
                <w:rFonts w:ascii="Times New Roman"/>
                <w:sz w:val="12"/>
              </w:rPr>
            </w:pPr>
          </w:p>
        </w:tc>
        <w:tc>
          <w:tcPr>
            <w:tcW w:w="886" w:type="dxa"/>
          </w:tcPr>
          <w:p>
            <w:pPr>
              <w:pStyle w:val="TableParagraph"/>
              <w:rPr>
                <w:rFonts w:ascii="Times New Roman"/>
                <w:sz w:val="12"/>
              </w:rPr>
            </w:pPr>
          </w:p>
        </w:tc>
        <w:tc>
          <w:tcPr>
            <w:tcW w:w="777" w:type="dxa"/>
          </w:tcPr>
          <w:p>
            <w:pPr>
              <w:pStyle w:val="TableParagraph"/>
              <w:rPr>
                <w:rFonts w:ascii="Times New Roman"/>
                <w:sz w:val="12"/>
              </w:rPr>
            </w:pPr>
          </w:p>
        </w:tc>
        <w:tc>
          <w:tcPr>
            <w:tcW w:w="958" w:type="dxa"/>
          </w:tcPr>
          <w:p>
            <w:pPr>
              <w:pStyle w:val="TableParagraph"/>
              <w:rPr>
                <w:rFonts w:ascii="Times New Roman"/>
                <w:sz w:val="12"/>
              </w:rPr>
            </w:pPr>
          </w:p>
        </w:tc>
      </w:tr>
      <w:tr>
        <w:trPr>
          <w:trHeight w:val="153" w:hRule="atLeast"/>
        </w:trPr>
        <w:tc>
          <w:tcPr>
            <w:tcW w:w="6097" w:type="dxa"/>
          </w:tcPr>
          <w:p>
            <w:pPr>
              <w:pStyle w:val="TableParagraph"/>
              <w:spacing w:line="123" w:lineRule="exact" w:before="10"/>
              <w:ind w:left="125"/>
              <w:rPr>
                <w:b/>
                <w:sz w:val="12"/>
              </w:rPr>
            </w:pPr>
            <w:r>
              <w:rPr>
                <w:b/>
                <w:w w:val="105"/>
                <w:sz w:val="12"/>
              </w:rPr>
              <w:t>31 March 2022</w:t>
            </w:r>
          </w:p>
        </w:tc>
        <w:tc>
          <w:tcPr>
            <w:tcW w:w="1083" w:type="dxa"/>
          </w:tcPr>
          <w:p>
            <w:pPr>
              <w:pStyle w:val="TableParagraph"/>
              <w:rPr>
                <w:rFonts w:ascii="Times New Roman"/>
                <w:sz w:val="8"/>
              </w:rPr>
            </w:pPr>
          </w:p>
        </w:tc>
        <w:tc>
          <w:tcPr>
            <w:tcW w:w="886" w:type="dxa"/>
          </w:tcPr>
          <w:p>
            <w:pPr>
              <w:pStyle w:val="TableParagraph"/>
              <w:rPr>
                <w:rFonts w:ascii="Times New Roman"/>
                <w:sz w:val="8"/>
              </w:rPr>
            </w:pPr>
          </w:p>
        </w:tc>
        <w:tc>
          <w:tcPr>
            <w:tcW w:w="777" w:type="dxa"/>
          </w:tcPr>
          <w:p>
            <w:pPr>
              <w:pStyle w:val="TableParagraph"/>
              <w:rPr>
                <w:rFonts w:ascii="Times New Roman"/>
                <w:sz w:val="8"/>
              </w:rPr>
            </w:pPr>
          </w:p>
        </w:tc>
        <w:tc>
          <w:tcPr>
            <w:tcW w:w="958" w:type="dxa"/>
          </w:tcPr>
          <w:p>
            <w:pPr>
              <w:pStyle w:val="TableParagraph"/>
              <w:rPr>
                <w:rFonts w:ascii="Times New Roman"/>
                <w:sz w:val="8"/>
              </w:rPr>
            </w:pPr>
          </w:p>
        </w:tc>
      </w:tr>
      <w:tr>
        <w:trPr>
          <w:trHeight w:val="152" w:hRule="atLeast"/>
        </w:trPr>
        <w:tc>
          <w:tcPr>
            <w:tcW w:w="6097" w:type="dxa"/>
          </w:tcPr>
          <w:p>
            <w:pPr>
              <w:pStyle w:val="TableParagraph"/>
              <w:rPr>
                <w:rFonts w:ascii="Times New Roman"/>
                <w:sz w:val="8"/>
              </w:rPr>
            </w:pPr>
          </w:p>
        </w:tc>
        <w:tc>
          <w:tcPr>
            <w:tcW w:w="1083" w:type="dxa"/>
          </w:tcPr>
          <w:p>
            <w:pPr>
              <w:pStyle w:val="TableParagraph"/>
              <w:rPr>
                <w:rFonts w:ascii="Times New Roman"/>
                <w:sz w:val="8"/>
              </w:rPr>
            </w:pPr>
          </w:p>
        </w:tc>
        <w:tc>
          <w:tcPr>
            <w:tcW w:w="886" w:type="dxa"/>
          </w:tcPr>
          <w:p>
            <w:pPr>
              <w:pStyle w:val="TableParagraph"/>
              <w:spacing w:line="131" w:lineRule="exact" w:before="1"/>
              <w:ind w:right="131"/>
              <w:jc w:val="right"/>
              <w:rPr>
                <w:b/>
                <w:sz w:val="12"/>
              </w:rPr>
            </w:pPr>
            <w:r>
              <w:rPr>
                <w:b/>
                <w:sz w:val="12"/>
              </w:rPr>
              <w:t>Revaluation</w:t>
            </w:r>
          </w:p>
        </w:tc>
        <w:tc>
          <w:tcPr>
            <w:tcW w:w="777" w:type="dxa"/>
          </w:tcPr>
          <w:p>
            <w:pPr>
              <w:pStyle w:val="TableParagraph"/>
              <w:spacing w:line="131" w:lineRule="exact" w:before="1"/>
              <w:ind w:left="168"/>
              <w:rPr>
                <w:b/>
                <w:sz w:val="12"/>
              </w:rPr>
            </w:pPr>
            <w:r>
              <w:rPr>
                <w:b/>
                <w:w w:val="105"/>
                <w:sz w:val="12"/>
              </w:rPr>
              <w:t>Other</w:t>
            </w:r>
          </w:p>
        </w:tc>
        <w:tc>
          <w:tcPr>
            <w:tcW w:w="958" w:type="dxa"/>
          </w:tcPr>
          <w:p>
            <w:pPr>
              <w:pStyle w:val="TableParagraph"/>
              <w:spacing w:line="131" w:lineRule="exact" w:before="1"/>
              <w:ind w:left="253"/>
              <w:rPr>
                <w:b/>
                <w:sz w:val="12"/>
              </w:rPr>
            </w:pPr>
            <w:r>
              <w:rPr>
                <w:b/>
                <w:w w:val="105"/>
                <w:sz w:val="12"/>
              </w:rPr>
              <w:t>Total</w:t>
            </w:r>
          </w:p>
        </w:tc>
      </w:tr>
      <w:tr>
        <w:trPr>
          <w:trHeight w:val="160" w:hRule="atLeast"/>
        </w:trPr>
        <w:tc>
          <w:tcPr>
            <w:tcW w:w="6097" w:type="dxa"/>
          </w:tcPr>
          <w:p>
            <w:pPr>
              <w:pStyle w:val="TableParagraph"/>
              <w:rPr>
                <w:rFonts w:ascii="Times New Roman"/>
                <w:sz w:val="10"/>
              </w:rPr>
            </w:pPr>
          </w:p>
        </w:tc>
        <w:tc>
          <w:tcPr>
            <w:tcW w:w="1083" w:type="dxa"/>
          </w:tcPr>
          <w:p>
            <w:pPr>
              <w:pStyle w:val="TableParagraph"/>
              <w:spacing w:line="131" w:lineRule="exact" w:before="9"/>
              <w:ind w:left="126"/>
              <w:rPr>
                <w:b/>
                <w:sz w:val="12"/>
              </w:rPr>
            </w:pPr>
            <w:r>
              <w:rPr>
                <w:b/>
                <w:w w:val="105"/>
                <w:sz w:val="12"/>
              </w:rPr>
              <w:t>General fund</w:t>
            </w:r>
          </w:p>
        </w:tc>
        <w:tc>
          <w:tcPr>
            <w:tcW w:w="886" w:type="dxa"/>
          </w:tcPr>
          <w:p>
            <w:pPr>
              <w:pStyle w:val="TableParagraph"/>
              <w:spacing w:line="131" w:lineRule="exact" w:before="9"/>
              <w:ind w:left="166"/>
              <w:rPr>
                <w:b/>
                <w:sz w:val="12"/>
              </w:rPr>
            </w:pPr>
            <w:r>
              <w:rPr>
                <w:b/>
                <w:w w:val="105"/>
                <w:sz w:val="12"/>
              </w:rPr>
              <w:t>reserve</w:t>
            </w:r>
          </w:p>
        </w:tc>
        <w:tc>
          <w:tcPr>
            <w:tcW w:w="777" w:type="dxa"/>
          </w:tcPr>
          <w:p>
            <w:pPr>
              <w:pStyle w:val="TableParagraph"/>
              <w:spacing w:line="131" w:lineRule="exact" w:before="9"/>
              <w:ind w:right="178"/>
              <w:jc w:val="right"/>
              <w:rPr>
                <w:b/>
                <w:sz w:val="12"/>
              </w:rPr>
            </w:pPr>
            <w:r>
              <w:rPr>
                <w:b/>
                <w:sz w:val="12"/>
              </w:rPr>
              <w:t>reserves</w:t>
            </w:r>
          </w:p>
        </w:tc>
        <w:tc>
          <w:tcPr>
            <w:tcW w:w="958" w:type="dxa"/>
          </w:tcPr>
          <w:p>
            <w:pPr>
              <w:pStyle w:val="TableParagraph"/>
              <w:spacing w:line="131" w:lineRule="exact" w:before="9"/>
              <w:ind w:left="145"/>
              <w:rPr>
                <w:b/>
                <w:sz w:val="12"/>
              </w:rPr>
            </w:pPr>
            <w:r>
              <w:rPr>
                <w:b/>
                <w:w w:val="105"/>
                <w:sz w:val="12"/>
              </w:rPr>
              <w:t>reserves</w:t>
            </w:r>
          </w:p>
        </w:tc>
      </w:tr>
      <w:tr>
        <w:trPr>
          <w:trHeight w:val="159" w:hRule="atLeast"/>
        </w:trPr>
        <w:tc>
          <w:tcPr>
            <w:tcW w:w="6097" w:type="dxa"/>
          </w:tcPr>
          <w:p>
            <w:pPr>
              <w:pStyle w:val="TableParagraph"/>
              <w:rPr>
                <w:rFonts w:ascii="Times New Roman"/>
                <w:sz w:val="10"/>
              </w:rPr>
            </w:pPr>
          </w:p>
        </w:tc>
        <w:tc>
          <w:tcPr>
            <w:tcW w:w="1083" w:type="dxa"/>
          </w:tcPr>
          <w:p>
            <w:pPr>
              <w:pStyle w:val="TableParagraph"/>
              <w:spacing w:line="130" w:lineRule="exact" w:before="9"/>
              <w:ind w:left="347" w:right="384"/>
              <w:jc w:val="center"/>
              <w:rPr>
                <w:b/>
                <w:sz w:val="12"/>
              </w:rPr>
            </w:pPr>
            <w:r>
              <w:rPr>
                <w:b/>
                <w:w w:val="105"/>
                <w:sz w:val="12"/>
              </w:rPr>
              <w:t>£'000</w:t>
            </w:r>
          </w:p>
        </w:tc>
        <w:tc>
          <w:tcPr>
            <w:tcW w:w="886" w:type="dxa"/>
          </w:tcPr>
          <w:p>
            <w:pPr>
              <w:pStyle w:val="TableParagraph"/>
              <w:spacing w:line="130" w:lineRule="exact" w:before="9"/>
              <w:ind w:left="246"/>
              <w:rPr>
                <w:b/>
                <w:sz w:val="12"/>
              </w:rPr>
            </w:pPr>
            <w:r>
              <w:rPr>
                <w:b/>
                <w:w w:val="105"/>
                <w:sz w:val="12"/>
              </w:rPr>
              <w:t>£'000</w:t>
            </w:r>
          </w:p>
        </w:tc>
        <w:tc>
          <w:tcPr>
            <w:tcW w:w="777" w:type="dxa"/>
          </w:tcPr>
          <w:p>
            <w:pPr>
              <w:pStyle w:val="TableParagraph"/>
              <w:spacing w:line="130" w:lineRule="exact" w:before="9"/>
              <w:ind w:left="188"/>
              <w:rPr>
                <w:b/>
                <w:sz w:val="12"/>
              </w:rPr>
            </w:pPr>
            <w:r>
              <w:rPr>
                <w:b/>
                <w:w w:val="105"/>
                <w:sz w:val="12"/>
              </w:rPr>
              <w:t>£'000</w:t>
            </w:r>
          </w:p>
        </w:tc>
        <w:tc>
          <w:tcPr>
            <w:tcW w:w="958" w:type="dxa"/>
          </w:tcPr>
          <w:p>
            <w:pPr>
              <w:pStyle w:val="TableParagraph"/>
              <w:spacing w:line="130" w:lineRule="exact" w:before="9"/>
              <w:ind w:left="255"/>
              <w:rPr>
                <w:b/>
                <w:sz w:val="12"/>
              </w:rPr>
            </w:pPr>
            <w:r>
              <w:rPr>
                <w:b/>
                <w:w w:val="105"/>
                <w:sz w:val="12"/>
              </w:rPr>
              <w:t>£'000</w:t>
            </w:r>
          </w:p>
        </w:tc>
      </w:tr>
      <w:tr>
        <w:trPr>
          <w:trHeight w:val="230" w:hRule="atLeast"/>
        </w:trPr>
        <w:tc>
          <w:tcPr>
            <w:tcW w:w="6097" w:type="dxa"/>
          </w:tcPr>
          <w:p>
            <w:pPr>
              <w:pStyle w:val="TableParagraph"/>
              <w:spacing w:before="8"/>
              <w:ind w:left="125"/>
              <w:rPr>
                <w:b/>
                <w:sz w:val="12"/>
              </w:rPr>
            </w:pPr>
            <w:r>
              <w:rPr>
                <w:b/>
                <w:w w:val="105"/>
                <w:sz w:val="12"/>
              </w:rPr>
              <w:t>Changes in taxpayers’ equity for 2021-22</w:t>
            </w:r>
          </w:p>
        </w:tc>
        <w:tc>
          <w:tcPr>
            <w:tcW w:w="1083" w:type="dxa"/>
          </w:tcPr>
          <w:p>
            <w:pPr>
              <w:pStyle w:val="TableParagraph"/>
              <w:rPr>
                <w:rFonts w:ascii="Times New Roman"/>
                <w:sz w:val="12"/>
              </w:rPr>
            </w:pPr>
          </w:p>
        </w:tc>
        <w:tc>
          <w:tcPr>
            <w:tcW w:w="886" w:type="dxa"/>
          </w:tcPr>
          <w:p>
            <w:pPr>
              <w:pStyle w:val="TableParagraph"/>
              <w:rPr>
                <w:rFonts w:ascii="Times New Roman"/>
                <w:sz w:val="12"/>
              </w:rPr>
            </w:pPr>
          </w:p>
        </w:tc>
        <w:tc>
          <w:tcPr>
            <w:tcW w:w="777" w:type="dxa"/>
          </w:tcPr>
          <w:p>
            <w:pPr>
              <w:pStyle w:val="TableParagraph"/>
              <w:rPr>
                <w:rFonts w:ascii="Times New Roman"/>
                <w:sz w:val="12"/>
              </w:rPr>
            </w:pPr>
          </w:p>
        </w:tc>
        <w:tc>
          <w:tcPr>
            <w:tcW w:w="958" w:type="dxa"/>
          </w:tcPr>
          <w:p>
            <w:pPr>
              <w:pStyle w:val="TableParagraph"/>
              <w:rPr>
                <w:rFonts w:ascii="Times New Roman"/>
                <w:sz w:val="12"/>
              </w:rPr>
            </w:pPr>
          </w:p>
        </w:tc>
      </w:tr>
      <w:tr>
        <w:trPr>
          <w:trHeight w:val="229" w:hRule="atLeast"/>
        </w:trPr>
        <w:tc>
          <w:tcPr>
            <w:tcW w:w="6097" w:type="dxa"/>
          </w:tcPr>
          <w:p>
            <w:pPr>
              <w:pStyle w:val="TableParagraph"/>
              <w:spacing w:line="129" w:lineRule="exact" w:before="80"/>
              <w:ind w:left="125"/>
              <w:rPr>
                <w:b/>
                <w:sz w:val="12"/>
              </w:rPr>
            </w:pPr>
            <w:r>
              <w:rPr>
                <w:b/>
                <w:w w:val="105"/>
                <w:sz w:val="12"/>
              </w:rPr>
              <w:t>Balance at 01 April 2021</w:t>
            </w:r>
          </w:p>
        </w:tc>
        <w:tc>
          <w:tcPr>
            <w:tcW w:w="1083" w:type="dxa"/>
          </w:tcPr>
          <w:p>
            <w:pPr>
              <w:pStyle w:val="TableParagraph"/>
              <w:spacing w:line="129" w:lineRule="exact" w:before="80"/>
              <w:ind w:left="443"/>
              <w:rPr>
                <w:sz w:val="12"/>
              </w:rPr>
            </w:pPr>
            <w:r>
              <w:rPr>
                <w:w w:val="105"/>
                <w:sz w:val="12"/>
              </w:rPr>
              <w:t>(17,512)</w:t>
            </w:r>
          </w:p>
        </w:tc>
        <w:tc>
          <w:tcPr>
            <w:tcW w:w="886" w:type="dxa"/>
          </w:tcPr>
          <w:p>
            <w:pPr>
              <w:pStyle w:val="TableParagraph"/>
              <w:spacing w:line="129" w:lineRule="exact" w:before="80"/>
              <w:ind w:right="107"/>
              <w:jc w:val="right"/>
              <w:rPr>
                <w:sz w:val="12"/>
              </w:rPr>
            </w:pPr>
            <w:r>
              <w:rPr>
                <w:w w:val="104"/>
                <w:sz w:val="12"/>
              </w:rPr>
              <w:t>0</w:t>
            </w:r>
          </w:p>
        </w:tc>
        <w:tc>
          <w:tcPr>
            <w:tcW w:w="777" w:type="dxa"/>
          </w:tcPr>
          <w:p>
            <w:pPr>
              <w:pStyle w:val="TableParagraph"/>
              <w:spacing w:line="129" w:lineRule="exact" w:before="80"/>
              <w:ind w:right="169"/>
              <w:jc w:val="right"/>
              <w:rPr>
                <w:sz w:val="12"/>
              </w:rPr>
            </w:pPr>
            <w:r>
              <w:rPr>
                <w:w w:val="104"/>
                <w:sz w:val="12"/>
              </w:rPr>
              <w:t>0</w:t>
            </w:r>
          </w:p>
        </w:tc>
        <w:tc>
          <w:tcPr>
            <w:tcW w:w="958" w:type="dxa"/>
          </w:tcPr>
          <w:p>
            <w:pPr>
              <w:pStyle w:val="TableParagraph"/>
              <w:spacing w:line="129" w:lineRule="exact" w:before="80"/>
              <w:ind w:right="154"/>
              <w:jc w:val="right"/>
              <w:rPr>
                <w:b/>
                <w:sz w:val="12"/>
              </w:rPr>
            </w:pPr>
            <w:r>
              <w:rPr>
                <w:b/>
                <w:sz w:val="12"/>
              </w:rPr>
              <w:t>(17,512)</w:t>
            </w:r>
          </w:p>
        </w:tc>
      </w:tr>
      <w:tr>
        <w:trPr>
          <w:trHeight w:val="160" w:hRule="atLeast"/>
        </w:trPr>
        <w:tc>
          <w:tcPr>
            <w:tcW w:w="6097" w:type="dxa"/>
          </w:tcPr>
          <w:p>
            <w:pPr>
              <w:pStyle w:val="TableParagraph"/>
              <w:spacing w:line="131" w:lineRule="exact" w:before="9"/>
              <w:ind w:left="125"/>
              <w:rPr>
                <w:sz w:val="12"/>
              </w:rPr>
            </w:pPr>
            <w:r>
              <w:rPr>
                <w:w w:val="105"/>
                <w:sz w:val="12"/>
              </w:rPr>
              <w:t>Transfer between reserves in respect of assets transferred from closed NHS bodies</w:t>
            </w:r>
          </w:p>
        </w:tc>
        <w:tc>
          <w:tcPr>
            <w:tcW w:w="1083" w:type="dxa"/>
          </w:tcPr>
          <w:p>
            <w:pPr>
              <w:pStyle w:val="TableParagraph"/>
              <w:tabs>
                <w:tab w:pos="841" w:val="left" w:leader="none"/>
              </w:tabs>
              <w:spacing w:line="134" w:lineRule="exact" w:before="7"/>
              <w:ind w:left="85"/>
              <w:rPr>
                <w:sz w:val="12"/>
              </w:rPr>
            </w:pPr>
            <w:r>
              <w:rPr>
                <w:w w:val="104"/>
                <w:sz w:val="12"/>
                <w:u w:val="single"/>
              </w:rPr>
              <w:t> </w:t>
            </w:r>
            <w:r>
              <w:rPr>
                <w:sz w:val="12"/>
                <w:u w:val="single"/>
              </w:rPr>
              <w:tab/>
            </w:r>
            <w:r>
              <w:rPr>
                <w:w w:val="105"/>
                <w:sz w:val="12"/>
                <w:u w:val="single"/>
              </w:rPr>
              <w:t>0</w:t>
            </w:r>
          </w:p>
        </w:tc>
        <w:tc>
          <w:tcPr>
            <w:tcW w:w="886" w:type="dxa"/>
          </w:tcPr>
          <w:p>
            <w:pPr>
              <w:pStyle w:val="TableParagraph"/>
              <w:tabs>
                <w:tab w:pos="724" w:val="left" w:leader="none"/>
              </w:tabs>
              <w:spacing w:line="134" w:lineRule="exact" w:before="7"/>
              <w:ind w:right="76"/>
              <w:jc w:val="right"/>
              <w:rPr>
                <w:sz w:val="12"/>
              </w:rPr>
            </w:pPr>
            <w:r>
              <w:rPr>
                <w:w w:val="104"/>
                <w:sz w:val="12"/>
                <w:u w:val="single"/>
              </w:rPr>
              <w:t> </w:t>
            </w:r>
            <w:r>
              <w:rPr>
                <w:sz w:val="12"/>
                <w:u w:val="single"/>
              </w:rPr>
              <w:tab/>
              <w:t>0</w:t>
            </w:r>
          </w:p>
        </w:tc>
        <w:tc>
          <w:tcPr>
            <w:tcW w:w="777" w:type="dxa"/>
          </w:tcPr>
          <w:p>
            <w:pPr>
              <w:pStyle w:val="TableParagraph"/>
              <w:tabs>
                <w:tab w:pos="496" w:val="left" w:leader="none"/>
              </w:tabs>
              <w:spacing w:line="134" w:lineRule="exact" w:before="7"/>
              <w:ind w:right="140"/>
              <w:jc w:val="right"/>
              <w:rPr>
                <w:sz w:val="12"/>
              </w:rPr>
            </w:pPr>
            <w:r>
              <w:rPr>
                <w:w w:val="104"/>
                <w:sz w:val="12"/>
                <w:u w:val="single"/>
              </w:rPr>
              <w:t> </w:t>
            </w:r>
            <w:r>
              <w:rPr>
                <w:sz w:val="12"/>
                <w:u w:val="single"/>
              </w:rPr>
              <w:tab/>
              <w:t>0</w:t>
            </w:r>
          </w:p>
        </w:tc>
        <w:tc>
          <w:tcPr>
            <w:tcW w:w="958" w:type="dxa"/>
          </w:tcPr>
          <w:p>
            <w:pPr>
              <w:pStyle w:val="TableParagraph"/>
              <w:tabs>
                <w:tab w:pos="755" w:val="left" w:leader="none"/>
              </w:tabs>
              <w:spacing w:line="134" w:lineRule="exact" w:before="7"/>
              <w:ind w:right="121"/>
              <w:jc w:val="right"/>
              <w:rPr>
                <w:b/>
                <w:sz w:val="12"/>
              </w:rPr>
            </w:pPr>
            <w:r>
              <w:rPr>
                <w:b/>
                <w:w w:val="104"/>
                <w:sz w:val="12"/>
                <w:u w:val="single"/>
              </w:rPr>
              <w:t> </w:t>
            </w:r>
            <w:r>
              <w:rPr>
                <w:b/>
                <w:sz w:val="12"/>
                <w:u w:val="single"/>
              </w:rPr>
              <w:tab/>
              <w:t>0</w:t>
            </w:r>
          </w:p>
        </w:tc>
      </w:tr>
      <w:tr>
        <w:trPr>
          <w:trHeight w:val="235" w:hRule="atLeast"/>
        </w:trPr>
        <w:tc>
          <w:tcPr>
            <w:tcW w:w="6097" w:type="dxa"/>
          </w:tcPr>
          <w:p>
            <w:pPr>
              <w:pStyle w:val="TableParagraph"/>
              <w:spacing w:before="9"/>
              <w:ind w:left="125"/>
              <w:rPr>
                <w:b/>
                <w:sz w:val="12"/>
              </w:rPr>
            </w:pPr>
            <w:r>
              <w:rPr>
                <w:b/>
                <w:w w:val="105"/>
                <w:sz w:val="12"/>
              </w:rPr>
              <w:t>Adjusted NHS Clinical Commissioning Group balance at 31 March 2022</w:t>
            </w:r>
          </w:p>
        </w:tc>
        <w:tc>
          <w:tcPr>
            <w:tcW w:w="1083" w:type="dxa"/>
          </w:tcPr>
          <w:p>
            <w:pPr>
              <w:pStyle w:val="TableParagraph"/>
              <w:spacing w:before="9"/>
              <w:ind w:left="443"/>
              <w:rPr>
                <w:b/>
                <w:sz w:val="12"/>
              </w:rPr>
            </w:pPr>
            <w:r>
              <w:rPr>
                <w:b/>
                <w:w w:val="105"/>
                <w:sz w:val="12"/>
              </w:rPr>
              <w:t>(17,512)</w:t>
            </w:r>
          </w:p>
        </w:tc>
        <w:tc>
          <w:tcPr>
            <w:tcW w:w="886" w:type="dxa"/>
          </w:tcPr>
          <w:p>
            <w:pPr>
              <w:pStyle w:val="TableParagraph"/>
              <w:spacing w:before="9"/>
              <w:ind w:right="107"/>
              <w:jc w:val="right"/>
              <w:rPr>
                <w:b/>
                <w:sz w:val="12"/>
              </w:rPr>
            </w:pPr>
            <w:r>
              <w:rPr>
                <w:b/>
                <w:w w:val="104"/>
                <w:sz w:val="12"/>
              </w:rPr>
              <w:t>0</w:t>
            </w:r>
          </w:p>
        </w:tc>
        <w:tc>
          <w:tcPr>
            <w:tcW w:w="777" w:type="dxa"/>
          </w:tcPr>
          <w:p>
            <w:pPr>
              <w:pStyle w:val="TableParagraph"/>
              <w:spacing w:before="9"/>
              <w:ind w:right="169"/>
              <w:jc w:val="right"/>
              <w:rPr>
                <w:b/>
                <w:sz w:val="12"/>
              </w:rPr>
            </w:pPr>
            <w:r>
              <w:rPr>
                <w:b/>
                <w:w w:val="104"/>
                <w:sz w:val="12"/>
              </w:rPr>
              <w:t>0</w:t>
            </w:r>
          </w:p>
        </w:tc>
        <w:tc>
          <w:tcPr>
            <w:tcW w:w="958" w:type="dxa"/>
          </w:tcPr>
          <w:p>
            <w:pPr>
              <w:pStyle w:val="TableParagraph"/>
              <w:spacing w:before="9"/>
              <w:ind w:right="154"/>
              <w:jc w:val="right"/>
              <w:rPr>
                <w:b/>
                <w:sz w:val="12"/>
              </w:rPr>
            </w:pPr>
            <w:r>
              <w:rPr>
                <w:b/>
                <w:sz w:val="12"/>
              </w:rPr>
              <w:t>(17,512)</w:t>
            </w:r>
          </w:p>
        </w:tc>
      </w:tr>
      <w:tr>
        <w:trPr>
          <w:trHeight w:val="465" w:hRule="atLeast"/>
        </w:trPr>
        <w:tc>
          <w:tcPr>
            <w:tcW w:w="6097" w:type="dxa"/>
          </w:tcPr>
          <w:p>
            <w:pPr>
              <w:pStyle w:val="TableParagraph"/>
              <w:spacing w:before="84"/>
              <w:ind w:left="125"/>
              <w:rPr>
                <w:b/>
                <w:sz w:val="12"/>
              </w:rPr>
            </w:pPr>
            <w:r>
              <w:rPr>
                <w:b/>
                <w:w w:val="105"/>
                <w:sz w:val="12"/>
              </w:rPr>
              <w:t>Changes in NHS Clinical Commissioning Group taxpayers’ equity for 2021-22</w:t>
            </w:r>
          </w:p>
          <w:p>
            <w:pPr>
              <w:pStyle w:val="TableParagraph"/>
              <w:spacing w:before="20"/>
              <w:ind w:left="125"/>
              <w:rPr>
                <w:sz w:val="12"/>
              </w:rPr>
            </w:pPr>
            <w:r>
              <w:rPr>
                <w:w w:val="105"/>
                <w:sz w:val="12"/>
              </w:rPr>
              <w:t>Net operating expenditure for the financial year</w:t>
            </w:r>
          </w:p>
        </w:tc>
        <w:tc>
          <w:tcPr>
            <w:tcW w:w="1083" w:type="dxa"/>
          </w:tcPr>
          <w:p>
            <w:pPr>
              <w:pStyle w:val="TableParagraph"/>
              <w:rPr>
                <w:sz w:val="12"/>
              </w:rPr>
            </w:pPr>
          </w:p>
          <w:p>
            <w:pPr>
              <w:pStyle w:val="TableParagraph"/>
              <w:spacing w:before="104"/>
              <w:ind w:left="373"/>
              <w:rPr>
                <w:sz w:val="12"/>
              </w:rPr>
            </w:pPr>
            <w:r>
              <w:rPr>
                <w:w w:val="105"/>
                <w:sz w:val="12"/>
              </w:rPr>
              <w:t>(319,448)</w:t>
            </w:r>
          </w:p>
        </w:tc>
        <w:tc>
          <w:tcPr>
            <w:tcW w:w="886" w:type="dxa"/>
          </w:tcPr>
          <w:p>
            <w:pPr>
              <w:pStyle w:val="TableParagraph"/>
              <w:rPr>
                <w:rFonts w:ascii="Times New Roman"/>
                <w:sz w:val="12"/>
              </w:rPr>
            </w:pPr>
          </w:p>
        </w:tc>
        <w:tc>
          <w:tcPr>
            <w:tcW w:w="777" w:type="dxa"/>
          </w:tcPr>
          <w:p>
            <w:pPr>
              <w:pStyle w:val="TableParagraph"/>
              <w:rPr>
                <w:rFonts w:ascii="Times New Roman"/>
                <w:sz w:val="12"/>
              </w:rPr>
            </w:pPr>
          </w:p>
        </w:tc>
        <w:tc>
          <w:tcPr>
            <w:tcW w:w="958" w:type="dxa"/>
          </w:tcPr>
          <w:p>
            <w:pPr>
              <w:pStyle w:val="TableParagraph"/>
              <w:rPr>
                <w:sz w:val="12"/>
              </w:rPr>
            </w:pPr>
          </w:p>
          <w:p>
            <w:pPr>
              <w:pStyle w:val="TableParagraph"/>
              <w:spacing w:before="104"/>
              <w:ind w:right="154"/>
              <w:jc w:val="right"/>
              <w:rPr>
                <w:b/>
                <w:sz w:val="12"/>
              </w:rPr>
            </w:pPr>
            <w:r>
              <w:rPr>
                <w:b/>
                <w:sz w:val="12"/>
              </w:rPr>
              <w:t>(319,448)</w:t>
            </w:r>
          </w:p>
        </w:tc>
      </w:tr>
      <w:tr>
        <w:trPr>
          <w:trHeight w:val="230" w:hRule="atLeast"/>
        </w:trPr>
        <w:tc>
          <w:tcPr>
            <w:tcW w:w="6097" w:type="dxa"/>
          </w:tcPr>
          <w:p>
            <w:pPr>
              <w:pStyle w:val="TableParagraph"/>
              <w:spacing w:line="129" w:lineRule="exact" w:before="81"/>
              <w:ind w:left="125"/>
              <w:rPr>
                <w:sz w:val="12"/>
              </w:rPr>
            </w:pPr>
            <w:r>
              <w:rPr>
                <w:w w:val="105"/>
                <w:sz w:val="12"/>
              </w:rPr>
              <w:t>Net gain/(loss) on revaluation of property, plant and equipment</w:t>
            </w:r>
          </w:p>
        </w:tc>
        <w:tc>
          <w:tcPr>
            <w:tcW w:w="1083" w:type="dxa"/>
          </w:tcPr>
          <w:p>
            <w:pPr>
              <w:pStyle w:val="TableParagraph"/>
              <w:rPr>
                <w:rFonts w:ascii="Times New Roman"/>
                <w:sz w:val="12"/>
              </w:rPr>
            </w:pPr>
          </w:p>
        </w:tc>
        <w:tc>
          <w:tcPr>
            <w:tcW w:w="886" w:type="dxa"/>
          </w:tcPr>
          <w:p>
            <w:pPr>
              <w:pStyle w:val="TableParagraph"/>
              <w:spacing w:line="129" w:lineRule="exact" w:before="81"/>
              <w:ind w:right="107"/>
              <w:jc w:val="right"/>
              <w:rPr>
                <w:sz w:val="12"/>
              </w:rPr>
            </w:pPr>
            <w:r>
              <w:rPr>
                <w:w w:val="104"/>
                <w:sz w:val="12"/>
              </w:rPr>
              <w:t>0</w:t>
            </w:r>
          </w:p>
        </w:tc>
        <w:tc>
          <w:tcPr>
            <w:tcW w:w="777" w:type="dxa"/>
          </w:tcPr>
          <w:p>
            <w:pPr>
              <w:pStyle w:val="TableParagraph"/>
              <w:rPr>
                <w:rFonts w:ascii="Times New Roman"/>
                <w:sz w:val="12"/>
              </w:rPr>
            </w:pPr>
          </w:p>
        </w:tc>
        <w:tc>
          <w:tcPr>
            <w:tcW w:w="958" w:type="dxa"/>
          </w:tcPr>
          <w:p>
            <w:pPr>
              <w:pStyle w:val="TableParagraph"/>
              <w:spacing w:line="129" w:lineRule="exact" w:before="81"/>
              <w:ind w:right="150"/>
              <w:jc w:val="right"/>
              <w:rPr>
                <w:b/>
                <w:sz w:val="12"/>
              </w:rPr>
            </w:pPr>
            <w:r>
              <w:rPr>
                <w:b/>
                <w:w w:val="104"/>
                <w:sz w:val="12"/>
              </w:rPr>
              <w:t>0</w:t>
            </w:r>
          </w:p>
        </w:tc>
      </w:tr>
      <w:tr>
        <w:trPr>
          <w:trHeight w:val="155" w:hRule="atLeast"/>
        </w:trPr>
        <w:tc>
          <w:tcPr>
            <w:tcW w:w="6097" w:type="dxa"/>
          </w:tcPr>
          <w:p>
            <w:pPr>
              <w:pStyle w:val="TableParagraph"/>
              <w:spacing w:line="129" w:lineRule="exact" w:before="7"/>
              <w:ind w:left="125"/>
              <w:rPr>
                <w:sz w:val="12"/>
              </w:rPr>
            </w:pPr>
            <w:r>
              <w:rPr>
                <w:w w:val="105"/>
                <w:sz w:val="12"/>
              </w:rPr>
              <w:t>Net gain/(loss) on revaluation of intangible assets</w:t>
            </w:r>
          </w:p>
        </w:tc>
        <w:tc>
          <w:tcPr>
            <w:tcW w:w="1083" w:type="dxa"/>
          </w:tcPr>
          <w:p>
            <w:pPr>
              <w:pStyle w:val="TableParagraph"/>
              <w:rPr>
                <w:rFonts w:ascii="Times New Roman"/>
                <w:sz w:val="10"/>
              </w:rPr>
            </w:pPr>
          </w:p>
        </w:tc>
        <w:tc>
          <w:tcPr>
            <w:tcW w:w="886" w:type="dxa"/>
          </w:tcPr>
          <w:p>
            <w:pPr>
              <w:pStyle w:val="TableParagraph"/>
              <w:spacing w:line="129" w:lineRule="exact" w:before="7"/>
              <w:ind w:right="107"/>
              <w:jc w:val="right"/>
              <w:rPr>
                <w:sz w:val="12"/>
              </w:rPr>
            </w:pPr>
            <w:r>
              <w:rPr>
                <w:w w:val="104"/>
                <w:sz w:val="12"/>
              </w:rPr>
              <w:t>0</w:t>
            </w:r>
          </w:p>
        </w:tc>
        <w:tc>
          <w:tcPr>
            <w:tcW w:w="777" w:type="dxa"/>
          </w:tcPr>
          <w:p>
            <w:pPr>
              <w:pStyle w:val="TableParagraph"/>
              <w:rPr>
                <w:rFonts w:ascii="Times New Roman"/>
                <w:sz w:val="10"/>
              </w:rPr>
            </w:pPr>
          </w:p>
        </w:tc>
        <w:tc>
          <w:tcPr>
            <w:tcW w:w="958" w:type="dxa"/>
          </w:tcPr>
          <w:p>
            <w:pPr>
              <w:pStyle w:val="TableParagraph"/>
              <w:spacing w:line="129" w:lineRule="exact" w:before="7"/>
              <w:ind w:right="150"/>
              <w:jc w:val="right"/>
              <w:rPr>
                <w:b/>
                <w:sz w:val="12"/>
              </w:rPr>
            </w:pPr>
            <w:r>
              <w:rPr>
                <w:b/>
                <w:w w:val="104"/>
                <w:sz w:val="12"/>
              </w:rPr>
              <w:t>0</w:t>
            </w:r>
          </w:p>
        </w:tc>
      </w:tr>
      <w:tr>
        <w:trPr>
          <w:trHeight w:val="158" w:hRule="atLeast"/>
        </w:trPr>
        <w:tc>
          <w:tcPr>
            <w:tcW w:w="6097" w:type="dxa"/>
          </w:tcPr>
          <w:p>
            <w:pPr>
              <w:pStyle w:val="TableParagraph"/>
              <w:spacing w:line="131" w:lineRule="exact" w:before="7"/>
              <w:ind w:left="125"/>
              <w:rPr>
                <w:sz w:val="12"/>
              </w:rPr>
            </w:pPr>
            <w:r>
              <w:rPr>
                <w:w w:val="105"/>
                <w:sz w:val="12"/>
              </w:rPr>
              <w:t>Net gain/(loss) on revaluation of financial assets</w:t>
            </w:r>
          </w:p>
        </w:tc>
        <w:tc>
          <w:tcPr>
            <w:tcW w:w="1083" w:type="dxa"/>
          </w:tcPr>
          <w:p>
            <w:pPr>
              <w:pStyle w:val="TableParagraph"/>
              <w:tabs>
                <w:tab w:pos="973" w:val="left" w:leader="none"/>
              </w:tabs>
              <w:spacing w:line="131" w:lineRule="exact" w:before="7"/>
              <w:ind w:left="90"/>
              <w:rPr>
                <w:sz w:val="12"/>
              </w:rPr>
            </w:pPr>
            <w:r>
              <w:rPr>
                <w:w w:val="104"/>
                <w:sz w:val="12"/>
                <w:u w:val="single"/>
              </w:rPr>
              <w:t> </w:t>
            </w:r>
            <w:r>
              <w:rPr>
                <w:sz w:val="12"/>
                <w:u w:val="single"/>
              </w:rPr>
              <w:tab/>
            </w:r>
          </w:p>
        </w:tc>
        <w:tc>
          <w:tcPr>
            <w:tcW w:w="886" w:type="dxa"/>
          </w:tcPr>
          <w:p>
            <w:pPr>
              <w:pStyle w:val="TableParagraph"/>
              <w:tabs>
                <w:tab w:pos="724" w:val="left" w:leader="none"/>
              </w:tabs>
              <w:spacing w:line="131" w:lineRule="exact" w:before="7"/>
              <w:ind w:right="76"/>
              <w:jc w:val="right"/>
              <w:rPr>
                <w:sz w:val="12"/>
              </w:rPr>
            </w:pPr>
            <w:r>
              <w:rPr>
                <w:w w:val="104"/>
                <w:sz w:val="12"/>
                <w:u w:val="single"/>
              </w:rPr>
              <w:t> </w:t>
            </w:r>
            <w:r>
              <w:rPr>
                <w:sz w:val="12"/>
                <w:u w:val="single"/>
              </w:rPr>
              <w:tab/>
              <w:t>0</w:t>
            </w:r>
          </w:p>
        </w:tc>
        <w:tc>
          <w:tcPr>
            <w:tcW w:w="777" w:type="dxa"/>
          </w:tcPr>
          <w:p>
            <w:pPr>
              <w:pStyle w:val="TableParagraph"/>
              <w:tabs>
                <w:tab w:pos="623" w:val="left" w:leader="none"/>
              </w:tabs>
              <w:spacing w:line="131" w:lineRule="exact" w:before="7"/>
              <w:ind w:right="109"/>
              <w:jc w:val="right"/>
              <w:rPr>
                <w:sz w:val="12"/>
              </w:rPr>
            </w:pPr>
            <w:r>
              <w:rPr>
                <w:w w:val="104"/>
                <w:sz w:val="12"/>
                <w:u w:val="single"/>
              </w:rPr>
              <w:t> </w:t>
            </w:r>
            <w:r>
              <w:rPr>
                <w:sz w:val="12"/>
                <w:u w:val="single"/>
              </w:rPr>
              <w:tab/>
            </w:r>
          </w:p>
        </w:tc>
        <w:tc>
          <w:tcPr>
            <w:tcW w:w="958" w:type="dxa"/>
          </w:tcPr>
          <w:p>
            <w:pPr>
              <w:pStyle w:val="TableParagraph"/>
              <w:tabs>
                <w:tab w:pos="755" w:val="left" w:leader="none"/>
              </w:tabs>
              <w:spacing w:line="131" w:lineRule="exact" w:before="7"/>
              <w:ind w:right="121"/>
              <w:jc w:val="right"/>
              <w:rPr>
                <w:b/>
                <w:sz w:val="12"/>
              </w:rPr>
            </w:pPr>
            <w:r>
              <w:rPr>
                <w:b/>
                <w:w w:val="104"/>
                <w:sz w:val="12"/>
                <w:u w:val="single"/>
              </w:rPr>
              <w:t> </w:t>
            </w:r>
            <w:r>
              <w:rPr>
                <w:b/>
                <w:sz w:val="12"/>
                <w:u w:val="single"/>
              </w:rPr>
              <w:tab/>
              <w:t>0</w:t>
            </w:r>
          </w:p>
        </w:tc>
      </w:tr>
      <w:tr>
        <w:trPr>
          <w:trHeight w:val="235" w:hRule="atLeast"/>
        </w:trPr>
        <w:tc>
          <w:tcPr>
            <w:tcW w:w="6097" w:type="dxa"/>
          </w:tcPr>
          <w:p>
            <w:pPr>
              <w:pStyle w:val="TableParagraph"/>
              <w:spacing w:before="9"/>
              <w:ind w:left="125"/>
              <w:rPr>
                <w:b/>
                <w:sz w:val="12"/>
              </w:rPr>
            </w:pPr>
            <w:r>
              <w:rPr>
                <w:b/>
                <w:w w:val="105"/>
                <w:sz w:val="12"/>
              </w:rPr>
              <w:t>Total revaluations against revaluation reserve</w:t>
            </w:r>
          </w:p>
        </w:tc>
        <w:tc>
          <w:tcPr>
            <w:tcW w:w="1083" w:type="dxa"/>
          </w:tcPr>
          <w:p>
            <w:pPr>
              <w:pStyle w:val="TableParagraph"/>
              <w:rPr>
                <w:rFonts w:ascii="Times New Roman"/>
                <w:sz w:val="12"/>
              </w:rPr>
            </w:pPr>
          </w:p>
        </w:tc>
        <w:tc>
          <w:tcPr>
            <w:tcW w:w="886" w:type="dxa"/>
          </w:tcPr>
          <w:p>
            <w:pPr>
              <w:pStyle w:val="TableParagraph"/>
              <w:spacing w:before="9"/>
              <w:ind w:right="107"/>
              <w:jc w:val="right"/>
              <w:rPr>
                <w:b/>
                <w:sz w:val="12"/>
              </w:rPr>
            </w:pPr>
            <w:r>
              <w:rPr>
                <w:b/>
                <w:w w:val="104"/>
                <w:sz w:val="12"/>
              </w:rPr>
              <w:t>0</w:t>
            </w:r>
          </w:p>
        </w:tc>
        <w:tc>
          <w:tcPr>
            <w:tcW w:w="777" w:type="dxa"/>
          </w:tcPr>
          <w:p>
            <w:pPr>
              <w:pStyle w:val="TableParagraph"/>
              <w:rPr>
                <w:rFonts w:ascii="Times New Roman"/>
                <w:sz w:val="12"/>
              </w:rPr>
            </w:pPr>
          </w:p>
        </w:tc>
        <w:tc>
          <w:tcPr>
            <w:tcW w:w="958" w:type="dxa"/>
          </w:tcPr>
          <w:p>
            <w:pPr>
              <w:pStyle w:val="TableParagraph"/>
              <w:spacing w:before="9"/>
              <w:ind w:right="150"/>
              <w:jc w:val="right"/>
              <w:rPr>
                <w:b/>
                <w:sz w:val="12"/>
              </w:rPr>
            </w:pPr>
            <w:r>
              <w:rPr>
                <w:b/>
                <w:w w:val="104"/>
                <w:sz w:val="12"/>
              </w:rPr>
              <w:t>0</w:t>
            </w:r>
          </w:p>
        </w:tc>
      </w:tr>
      <w:tr>
        <w:trPr>
          <w:trHeight w:val="230" w:hRule="atLeast"/>
        </w:trPr>
        <w:tc>
          <w:tcPr>
            <w:tcW w:w="6097" w:type="dxa"/>
          </w:tcPr>
          <w:p>
            <w:pPr>
              <w:pStyle w:val="TableParagraph"/>
              <w:spacing w:line="127" w:lineRule="exact" w:before="84"/>
              <w:ind w:left="125"/>
              <w:rPr>
                <w:sz w:val="12"/>
              </w:rPr>
            </w:pPr>
            <w:r>
              <w:rPr>
                <w:w w:val="105"/>
                <w:sz w:val="12"/>
              </w:rPr>
              <w:t>Net gain (loss) on available for sale financial assets</w:t>
            </w:r>
          </w:p>
        </w:tc>
        <w:tc>
          <w:tcPr>
            <w:tcW w:w="1083" w:type="dxa"/>
          </w:tcPr>
          <w:p>
            <w:pPr>
              <w:pStyle w:val="TableParagraph"/>
              <w:spacing w:line="127" w:lineRule="exact" w:before="84"/>
              <w:ind w:right="164"/>
              <w:jc w:val="right"/>
              <w:rPr>
                <w:sz w:val="12"/>
              </w:rPr>
            </w:pPr>
            <w:r>
              <w:rPr>
                <w:w w:val="104"/>
                <w:sz w:val="12"/>
              </w:rPr>
              <w:t>0</w:t>
            </w:r>
          </w:p>
        </w:tc>
        <w:tc>
          <w:tcPr>
            <w:tcW w:w="886" w:type="dxa"/>
          </w:tcPr>
          <w:p>
            <w:pPr>
              <w:pStyle w:val="TableParagraph"/>
              <w:spacing w:line="127" w:lineRule="exact" w:before="84"/>
              <w:ind w:right="107"/>
              <w:jc w:val="right"/>
              <w:rPr>
                <w:sz w:val="12"/>
              </w:rPr>
            </w:pPr>
            <w:r>
              <w:rPr>
                <w:w w:val="104"/>
                <w:sz w:val="12"/>
              </w:rPr>
              <w:t>0</w:t>
            </w:r>
          </w:p>
        </w:tc>
        <w:tc>
          <w:tcPr>
            <w:tcW w:w="777" w:type="dxa"/>
          </w:tcPr>
          <w:p>
            <w:pPr>
              <w:pStyle w:val="TableParagraph"/>
              <w:spacing w:line="127" w:lineRule="exact" w:before="84"/>
              <w:ind w:right="171"/>
              <w:jc w:val="right"/>
              <w:rPr>
                <w:sz w:val="12"/>
              </w:rPr>
            </w:pPr>
            <w:r>
              <w:rPr>
                <w:w w:val="104"/>
                <w:sz w:val="12"/>
              </w:rPr>
              <w:t>0</w:t>
            </w:r>
          </w:p>
        </w:tc>
        <w:tc>
          <w:tcPr>
            <w:tcW w:w="958" w:type="dxa"/>
          </w:tcPr>
          <w:p>
            <w:pPr>
              <w:pStyle w:val="TableParagraph"/>
              <w:spacing w:line="127" w:lineRule="exact" w:before="84"/>
              <w:ind w:right="155"/>
              <w:jc w:val="right"/>
              <w:rPr>
                <w:sz w:val="12"/>
              </w:rPr>
            </w:pPr>
            <w:r>
              <w:rPr>
                <w:w w:val="104"/>
                <w:sz w:val="12"/>
              </w:rPr>
              <w:t>0</w:t>
            </w:r>
          </w:p>
        </w:tc>
      </w:tr>
      <w:tr>
        <w:trPr>
          <w:trHeight w:val="153" w:hRule="atLeast"/>
        </w:trPr>
        <w:tc>
          <w:tcPr>
            <w:tcW w:w="6097" w:type="dxa"/>
          </w:tcPr>
          <w:p>
            <w:pPr>
              <w:pStyle w:val="TableParagraph"/>
              <w:spacing w:line="129" w:lineRule="exact" w:before="4"/>
              <w:ind w:left="125"/>
              <w:rPr>
                <w:sz w:val="12"/>
              </w:rPr>
            </w:pPr>
            <w:r>
              <w:rPr>
                <w:w w:val="105"/>
                <w:sz w:val="12"/>
              </w:rPr>
              <w:t>Net gain/(loss) on revaluation of other investments and Financial Assets (excluding available for sale</w:t>
            </w:r>
          </w:p>
        </w:tc>
        <w:tc>
          <w:tcPr>
            <w:tcW w:w="1083" w:type="dxa"/>
          </w:tcPr>
          <w:p>
            <w:pPr>
              <w:pStyle w:val="TableParagraph"/>
              <w:rPr>
                <w:rFonts w:ascii="Times New Roman"/>
                <w:sz w:val="8"/>
              </w:rPr>
            </w:pPr>
          </w:p>
        </w:tc>
        <w:tc>
          <w:tcPr>
            <w:tcW w:w="886" w:type="dxa"/>
          </w:tcPr>
          <w:p>
            <w:pPr>
              <w:pStyle w:val="TableParagraph"/>
              <w:rPr>
                <w:rFonts w:ascii="Times New Roman"/>
                <w:sz w:val="8"/>
              </w:rPr>
            </w:pPr>
          </w:p>
        </w:tc>
        <w:tc>
          <w:tcPr>
            <w:tcW w:w="777" w:type="dxa"/>
          </w:tcPr>
          <w:p>
            <w:pPr>
              <w:pStyle w:val="TableParagraph"/>
              <w:rPr>
                <w:rFonts w:ascii="Times New Roman"/>
                <w:sz w:val="8"/>
              </w:rPr>
            </w:pPr>
          </w:p>
        </w:tc>
        <w:tc>
          <w:tcPr>
            <w:tcW w:w="958" w:type="dxa"/>
          </w:tcPr>
          <w:p>
            <w:pPr>
              <w:pStyle w:val="TableParagraph"/>
              <w:rPr>
                <w:rFonts w:ascii="Times New Roman"/>
                <w:sz w:val="8"/>
              </w:rPr>
            </w:pPr>
          </w:p>
        </w:tc>
      </w:tr>
      <w:tr>
        <w:trPr>
          <w:trHeight w:val="157" w:hRule="atLeast"/>
        </w:trPr>
        <w:tc>
          <w:tcPr>
            <w:tcW w:w="6097" w:type="dxa"/>
          </w:tcPr>
          <w:p>
            <w:pPr>
              <w:pStyle w:val="TableParagraph"/>
              <w:spacing w:line="128" w:lineRule="exact" w:before="9"/>
              <w:ind w:left="125"/>
              <w:rPr>
                <w:sz w:val="12"/>
              </w:rPr>
            </w:pPr>
            <w:r>
              <w:rPr>
                <w:w w:val="105"/>
                <w:sz w:val="12"/>
              </w:rPr>
              <w:t>financial assets)</w:t>
            </w:r>
          </w:p>
        </w:tc>
        <w:tc>
          <w:tcPr>
            <w:tcW w:w="1083" w:type="dxa"/>
          </w:tcPr>
          <w:p>
            <w:pPr>
              <w:pStyle w:val="TableParagraph"/>
              <w:rPr>
                <w:rFonts w:ascii="Times New Roman"/>
                <w:sz w:val="10"/>
              </w:rPr>
            </w:pPr>
          </w:p>
        </w:tc>
        <w:tc>
          <w:tcPr>
            <w:tcW w:w="886" w:type="dxa"/>
          </w:tcPr>
          <w:p>
            <w:pPr>
              <w:pStyle w:val="TableParagraph"/>
              <w:rPr>
                <w:rFonts w:ascii="Times New Roman"/>
                <w:sz w:val="10"/>
              </w:rPr>
            </w:pPr>
          </w:p>
        </w:tc>
        <w:tc>
          <w:tcPr>
            <w:tcW w:w="777" w:type="dxa"/>
          </w:tcPr>
          <w:p>
            <w:pPr>
              <w:pStyle w:val="TableParagraph"/>
              <w:spacing w:line="130" w:lineRule="exact" w:before="7"/>
              <w:ind w:right="171"/>
              <w:jc w:val="right"/>
              <w:rPr>
                <w:sz w:val="12"/>
              </w:rPr>
            </w:pPr>
            <w:r>
              <w:rPr>
                <w:w w:val="104"/>
                <w:sz w:val="12"/>
              </w:rPr>
              <w:t>0</w:t>
            </w:r>
          </w:p>
        </w:tc>
        <w:tc>
          <w:tcPr>
            <w:tcW w:w="958" w:type="dxa"/>
          </w:tcPr>
          <w:p>
            <w:pPr>
              <w:pStyle w:val="TableParagraph"/>
              <w:spacing w:line="130" w:lineRule="exact" w:before="7"/>
              <w:ind w:right="155"/>
              <w:jc w:val="right"/>
              <w:rPr>
                <w:sz w:val="12"/>
              </w:rPr>
            </w:pPr>
            <w:r>
              <w:rPr>
                <w:w w:val="104"/>
                <w:sz w:val="12"/>
              </w:rPr>
              <w:t>0</w:t>
            </w:r>
          </w:p>
        </w:tc>
      </w:tr>
      <w:tr>
        <w:trPr>
          <w:trHeight w:val="154" w:hRule="atLeast"/>
        </w:trPr>
        <w:tc>
          <w:tcPr>
            <w:tcW w:w="6097" w:type="dxa"/>
          </w:tcPr>
          <w:p>
            <w:pPr>
              <w:pStyle w:val="TableParagraph"/>
              <w:spacing w:line="129" w:lineRule="exact" w:before="6"/>
              <w:ind w:left="125"/>
              <w:rPr>
                <w:sz w:val="12"/>
              </w:rPr>
            </w:pPr>
            <w:r>
              <w:rPr>
                <w:w w:val="105"/>
                <w:sz w:val="12"/>
              </w:rPr>
              <w:t>Net gain (loss) on revaluation of assets held for sale</w:t>
            </w:r>
          </w:p>
        </w:tc>
        <w:tc>
          <w:tcPr>
            <w:tcW w:w="1083" w:type="dxa"/>
          </w:tcPr>
          <w:p>
            <w:pPr>
              <w:pStyle w:val="TableParagraph"/>
              <w:spacing w:line="129" w:lineRule="exact" w:before="6"/>
              <w:ind w:right="164"/>
              <w:jc w:val="right"/>
              <w:rPr>
                <w:sz w:val="12"/>
              </w:rPr>
            </w:pPr>
            <w:r>
              <w:rPr>
                <w:w w:val="104"/>
                <w:sz w:val="12"/>
              </w:rPr>
              <w:t>0</w:t>
            </w:r>
          </w:p>
        </w:tc>
        <w:tc>
          <w:tcPr>
            <w:tcW w:w="886" w:type="dxa"/>
          </w:tcPr>
          <w:p>
            <w:pPr>
              <w:pStyle w:val="TableParagraph"/>
              <w:spacing w:line="129" w:lineRule="exact" w:before="6"/>
              <w:ind w:right="107"/>
              <w:jc w:val="right"/>
              <w:rPr>
                <w:sz w:val="12"/>
              </w:rPr>
            </w:pPr>
            <w:r>
              <w:rPr>
                <w:w w:val="104"/>
                <w:sz w:val="12"/>
              </w:rPr>
              <w:t>0</w:t>
            </w:r>
          </w:p>
        </w:tc>
        <w:tc>
          <w:tcPr>
            <w:tcW w:w="777" w:type="dxa"/>
          </w:tcPr>
          <w:p>
            <w:pPr>
              <w:pStyle w:val="TableParagraph"/>
              <w:spacing w:line="129" w:lineRule="exact" w:before="6"/>
              <w:ind w:right="169"/>
              <w:jc w:val="right"/>
              <w:rPr>
                <w:sz w:val="12"/>
              </w:rPr>
            </w:pPr>
            <w:r>
              <w:rPr>
                <w:w w:val="104"/>
                <w:sz w:val="12"/>
              </w:rPr>
              <w:t>0</w:t>
            </w:r>
          </w:p>
        </w:tc>
        <w:tc>
          <w:tcPr>
            <w:tcW w:w="958" w:type="dxa"/>
          </w:tcPr>
          <w:p>
            <w:pPr>
              <w:pStyle w:val="TableParagraph"/>
              <w:spacing w:line="129" w:lineRule="exact" w:before="6"/>
              <w:ind w:right="150"/>
              <w:jc w:val="right"/>
              <w:rPr>
                <w:sz w:val="12"/>
              </w:rPr>
            </w:pPr>
            <w:r>
              <w:rPr>
                <w:w w:val="104"/>
                <w:sz w:val="12"/>
              </w:rPr>
              <w:t>0</w:t>
            </w:r>
          </w:p>
        </w:tc>
      </w:tr>
      <w:tr>
        <w:trPr>
          <w:trHeight w:val="156" w:hRule="atLeast"/>
        </w:trPr>
        <w:tc>
          <w:tcPr>
            <w:tcW w:w="6097" w:type="dxa"/>
          </w:tcPr>
          <w:p>
            <w:pPr>
              <w:pStyle w:val="TableParagraph"/>
              <w:spacing w:line="129" w:lineRule="exact" w:before="7"/>
              <w:ind w:left="125"/>
              <w:rPr>
                <w:sz w:val="12"/>
              </w:rPr>
            </w:pPr>
            <w:r>
              <w:rPr>
                <w:w w:val="105"/>
                <w:sz w:val="12"/>
              </w:rPr>
              <w:t>Impairments and reversals</w:t>
            </w:r>
          </w:p>
        </w:tc>
        <w:tc>
          <w:tcPr>
            <w:tcW w:w="1083" w:type="dxa"/>
          </w:tcPr>
          <w:p>
            <w:pPr>
              <w:pStyle w:val="TableParagraph"/>
              <w:spacing w:line="129" w:lineRule="exact" w:before="7"/>
              <w:ind w:right="164"/>
              <w:jc w:val="right"/>
              <w:rPr>
                <w:sz w:val="12"/>
              </w:rPr>
            </w:pPr>
            <w:r>
              <w:rPr>
                <w:w w:val="104"/>
                <w:sz w:val="12"/>
              </w:rPr>
              <w:t>0</w:t>
            </w:r>
          </w:p>
        </w:tc>
        <w:tc>
          <w:tcPr>
            <w:tcW w:w="886" w:type="dxa"/>
          </w:tcPr>
          <w:p>
            <w:pPr>
              <w:pStyle w:val="TableParagraph"/>
              <w:spacing w:line="129" w:lineRule="exact" w:before="7"/>
              <w:ind w:right="107"/>
              <w:jc w:val="right"/>
              <w:rPr>
                <w:sz w:val="12"/>
              </w:rPr>
            </w:pPr>
            <w:r>
              <w:rPr>
                <w:w w:val="104"/>
                <w:sz w:val="12"/>
              </w:rPr>
              <w:t>0</w:t>
            </w:r>
          </w:p>
        </w:tc>
        <w:tc>
          <w:tcPr>
            <w:tcW w:w="777" w:type="dxa"/>
          </w:tcPr>
          <w:p>
            <w:pPr>
              <w:pStyle w:val="TableParagraph"/>
              <w:spacing w:line="129" w:lineRule="exact" w:before="7"/>
              <w:ind w:right="169"/>
              <w:jc w:val="right"/>
              <w:rPr>
                <w:sz w:val="12"/>
              </w:rPr>
            </w:pPr>
            <w:r>
              <w:rPr>
                <w:w w:val="104"/>
                <w:sz w:val="12"/>
              </w:rPr>
              <w:t>0</w:t>
            </w:r>
          </w:p>
        </w:tc>
        <w:tc>
          <w:tcPr>
            <w:tcW w:w="958" w:type="dxa"/>
          </w:tcPr>
          <w:p>
            <w:pPr>
              <w:pStyle w:val="TableParagraph"/>
              <w:spacing w:line="129" w:lineRule="exact" w:before="7"/>
              <w:ind w:right="150"/>
              <w:jc w:val="right"/>
              <w:rPr>
                <w:sz w:val="12"/>
              </w:rPr>
            </w:pPr>
            <w:r>
              <w:rPr>
                <w:w w:val="104"/>
                <w:sz w:val="12"/>
              </w:rPr>
              <w:t>0</w:t>
            </w:r>
          </w:p>
        </w:tc>
      </w:tr>
      <w:tr>
        <w:trPr>
          <w:trHeight w:val="154" w:hRule="atLeast"/>
        </w:trPr>
        <w:tc>
          <w:tcPr>
            <w:tcW w:w="6097" w:type="dxa"/>
          </w:tcPr>
          <w:p>
            <w:pPr>
              <w:pStyle w:val="TableParagraph"/>
              <w:spacing w:line="128" w:lineRule="exact" w:before="7"/>
              <w:ind w:left="125"/>
              <w:rPr>
                <w:sz w:val="12"/>
              </w:rPr>
            </w:pPr>
            <w:r>
              <w:rPr>
                <w:w w:val="105"/>
                <w:sz w:val="12"/>
              </w:rPr>
              <w:t>Net actuarial gain (loss) on pensions</w:t>
            </w:r>
          </w:p>
        </w:tc>
        <w:tc>
          <w:tcPr>
            <w:tcW w:w="1083" w:type="dxa"/>
          </w:tcPr>
          <w:p>
            <w:pPr>
              <w:pStyle w:val="TableParagraph"/>
              <w:spacing w:line="128" w:lineRule="exact" w:before="7"/>
              <w:ind w:right="164"/>
              <w:jc w:val="right"/>
              <w:rPr>
                <w:sz w:val="12"/>
              </w:rPr>
            </w:pPr>
            <w:r>
              <w:rPr>
                <w:w w:val="104"/>
                <w:sz w:val="12"/>
              </w:rPr>
              <w:t>0</w:t>
            </w:r>
          </w:p>
        </w:tc>
        <w:tc>
          <w:tcPr>
            <w:tcW w:w="886" w:type="dxa"/>
          </w:tcPr>
          <w:p>
            <w:pPr>
              <w:pStyle w:val="TableParagraph"/>
              <w:spacing w:line="128" w:lineRule="exact" w:before="7"/>
              <w:ind w:right="107"/>
              <w:jc w:val="right"/>
              <w:rPr>
                <w:sz w:val="12"/>
              </w:rPr>
            </w:pPr>
            <w:r>
              <w:rPr>
                <w:w w:val="104"/>
                <w:sz w:val="12"/>
              </w:rPr>
              <w:t>0</w:t>
            </w:r>
          </w:p>
        </w:tc>
        <w:tc>
          <w:tcPr>
            <w:tcW w:w="777" w:type="dxa"/>
          </w:tcPr>
          <w:p>
            <w:pPr>
              <w:pStyle w:val="TableParagraph"/>
              <w:spacing w:line="128" w:lineRule="exact" w:before="7"/>
              <w:ind w:right="169"/>
              <w:jc w:val="right"/>
              <w:rPr>
                <w:sz w:val="12"/>
              </w:rPr>
            </w:pPr>
            <w:r>
              <w:rPr>
                <w:w w:val="104"/>
                <w:sz w:val="12"/>
              </w:rPr>
              <w:t>0</w:t>
            </w:r>
          </w:p>
        </w:tc>
        <w:tc>
          <w:tcPr>
            <w:tcW w:w="958" w:type="dxa"/>
          </w:tcPr>
          <w:p>
            <w:pPr>
              <w:pStyle w:val="TableParagraph"/>
              <w:spacing w:line="128" w:lineRule="exact" w:before="7"/>
              <w:ind w:right="150"/>
              <w:jc w:val="right"/>
              <w:rPr>
                <w:sz w:val="12"/>
              </w:rPr>
            </w:pPr>
            <w:r>
              <w:rPr>
                <w:w w:val="104"/>
                <w:sz w:val="12"/>
              </w:rPr>
              <w:t>0</w:t>
            </w:r>
          </w:p>
        </w:tc>
      </w:tr>
      <w:tr>
        <w:trPr>
          <w:trHeight w:val="154" w:hRule="atLeast"/>
        </w:trPr>
        <w:tc>
          <w:tcPr>
            <w:tcW w:w="6097" w:type="dxa"/>
          </w:tcPr>
          <w:p>
            <w:pPr>
              <w:pStyle w:val="TableParagraph"/>
              <w:spacing w:line="129" w:lineRule="exact" w:before="6"/>
              <w:ind w:left="125"/>
              <w:rPr>
                <w:sz w:val="12"/>
              </w:rPr>
            </w:pPr>
            <w:r>
              <w:rPr>
                <w:w w:val="105"/>
                <w:sz w:val="12"/>
              </w:rPr>
              <w:t>Movements in other reserves</w:t>
            </w:r>
          </w:p>
        </w:tc>
        <w:tc>
          <w:tcPr>
            <w:tcW w:w="1083" w:type="dxa"/>
          </w:tcPr>
          <w:p>
            <w:pPr>
              <w:pStyle w:val="TableParagraph"/>
              <w:spacing w:line="129" w:lineRule="exact" w:before="6"/>
              <w:ind w:right="164"/>
              <w:jc w:val="right"/>
              <w:rPr>
                <w:sz w:val="12"/>
              </w:rPr>
            </w:pPr>
            <w:r>
              <w:rPr>
                <w:w w:val="104"/>
                <w:sz w:val="12"/>
              </w:rPr>
              <w:t>0</w:t>
            </w:r>
          </w:p>
        </w:tc>
        <w:tc>
          <w:tcPr>
            <w:tcW w:w="886" w:type="dxa"/>
          </w:tcPr>
          <w:p>
            <w:pPr>
              <w:pStyle w:val="TableParagraph"/>
              <w:spacing w:line="129" w:lineRule="exact" w:before="6"/>
              <w:ind w:right="107"/>
              <w:jc w:val="right"/>
              <w:rPr>
                <w:sz w:val="12"/>
              </w:rPr>
            </w:pPr>
            <w:r>
              <w:rPr>
                <w:w w:val="104"/>
                <w:sz w:val="12"/>
              </w:rPr>
              <w:t>0</w:t>
            </w:r>
          </w:p>
        </w:tc>
        <w:tc>
          <w:tcPr>
            <w:tcW w:w="777" w:type="dxa"/>
          </w:tcPr>
          <w:p>
            <w:pPr>
              <w:pStyle w:val="TableParagraph"/>
              <w:spacing w:line="129" w:lineRule="exact" w:before="6"/>
              <w:ind w:right="169"/>
              <w:jc w:val="right"/>
              <w:rPr>
                <w:sz w:val="12"/>
              </w:rPr>
            </w:pPr>
            <w:r>
              <w:rPr>
                <w:w w:val="104"/>
                <w:sz w:val="12"/>
              </w:rPr>
              <w:t>0</w:t>
            </w:r>
          </w:p>
        </w:tc>
        <w:tc>
          <w:tcPr>
            <w:tcW w:w="958" w:type="dxa"/>
          </w:tcPr>
          <w:p>
            <w:pPr>
              <w:pStyle w:val="TableParagraph"/>
              <w:spacing w:line="129" w:lineRule="exact" w:before="6"/>
              <w:ind w:right="150"/>
              <w:jc w:val="right"/>
              <w:rPr>
                <w:sz w:val="12"/>
              </w:rPr>
            </w:pPr>
            <w:r>
              <w:rPr>
                <w:w w:val="104"/>
                <w:sz w:val="12"/>
              </w:rPr>
              <w:t>0</w:t>
            </w:r>
          </w:p>
        </w:tc>
      </w:tr>
      <w:tr>
        <w:trPr>
          <w:trHeight w:val="156" w:hRule="atLeast"/>
        </w:trPr>
        <w:tc>
          <w:tcPr>
            <w:tcW w:w="6097" w:type="dxa"/>
          </w:tcPr>
          <w:p>
            <w:pPr>
              <w:pStyle w:val="TableParagraph"/>
              <w:spacing w:line="129" w:lineRule="exact" w:before="7"/>
              <w:ind w:left="125"/>
              <w:rPr>
                <w:sz w:val="12"/>
              </w:rPr>
            </w:pPr>
            <w:r>
              <w:rPr>
                <w:w w:val="105"/>
                <w:sz w:val="12"/>
              </w:rPr>
              <w:t>Transfers between reserves</w:t>
            </w:r>
          </w:p>
        </w:tc>
        <w:tc>
          <w:tcPr>
            <w:tcW w:w="1083" w:type="dxa"/>
          </w:tcPr>
          <w:p>
            <w:pPr>
              <w:pStyle w:val="TableParagraph"/>
              <w:spacing w:line="129" w:lineRule="exact" w:before="7"/>
              <w:ind w:right="164"/>
              <w:jc w:val="right"/>
              <w:rPr>
                <w:sz w:val="12"/>
              </w:rPr>
            </w:pPr>
            <w:r>
              <w:rPr>
                <w:w w:val="104"/>
                <w:sz w:val="12"/>
              </w:rPr>
              <w:t>0</w:t>
            </w:r>
          </w:p>
        </w:tc>
        <w:tc>
          <w:tcPr>
            <w:tcW w:w="886" w:type="dxa"/>
          </w:tcPr>
          <w:p>
            <w:pPr>
              <w:pStyle w:val="TableParagraph"/>
              <w:spacing w:line="129" w:lineRule="exact" w:before="7"/>
              <w:ind w:right="107"/>
              <w:jc w:val="right"/>
              <w:rPr>
                <w:sz w:val="12"/>
              </w:rPr>
            </w:pPr>
            <w:r>
              <w:rPr>
                <w:w w:val="104"/>
                <w:sz w:val="12"/>
              </w:rPr>
              <w:t>0</w:t>
            </w:r>
          </w:p>
        </w:tc>
        <w:tc>
          <w:tcPr>
            <w:tcW w:w="777" w:type="dxa"/>
          </w:tcPr>
          <w:p>
            <w:pPr>
              <w:pStyle w:val="TableParagraph"/>
              <w:spacing w:line="129" w:lineRule="exact" w:before="7"/>
              <w:ind w:right="169"/>
              <w:jc w:val="right"/>
              <w:rPr>
                <w:sz w:val="12"/>
              </w:rPr>
            </w:pPr>
            <w:r>
              <w:rPr>
                <w:w w:val="104"/>
                <w:sz w:val="12"/>
              </w:rPr>
              <w:t>0</w:t>
            </w:r>
          </w:p>
        </w:tc>
        <w:tc>
          <w:tcPr>
            <w:tcW w:w="958" w:type="dxa"/>
          </w:tcPr>
          <w:p>
            <w:pPr>
              <w:pStyle w:val="TableParagraph"/>
              <w:spacing w:line="129" w:lineRule="exact" w:before="7"/>
              <w:ind w:right="150"/>
              <w:jc w:val="right"/>
              <w:rPr>
                <w:sz w:val="12"/>
              </w:rPr>
            </w:pPr>
            <w:r>
              <w:rPr>
                <w:w w:val="104"/>
                <w:sz w:val="12"/>
              </w:rPr>
              <w:t>0</w:t>
            </w:r>
          </w:p>
        </w:tc>
      </w:tr>
      <w:tr>
        <w:trPr>
          <w:trHeight w:val="155" w:hRule="atLeast"/>
        </w:trPr>
        <w:tc>
          <w:tcPr>
            <w:tcW w:w="6097" w:type="dxa"/>
          </w:tcPr>
          <w:p>
            <w:pPr>
              <w:pStyle w:val="TableParagraph"/>
              <w:spacing w:line="129" w:lineRule="exact" w:before="7"/>
              <w:ind w:left="125"/>
              <w:rPr>
                <w:sz w:val="12"/>
              </w:rPr>
            </w:pPr>
            <w:r>
              <w:rPr>
                <w:w w:val="105"/>
                <w:sz w:val="12"/>
              </w:rPr>
              <w:t>Release of reserves to the Statement of Comprehensive Net Expenditure</w:t>
            </w:r>
          </w:p>
        </w:tc>
        <w:tc>
          <w:tcPr>
            <w:tcW w:w="1083" w:type="dxa"/>
          </w:tcPr>
          <w:p>
            <w:pPr>
              <w:pStyle w:val="TableParagraph"/>
              <w:spacing w:line="129" w:lineRule="exact" w:before="7"/>
              <w:ind w:right="164"/>
              <w:jc w:val="right"/>
              <w:rPr>
                <w:sz w:val="12"/>
              </w:rPr>
            </w:pPr>
            <w:r>
              <w:rPr>
                <w:w w:val="104"/>
                <w:sz w:val="12"/>
              </w:rPr>
              <w:t>0</w:t>
            </w:r>
          </w:p>
        </w:tc>
        <w:tc>
          <w:tcPr>
            <w:tcW w:w="886" w:type="dxa"/>
          </w:tcPr>
          <w:p>
            <w:pPr>
              <w:pStyle w:val="TableParagraph"/>
              <w:spacing w:line="129" w:lineRule="exact" w:before="7"/>
              <w:ind w:right="107"/>
              <w:jc w:val="right"/>
              <w:rPr>
                <w:sz w:val="12"/>
              </w:rPr>
            </w:pPr>
            <w:r>
              <w:rPr>
                <w:w w:val="104"/>
                <w:sz w:val="12"/>
              </w:rPr>
              <w:t>0</w:t>
            </w:r>
          </w:p>
        </w:tc>
        <w:tc>
          <w:tcPr>
            <w:tcW w:w="777" w:type="dxa"/>
          </w:tcPr>
          <w:p>
            <w:pPr>
              <w:pStyle w:val="TableParagraph"/>
              <w:spacing w:line="129" w:lineRule="exact" w:before="7"/>
              <w:ind w:right="169"/>
              <w:jc w:val="right"/>
              <w:rPr>
                <w:sz w:val="12"/>
              </w:rPr>
            </w:pPr>
            <w:r>
              <w:rPr>
                <w:w w:val="104"/>
                <w:sz w:val="12"/>
              </w:rPr>
              <w:t>0</w:t>
            </w:r>
          </w:p>
        </w:tc>
        <w:tc>
          <w:tcPr>
            <w:tcW w:w="958" w:type="dxa"/>
          </w:tcPr>
          <w:p>
            <w:pPr>
              <w:pStyle w:val="TableParagraph"/>
              <w:spacing w:line="129" w:lineRule="exact" w:before="7"/>
              <w:ind w:right="150"/>
              <w:jc w:val="right"/>
              <w:rPr>
                <w:sz w:val="12"/>
              </w:rPr>
            </w:pPr>
            <w:r>
              <w:rPr>
                <w:w w:val="104"/>
                <w:sz w:val="12"/>
              </w:rPr>
              <w:t>0</w:t>
            </w:r>
          </w:p>
        </w:tc>
      </w:tr>
      <w:tr>
        <w:trPr>
          <w:trHeight w:val="155" w:hRule="atLeast"/>
        </w:trPr>
        <w:tc>
          <w:tcPr>
            <w:tcW w:w="6097" w:type="dxa"/>
          </w:tcPr>
          <w:p>
            <w:pPr>
              <w:pStyle w:val="TableParagraph"/>
              <w:spacing w:line="129" w:lineRule="exact" w:before="7"/>
              <w:ind w:left="125"/>
              <w:rPr>
                <w:sz w:val="12"/>
              </w:rPr>
            </w:pPr>
            <w:r>
              <w:rPr>
                <w:w w:val="105"/>
                <w:sz w:val="12"/>
              </w:rPr>
              <w:t>Reclassification adjustment on disposal of available for sale financial assets</w:t>
            </w:r>
          </w:p>
        </w:tc>
        <w:tc>
          <w:tcPr>
            <w:tcW w:w="1083" w:type="dxa"/>
          </w:tcPr>
          <w:p>
            <w:pPr>
              <w:pStyle w:val="TableParagraph"/>
              <w:spacing w:line="129" w:lineRule="exact" w:before="7"/>
              <w:ind w:right="164"/>
              <w:jc w:val="right"/>
              <w:rPr>
                <w:sz w:val="12"/>
              </w:rPr>
            </w:pPr>
            <w:r>
              <w:rPr>
                <w:w w:val="104"/>
                <w:sz w:val="12"/>
              </w:rPr>
              <w:t>0</w:t>
            </w:r>
          </w:p>
        </w:tc>
        <w:tc>
          <w:tcPr>
            <w:tcW w:w="886" w:type="dxa"/>
          </w:tcPr>
          <w:p>
            <w:pPr>
              <w:pStyle w:val="TableParagraph"/>
              <w:spacing w:line="129" w:lineRule="exact" w:before="7"/>
              <w:ind w:right="107"/>
              <w:jc w:val="right"/>
              <w:rPr>
                <w:sz w:val="12"/>
              </w:rPr>
            </w:pPr>
            <w:r>
              <w:rPr>
                <w:w w:val="104"/>
                <w:sz w:val="12"/>
              </w:rPr>
              <w:t>0</w:t>
            </w:r>
          </w:p>
        </w:tc>
        <w:tc>
          <w:tcPr>
            <w:tcW w:w="777" w:type="dxa"/>
          </w:tcPr>
          <w:p>
            <w:pPr>
              <w:pStyle w:val="TableParagraph"/>
              <w:spacing w:line="129" w:lineRule="exact" w:before="7"/>
              <w:ind w:right="169"/>
              <w:jc w:val="right"/>
              <w:rPr>
                <w:sz w:val="12"/>
              </w:rPr>
            </w:pPr>
            <w:r>
              <w:rPr>
                <w:w w:val="104"/>
                <w:sz w:val="12"/>
              </w:rPr>
              <w:t>0</w:t>
            </w:r>
          </w:p>
        </w:tc>
        <w:tc>
          <w:tcPr>
            <w:tcW w:w="958" w:type="dxa"/>
          </w:tcPr>
          <w:p>
            <w:pPr>
              <w:pStyle w:val="TableParagraph"/>
              <w:spacing w:line="129" w:lineRule="exact" w:before="7"/>
              <w:ind w:right="150"/>
              <w:jc w:val="right"/>
              <w:rPr>
                <w:sz w:val="12"/>
              </w:rPr>
            </w:pPr>
            <w:r>
              <w:rPr>
                <w:w w:val="104"/>
                <w:sz w:val="12"/>
              </w:rPr>
              <w:t>0</w:t>
            </w:r>
          </w:p>
        </w:tc>
      </w:tr>
      <w:tr>
        <w:trPr>
          <w:trHeight w:val="153" w:hRule="atLeast"/>
        </w:trPr>
        <w:tc>
          <w:tcPr>
            <w:tcW w:w="6097" w:type="dxa"/>
          </w:tcPr>
          <w:p>
            <w:pPr>
              <w:pStyle w:val="TableParagraph"/>
              <w:spacing w:line="127" w:lineRule="exact" w:before="7"/>
              <w:ind w:left="125"/>
              <w:rPr>
                <w:sz w:val="12"/>
              </w:rPr>
            </w:pPr>
            <w:r>
              <w:rPr>
                <w:w w:val="105"/>
                <w:sz w:val="12"/>
              </w:rPr>
              <w:t>Transfers by absorption to (from) other bodies</w:t>
            </w:r>
          </w:p>
        </w:tc>
        <w:tc>
          <w:tcPr>
            <w:tcW w:w="1083" w:type="dxa"/>
          </w:tcPr>
          <w:p>
            <w:pPr>
              <w:pStyle w:val="TableParagraph"/>
              <w:spacing w:line="127" w:lineRule="exact" w:before="7"/>
              <w:ind w:right="164"/>
              <w:jc w:val="right"/>
              <w:rPr>
                <w:sz w:val="12"/>
              </w:rPr>
            </w:pPr>
            <w:r>
              <w:rPr>
                <w:w w:val="104"/>
                <w:sz w:val="12"/>
              </w:rPr>
              <w:t>0</w:t>
            </w:r>
          </w:p>
        </w:tc>
        <w:tc>
          <w:tcPr>
            <w:tcW w:w="886" w:type="dxa"/>
          </w:tcPr>
          <w:p>
            <w:pPr>
              <w:pStyle w:val="TableParagraph"/>
              <w:spacing w:line="127" w:lineRule="exact" w:before="7"/>
              <w:ind w:right="107"/>
              <w:jc w:val="right"/>
              <w:rPr>
                <w:sz w:val="12"/>
              </w:rPr>
            </w:pPr>
            <w:r>
              <w:rPr>
                <w:w w:val="104"/>
                <w:sz w:val="12"/>
              </w:rPr>
              <w:t>0</w:t>
            </w:r>
          </w:p>
        </w:tc>
        <w:tc>
          <w:tcPr>
            <w:tcW w:w="777" w:type="dxa"/>
          </w:tcPr>
          <w:p>
            <w:pPr>
              <w:pStyle w:val="TableParagraph"/>
              <w:spacing w:line="127" w:lineRule="exact" w:before="7"/>
              <w:ind w:right="169"/>
              <w:jc w:val="right"/>
              <w:rPr>
                <w:sz w:val="12"/>
              </w:rPr>
            </w:pPr>
            <w:r>
              <w:rPr>
                <w:w w:val="104"/>
                <w:sz w:val="12"/>
              </w:rPr>
              <w:t>0</w:t>
            </w:r>
          </w:p>
        </w:tc>
        <w:tc>
          <w:tcPr>
            <w:tcW w:w="958" w:type="dxa"/>
          </w:tcPr>
          <w:p>
            <w:pPr>
              <w:pStyle w:val="TableParagraph"/>
              <w:spacing w:line="127" w:lineRule="exact" w:before="7"/>
              <w:ind w:right="150"/>
              <w:jc w:val="right"/>
              <w:rPr>
                <w:sz w:val="12"/>
              </w:rPr>
            </w:pPr>
            <w:r>
              <w:rPr>
                <w:w w:val="104"/>
                <w:sz w:val="12"/>
              </w:rPr>
              <w:t>0</w:t>
            </w:r>
          </w:p>
        </w:tc>
      </w:tr>
      <w:tr>
        <w:trPr>
          <w:trHeight w:val="154" w:hRule="atLeast"/>
        </w:trPr>
        <w:tc>
          <w:tcPr>
            <w:tcW w:w="6097" w:type="dxa"/>
          </w:tcPr>
          <w:p>
            <w:pPr>
              <w:pStyle w:val="TableParagraph"/>
              <w:spacing w:line="130" w:lineRule="exact" w:before="4"/>
              <w:ind w:left="125"/>
              <w:rPr>
                <w:sz w:val="12"/>
              </w:rPr>
            </w:pPr>
            <w:r>
              <w:rPr>
                <w:w w:val="105"/>
                <w:sz w:val="12"/>
              </w:rPr>
              <w:t>Reserves eliminated on dissolution</w:t>
            </w:r>
          </w:p>
        </w:tc>
        <w:tc>
          <w:tcPr>
            <w:tcW w:w="1083" w:type="dxa"/>
          </w:tcPr>
          <w:p>
            <w:pPr>
              <w:pStyle w:val="TableParagraph"/>
              <w:tabs>
                <w:tab w:pos="841" w:val="left" w:leader="none"/>
              </w:tabs>
              <w:spacing w:line="130" w:lineRule="exact" w:before="4"/>
              <w:ind w:left="85"/>
              <w:rPr>
                <w:sz w:val="12"/>
              </w:rPr>
            </w:pPr>
            <w:r>
              <w:rPr>
                <w:w w:val="104"/>
                <w:sz w:val="12"/>
                <w:u w:val="single"/>
              </w:rPr>
              <w:t> </w:t>
            </w:r>
            <w:r>
              <w:rPr>
                <w:sz w:val="12"/>
                <w:u w:val="single"/>
              </w:rPr>
              <w:tab/>
            </w:r>
            <w:r>
              <w:rPr>
                <w:w w:val="105"/>
                <w:sz w:val="12"/>
                <w:u w:val="single"/>
              </w:rPr>
              <w:t>0</w:t>
            </w:r>
          </w:p>
        </w:tc>
        <w:tc>
          <w:tcPr>
            <w:tcW w:w="886" w:type="dxa"/>
          </w:tcPr>
          <w:p>
            <w:pPr>
              <w:pStyle w:val="TableParagraph"/>
              <w:tabs>
                <w:tab w:pos="724" w:val="left" w:leader="none"/>
              </w:tabs>
              <w:spacing w:line="130" w:lineRule="exact" w:before="4"/>
              <w:ind w:right="76"/>
              <w:jc w:val="right"/>
              <w:rPr>
                <w:sz w:val="12"/>
              </w:rPr>
            </w:pPr>
            <w:r>
              <w:rPr>
                <w:w w:val="104"/>
                <w:sz w:val="12"/>
                <w:u w:val="single"/>
              </w:rPr>
              <w:t> </w:t>
            </w:r>
            <w:r>
              <w:rPr>
                <w:sz w:val="12"/>
                <w:u w:val="single"/>
              </w:rPr>
              <w:tab/>
              <w:t>0</w:t>
            </w:r>
          </w:p>
        </w:tc>
        <w:tc>
          <w:tcPr>
            <w:tcW w:w="777" w:type="dxa"/>
          </w:tcPr>
          <w:p>
            <w:pPr>
              <w:pStyle w:val="TableParagraph"/>
              <w:tabs>
                <w:tab w:pos="496" w:val="left" w:leader="none"/>
              </w:tabs>
              <w:spacing w:line="130" w:lineRule="exact" w:before="4"/>
              <w:ind w:right="140"/>
              <w:jc w:val="right"/>
              <w:rPr>
                <w:sz w:val="12"/>
              </w:rPr>
            </w:pPr>
            <w:r>
              <w:rPr>
                <w:w w:val="104"/>
                <w:sz w:val="12"/>
                <w:u w:val="single"/>
              </w:rPr>
              <w:t> </w:t>
            </w:r>
            <w:r>
              <w:rPr>
                <w:sz w:val="12"/>
                <w:u w:val="single"/>
              </w:rPr>
              <w:tab/>
              <w:t>0</w:t>
            </w:r>
          </w:p>
        </w:tc>
        <w:tc>
          <w:tcPr>
            <w:tcW w:w="958" w:type="dxa"/>
          </w:tcPr>
          <w:p>
            <w:pPr>
              <w:pStyle w:val="TableParagraph"/>
              <w:tabs>
                <w:tab w:pos="755" w:val="left" w:leader="none"/>
              </w:tabs>
              <w:spacing w:line="130" w:lineRule="exact" w:before="4"/>
              <w:ind w:right="121"/>
              <w:jc w:val="right"/>
              <w:rPr>
                <w:sz w:val="12"/>
              </w:rPr>
            </w:pPr>
            <w:r>
              <w:rPr>
                <w:w w:val="104"/>
                <w:sz w:val="12"/>
                <w:u w:val="single"/>
              </w:rPr>
              <w:t> </w:t>
            </w:r>
            <w:r>
              <w:rPr>
                <w:sz w:val="12"/>
                <w:u w:val="single"/>
              </w:rPr>
              <w:tab/>
              <w:t>0</w:t>
            </w:r>
          </w:p>
        </w:tc>
      </w:tr>
      <w:tr>
        <w:trPr>
          <w:trHeight w:val="157" w:hRule="atLeast"/>
        </w:trPr>
        <w:tc>
          <w:tcPr>
            <w:tcW w:w="6097" w:type="dxa"/>
          </w:tcPr>
          <w:p>
            <w:pPr>
              <w:pStyle w:val="TableParagraph"/>
              <w:spacing w:line="129" w:lineRule="exact" w:before="8"/>
              <w:ind w:left="125"/>
              <w:rPr>
                <w:b/>
                <w:sz w:val="12"/>
              </w:rPr>
            </w:pPr>
            <w:r>
              <w:rPr>
                <w:b/>
                <w:w w:val="105"/>
                <w:sz w:val="12"/>
              </w:rPr>
              <w:t>Net Recognised NHS Clinical Commissioning Group Expenditure for the Financial year</w:t>
            </w:r>
          </w:p>
        </w:tc>
        <w:tc>
          <w:tcPr>
            <w:tcW w:w="1083" w:type="dxa"/>
          </w:tcPr>
          <w:p>
            <w:pPr>
              <w:pStyle w:val="TableParagraph"/>
              <w:spacing w:line="129" w:lineRule="exact" w:before="8"/>
              <w:ind w:left="373"/>
              <w:rPr>
                <w:b/>
                <w:sz w:val="12"/>
              </w:rPr>
            </w:pPr>
            <w:r>
              <w:rPr>
                <w:b/>
                <w:w w:val="105"/>
                <w:sz w:val="12"/>
              </w:rPr>
              <w:t>(319,448)</w:t>
            </w:r>
          </w:p>
        </w:tc>
        <w:tc>
          <w:tcPr>
            <w:tcW w:w="886" w:type="dxa"/>
          </w:tcPr>
          <w:p>
            <w:pPr>
              <w:pStyle w:val="TableParagraph"/>
              <w:spacing w:line="129" w:lineRule="exact" w:before="8"/>
              <w:ind w:right="107"/>
              <w:jc w:val="right"/>
              <w:rPr>
                <w:b/>
                <w:sz w:val="12"/>
              </w:rPr>
            </w:pPr>
            <w:r>
              <w:rPr>
                <w:b/>
                <w:w w:val="104"/>
                <w:sz w:val="12"/>
              </w:rPr>
              <w:t>0</w:t>
            </w:r>
          </w:p>
        </w:tc>
        <w:tc>
          <w:tcPr>
            <w:tcW w:w="777" w:type="dxa"/>
          </w:tcPr>
          <w:p>
            <w:pPr>
              <w:pStyle w:val="TableParagraph"/>
              <w:spacing w:line="129" w:lineRule="exact" w:before="8"/>
              <w:ind w:right="169"/>
              <w:jc w:val="right"/>
              <w:rPr>
                <w:b/>
                <w:sz w:val="12"/>
              </w:rPr>
            </w:pPr>
            <w:r>
              <w:rPr>
                <w:b/>
                <w:w w:val="104"/>
                <w:sz w:val="12"/>
              </w:rPr>
              <w:t>0</w:t>
            </w:r>
          </w:p>
        </w:tc>
        <w:tc>
          <w:tcPr>
            <w:tcW w:w="958" w:type="dxa"/>
          </w:tcPr>
          <w:p>
            <w:pPr>
              <w:pStyle w:val="TableParagraph"/>
              <w:spacing w:line="129" w:lineRule="exact" w:before="8"/>
              <w:ind w:right="154"/>
              <w:jc w:val="right"/>
              <w:rPr>
                <w:b/>
                <w:sz w:val="12"/>
              </w:rPr>
            </w:pPr>
            <w:r>
              <w:rPr>
                <w:b/>
                <w:sz w:val="12"/>
              </w:rPr>
              <w:t>(319,448)</w:t>
            </w:r>
          </w:p>
        </w:tc>
      </w:tr>
      <w:tr>
        <w:trPr>
          <w:trHeight w:val="158" w:hRule="atLeast"/>
        </w:trPr>
        <w:tc>
          <w:tcPr>
            <w:tcW w:w="6097" w:type="dxa"/>
          </w:tcPr>
          <w:p>
            <w:pPr>
              <w:pStyle w:val="TableParagraph"/>
              <w:spacing w:line="131" w:lineRule="exact" w:before="7"/>
              <w:ind w:left="125"/>
              <w:rPr>
                <w:sz w:val="12"/>
              </w:rPr>
            </w:pPr>
            <w:r>
              <w:rPr>
                <w:w w:val="105"/>
                <w:sz w:val="12"/>
              </w:rPr>
              <w:t>Net funding</w:t>
            </w:r>
          </w:p>
        </w:tc>
        <w:tc>
          <w:tcPr>
            <w:tcW w:w="1083" w:type="dxa"/>
          </w:tcPr>
          <w:p>
            <w:pPr>
              <w:pStyle w:val="TableParagraph"/>
              <w:tabs>
                <w:tab w:pos="457" w:val="left" w:leader="none"/>
              </w:tabs>
              <w:spacing w:line="131" w:lineRule="exact" w:before="7"/>
              <w:ind w:left="85"/>
              <w:rPr>
                <w:sz w:val="12"/>
              </w:rPr>
            </w:pPr>
            <w:r>
              <w:rPr>
                <w:w w:val="104"/>
                <w:sz w:val="12"/>
                <w:u w:val="single"/>
              </w:rPr>
              <w:t> </w:t>
            </w:r>
            <w:r>
              <w:rPr>
                <w:sz w:val="12"/>
                <w:u w:val="single"/>
              </w:rPr>
              <w:tab/>
            </w:r>
            <w:r>
              <w:rPr>
                <w:w w:val="105"/>
                <w:sz w:val="12"/>
                <w:u w:val="single"/>
              </w:rPr>
              <w:t>317,525</w:t>
            </w:r>
          </w:p>
        </w:tc>
        <w:tc>
          <w:tcPr>
            <w:tcW w:w="886" w:type="dxa"/>
          </w:tcPr>
          <w:p>
            <w:pPr>
              <w:pStyle w:val="TableParagraph"/>
              <w:tabs>
                <w:tab w:pos="724" w:val="left" w:leader="none"/>
              </w:tabs>
              <w:spacing w:line="131" w:lineRule="exact" w:before="7"/>
              <w:ind w:right="76"/>
              <w:jc w:val="right"/>
              <w:rPr>
                <w:sz w:val="12"/>
              </w:rPr>
            </w:pPr>
            <w:r>
              <w:rPr>
                <w:w w:val="104"/>
                <w:sz w:val="12"/>
                <w:u w:val="single"/>
              </w:rPr>
              <w:t> </w:t>
            </w:r>
            <w:r>
              <w:rPr>
                <w:sz w:val="12"/>
                <w:u w:val="single"/>
              </w:rPr>
              <w:tab/>
              <w:t>0</w:t>
            </w:r>
          </w:p>
        </w:tc>
        <w:tc>
          <w:tcPr>
            <w:tcW w:w="777" w:type="dxa"/>
          </w:tcPr>
          <w:p>
            <w:pPr>
              <w:pStyle w:val="TableParagraph"/>
              <w:tabs>
                <w:tab w:pos="496" w:val="left" w:leader="none"/>
              </w:tabs>
              <w:spacing w:line="131" w:lineRule="exact" w:before="7"/>
              <w:ind w:right="140"/>
              <w:jc w:val="right"/>
              <w:rPr>
                <w:sz w:val="12"/>
              </w:rPr>
            </w:pPr>
            <w:r>
              <w:rPr>
                <w:w w:val="104"/>
                <w:sz w:val="12"/>
                <w:u w:val="single"/>
              </w:rPr>
              <w:t> </w:t>
            </w:r>
            <w:r>
              <w:rPr>
                <w:sz w:val="12"/>
                <w:u w:val="single"/>
              </w:rPr>
              <w:tab/>
              <w:t>0</w:t>
            </w:r>
          </w:p>
        </w:tc>
        <w:tc>
          <w:tcPr>
            <w:tcW w:w="958" w:type="dxa"/>
          </w:tcPr>
          <w:p>
            <w:pPr>
              <w:pStyle w:val="TableParagraph"/>
              <w:tabs>
                <w:tab w:pos="371" w:val="left" w:leader="none"/>
              </w:tabs>
              <w:spacing w:line="131" w:lineRule="exact" w:before="7"/>
              <w:ind w:right="121"/>
              <w:jc w:val="right"/>
              <w:rPr>
                <w:b/>
                <w:sz w:val="12"/>
              </w:rPr>
            </w:pPr>
            <w:r>
              <w:rPr>
                <w:b/>
                <w:w w:val="104"/>
                <w:sz w:val="12"/>
                <w:u w:val="single"/>
              </w:rPr>
              <w:t> </w:t>
            </w:r>
            <w:r>
              <w:rPr>
                <w:b/>
                <w:sz w:val="12"/>
                <w:u w:val="single"/>
              </w:rPr>
              <w:tab/>
            </w:r>
            <w:r>
              <w:rPr>
                <w:b/>
                <w:spacing w:val="-1"/>
                <w:w w:val="105"/>
                <w:sz w:val="12"/>
                <w:u w:val="single"/>
              </w:rPr>
              <w:t>317,525</w:t>
            </w:r>
          </w:p>
        </w:tc>
      </w:tr>
      <w:tr>
        <w:trPr>
          <w:trHeight w:val="308" w:hRule="atLeast"/>
        </w:trPr>
        <w:tc>
          <w:tcPr>
            <w:tcW w:w="6097" w:type="dxa"/>
          </w:tcPr>
          <w:p>
            <w:pPr>
              <w:pStyle w:val="TableParagraph"/>
              <w:spacing w:before="9"/>
              <w:ind w:left="125"/>
              <w:rPr>
                <w:b/>
                <w:sz w:val="12"/>
              </w:rPr>
            </w:pPr>
            <w:r>
              <w:rPr>
                <w:b/>
                <w:w w:val="105"/>
                <w:sz w:val="12"/>
              </w:rPr>
              <w:t>Balance at 31 March 2022</w:t>
            </w:r>
          </w:p>
        </w:tc>
        <w:tc>
          <w:tcPr>
            <w:tcW w:w="1083" w:type="dxa"/>
          </w:tcPr>
          <w:p>
            <w:pPr>
              <w:pStyle w:val="TableParagraph"/>
              <w:tabs>
                <w:tab w:pos="440" w:val="left" w:leader="none"/>
              </w:tabs>
              <w:spacing w:before="9"/>
              <w:ind w:left="85"/>
              <w:rPr>
                <w:b/>
                <w:sz w:val="12"/>
              </w:rPr>
            </w:pPr>
            <w:r>
              <w:rPr>
                <w:b/>
                <w:w w:val="104"/>
                <w:sz w:val="12"/>
                <w:u w:val="single"/>
              </w:rPr>
              <w:t> </w:t>
            </w:r>
            <w:r>
              <w:rPr>
                <w:b/>
                <w:sz w:val="12"/>
                <w:u w:val="single"/>
              </w:rPr>
              <w:tab/>
            </w:r>
            <w:r>
              <w:rPr>
                <w:b/>
                <w:w w:val="105"/>
                <w:sz w:val="12"/>
                <w:u w:val="single"/>
              </w:rPr>
              <w:t>(19,435)</w:t>
            </w:r>
          </w:p>
        </w:tc>
        <w:tc>
          <w:tcPr>
            <w:tcW w:w="886" w:type="dxa"/>
          </w:tcPr>
          <w:p>
            <w:pPr>
              <w:pStyle w:val="TableParagraph"/>
              <w:tabs>
                <w:tab w:pos="724" w:val="left" w:leader="none"/>
              </w:tabs>
              <w:spacing w:before="9"/>
              <w:ind w:right="76"/>
              <w:jc w:val="right"/>
              <w:rPr>
                <w:b/>
                <w:sz w:val="12"/>
              </w:rPr>
            </w:pPr>
            <w:r>
              <w:rPr>
                <w:b/>
                <w:w w:val="104"/>
                <w:sz w:val="12"/>
                <w:u w:val="single"/>
              </w:rPr>
              <w:t> </w:t>
            </w:r>
            <w:r>
              <w:rPr>
                <w:b/>
                <w:sz w:val="12"/>
                <w:u w:val="single"/>
              </w:rPr>
              <w:tab/>
              <w:t>0</w:t>
            </w:r>
          </w:p>
        </w:tc>
        <w:tc>
          <w:tcPr>
            <w:tcW w:w="777" w:type="dxa"/>
          </w:tcPr>
          <w:p>
            <w:pPr>
              <w:pStyle w:val="TableParagraph"/>
              <w:tabs>
                <w:tab w:pos="496" w:val="left" w:leader="none"/>
              </w:tabs>
              <w:spacing w:before="9"/>
              <w:ind w:right="140"/>
              <w:jc w:val="right"/>
              <w:rPr>
                <w:b/>
                <w:sz w:val="12"/>
              </w:rPr>
            </w:pPr>
            <w:r>
              <w:rPr>
                <w:b/>
                <w:w w:val="104"/>
                <w:sz w:val="12"/>
                <w:u w:val="single"/>
              </w:rPr>
              <w:t> </w:t>
            </w:r>
            <w:r>
              <w:rPr>
                <w:b/>
                <w:sz w:val="12"/>
                <w:u w:val="single"/>
              </w:rPr>
              <w:tab/>
              <w:t>0</w:t>
            </w:r>
          </w:p>
        </w:tc>
        <w:tc>
          <w:tcPr>
            <w:tcW w:w="958" w:type="dxa"/>
          </w:tcPr>
          <w:p>
            <w:pPr>
              <w:pStyle w:val="TableParagraph"/>
              <w:tabs>
                <w:tab w:pos="355" w:val="left" w:leader="none"/>
              </w:tabs>
              <w:spacing w:before="9"/>
              <w:ind w:right="123"/>
              <w:jc w:val="right"/>
              <w:rPr>
                <w:b/>
                <w:sz w:val="12"/>
              </w:rPr>
            </w:pPr>
            <w:r>
              <w:rPr>
                <w:b/>
                <w:w w:val="104"/>
                <w:sz w:val="12"/>
                <w:u w:val="single"/>
              </w:rPr>
              <w:t> </w:t>
            </w:r>
            <w:r>
              <w:rPr>
                <w:b/>
                <w:sz w:val="12"/>
                <w:u w:val="single"/>
              </w:rPr>
              <w:tab/>
            </w:r>
            <w:r>
              <w:rPr>
                <w:b/>
                <w:spacing w:val="-1"/>
                <w:sz w:val="12"/>
                <w:u w:val="single"/>
              </w:rPr>
              <w:t>(19,435)</w:t>
            </w:r>
          </w:p>
        </w:tc>
      </w:tr>
      <w:tr>
        <w:trPr>
          <w:trHeight w:val="307" w:hRule="atLeast"/>
        </w:trPr>
        <w:tc>
          <w:tcPr>
            <w:tcW w:w="6097" w:type="dxa"/>
          </w:tcPr>
          <w:p>
            <w:pPr>
              <w:pStyle w:val="TableParagraph"/>
              <w:rPr>
                <w:rFonts w:ascii="Times New Roman"/>
                <w:sz w:val="12"/>
              </w:rPr>
            </w:pPr>
          </w:p>
        </w:tc>
        <w:tc>
          <w:tcPr>
            <w:tcW w:w="1083" w:type="dxa"/>
          </w:tcPr>
          <w:p>
            <w:pPr>
              <w:pStyle w:val="TableParagraph"/>
              <w:rPr>
                <w:rFonts w:ascii="Times New Roman"/>
                <w:sz w:val="12"/>
              </w:rPr>
            </w:pPr>
          </w:p>
        </w:tc>
        <w:tc>
          <w:tcPr>
            <w:tcW w:w="886" w:type="dxa"/>
          </w:tcPr>
          <w:p>
            <w:pPr>
              <w:pStyle w:val="TableParagraph"/>
              <w:spacing w:before="7"/>
              <w:rPr>
                <w:sz w:val="13"/>
              </w:rPr>
            </w:pPr>
          </w:p>
          <w:p>
            <w:pPr>
              <w:pStyle w:val="TableParagraph"/>
              <w:spacing w:line="130" w:lineRule="exact"/>
              <w:ind w:right="131"/>
              <w:jc w:val="right"/>
              <w:rPr>
                <w:b/>
                <w:sz w:val="12"/>
              </w:rPr>
            </w:pPr>
            <w:r>
              <w:rPr>
                <w:b/>
                <w:sz w:val="12"/>
              </w:rPr>
              <w:t>Revaluation</w:t>
            </w:r>
          </w:p>
        </w:tc>
        <w:tc>
          <w:tcPr>
            <w:tcW w:w="777" w:type="dxa"/>
          </w:tcPr>
          <w:p>
            <w:pPr>
              <w:pStyle w:val="TableParagraph"/>
              <w:spacing w:before="7"/>
              <w:rPr>
                <w:sz w:val="13"/>
              </w:rPr>
            </w:pPr>
          </w:p>
          <w:p>
            <w:pPr>
              <w:pStyle w:val="TableParagraph"/>
              <w:spacing w:line="130" w:lineRule="exact"/>
              <w:ind w:left="168"/>
              <w:rPr>
                <w:b/>
                <w:sz w:val="12"/>
              </w:rPr>
            </w:pPr>
            <w:r>
              <w:rPr>
                <w:b/>
                <w:w w:val="105"/>
                <w:sz w:val="12"/>
              </w:rPr>
              <w:t>Other</w:t>
            </w:r>
          </w:p>
        </w:tc>
        <w:tc>
          <w:tcPr>
            <w:tcW w:w="958" w:type="dxa"/>
          </w:tcPr>
          <w:p>
            <w:pPr>
              <w:pStyle w:val="TableParagraph"/>
              <w:spacing w:before="7"/>
              <w:rPr>
                <w:sz w:val="13"/>
              </w:rPr>
            </w:pPr>
          </w:p>
          <w:p>
            <w:pPr>
              <w:pStyle w:val="TableParagraph"/>
              <w:spacing w:line="130" w:lineRule="exact"/>
              <w:ind w:left="253"/>
              <w:rPr>
                <w:b/>
                <w:sz w:val="12"/>
              </w:rPr>
            </w:pPr>
            <w:r>
              <w:rPr>
                <w:b/>
                <w:w w:val="105"/>
                <w:sz w:val="12"/>
              </w:rPr>
              <w:t>Total</w:t>
            </w:r>
          </w:p>
        </w:tc>
      </w:tr>
      <w:tr>
        <w:trPr>
          <w:trHeight w:val="160" w:hRule="atLeast"/>
        </w:trPr>
        <w:tc>
          <w:tcPr>
            <w:tcW w:w="6097" w:type="dxa"/>
          </w:tcPr>
          <w:p>
            <w:pPr>
              <w:pStyle w:val="TableParagraph"/>
              <w:rPr>
                <w:rFonts w:ascii="Times New Roman"/>
                <w:sz w:val="10"/>
              </w:rPr>
            </w:pPr>
          </w:p>
        </w:tc>
        <w:tc>
          <w:tcPr>
            <w:tcW w:w="1083" w:type="dxa"/>
          </w:tcPr>
          <w:p>
            <w:pPr>
              <w:pStyle w:val="TableParagraph"/>
              <w:spacing w:line="133" w:lineRule="exact" w:before="8"/>
              <w:ind w:left="126"/>
              <w:rPr>
                <w:b/>
                <w:sz w:val="12"/>
              </w:rPr>
            </w:pPr>
            <w:r>
              <w:rPr>
                <w:b/>
                <w:w w:val="105"/>
                <w:sz w:val="12"/>
              </w:rPr>
              <w:t>General fund</w:t>
            </w:r>
          </w:p>
        </w:tc>
        <w:tc>
          <w:tcPr>
            <w:tcW w:w="886" w:type="dxa"/>
          </w:tcPr>
          <w:p>
            <w:pPr>
              <w:pStyle w:val="TableParagraph"/>
              <w:spacing w:line="133" w:lineRule="exact" w:before="8"/>
              <w:ind w:left="166"/>
              <w:rPr>
                <w:b/>
                <w:sz w:val="12"/>
              </w:rPr>
            </w:pPr>
            <w:r>
              <w:rPr>
                <w:b/>
                <w:w w:val="105"/>
                <w:sz w:val="12"/>
              </w:rPr>
              <w:t>reserve</w:t>
            </w:r>
          </w:p>
        </w:tc>
        <w:tc>
          <w:tcPr>
            <w:tcW w:w="777" w:type="dxa"/>
          </w:tcPr>
          <w:p>
            <w:pPr>
              <w:pStyle w:val="TableParagraph"/>
              <w:spacing w:line="133" w:lineRule="exact" w:before="8"/>
              <w:ind w:right="178"/>
              <w:jc w:val="right"/>
              <w:rPr>
                <w:b/>
                <w:sz w:val="12"/>
              </w:rPr>
            </w:pPr>
            <w:r>
              <w:rPr>
                <w:b/>
                <w:sz w:val="12"/>
              </w:rPr>
              <w:t>reserves</w:t>
            </w:r>
          </w:p>
        </w:tc>
        <w:tc>
          <w:tcPr>
            <w:tcW w:w="958" w:type="dxa"/>
          </w:tcPr>
          <w:p>
            <w:pPr>
              <w:pStyle w:val="TableParagraph"/>
              <w:spacing w:line="133" w:lineRule="exact" w:before="8"/>
              <w:ind w:left="145"/>
              <w:rPr>
                <w:b/>
                <w:sz w:val="12"/>
              </w:rPr>
            </w:pPr>
            <w:r>
              <w:rPr>
                <w:b/>
                <w:w w:val="105"/>
                <w:sz w:val="12"/>
              </w:rPr>
              <w:t>reserves</w:t>
            </w:r>
          </w:p>
        </w:tc>
      </w:tr>
      <w:tr>
        <w:trPr>
          <w:trHeight w:val="159" w:hRule="atLeast"/>
        </w:trPr>
        <w:tc>
          <w:tcPr>
            <w:tcW w:w="6097" w:type="dxa"/>
          </w:tcPr>
          <w:p>
            <w:pPr>
              <w:pStyle w:val="TableParagraph"/>
              <w:rPr>
                <w:rFonts w:ascii="Times New Roman"/>
                <w:sz w:val="10"/>
              </w:rPr>
            </w:pPr>
          </w:p>
        </w:tc>
        <w:tc>
          <w:tcPr>
            <w:tcW w:w="1083" w:type="dxa"/>
          </w:tcPr>
          <w:p>
            <w:pPr>
              <w:pStyle w:val="TableParagraph"/>
              <w:spacing w:line="129" w:lineRule="exact" w:before="10"/>
              <w:ind w:left="347" w:right="384"/>
              <w:jc w:val="center"/>
              <w:rPr>
                <w:b/>
                <w:sz w:val="12"/>
              </w:rPr>
            </w:pPr>
            <w:r>
              <w:rPr>
                <w:b/>
                <w:w w:val="105"/>
                <w:sz w:val="12"/>
              </w:rPr>
              <w:t>£'000</w:t>
            </w:r>
          </w:p>
        </w:tc>
        <w:tc>
          <w:tcPr>
            <w:tcW w:w="886" w:type="dxa"/>
          </w:tcPr>
          <w:p>
            <w:pPr>
              <w:pStyle w:val="TableParagraph"/>
              <w:spacing w:line="129" w:lineRule="exact" w:before="10"/>
              <w:ind w:left="246"/>
              <w:rPr>
                <w:b/>
                <w:sz w:val="12"/>
              </w:rPr>
            </w:pPr>
            <w:r>
              <w:rPr>
                <w:b/>
                <w:w w:val="105"/>
                <w:sz w:val="12"/>
              </w:rPr>
              <w:t>£'000</w:t>
            </w:r>
          </w:p>
        </w:tc>
        <w:tc>
          <w:tcPr>
            <w:tcW w:w="777" w:type="dxa"/>
          </w:tcPr>
          <w:p>
            <w:pPr>
              <w:pStyle w:val="TableParagraph"/>
              <w:spacing w:line="129" w:lineRule="exact" w:before="10"/>
              <w:ind w:left="188"/>
              <w:rPr>
                <w:b/>
                <w:sz w:val="12"/>
              </w:rPr>
            </w:pPr>
            <w:r>
              <w:rPr>
                <w:b/>
                <w:w w:val="105"/>
                <w:sz w:val="12"/>
              </w:rPr>
              <w:t>£'000</w:t>
            </w:r>
          </w:p>
        </w:tc>
        <w:tc>
          <w:tcPr>
            <w:tcW w:w="958" w:type="dxa"/>
          </w:tcPr>
          <w:p>
            <w:pPr>
              <w:pStyle w:val="TableParagraph"/>
              <w:spacing w:line="129" w:lineRule="exact" w:before="10"/>
              <w:ind w:left="255"/>
              <w:rPr>
                <w:b/>
                <w:sz w:val="12"/>
              </w:rPr>
            </w:pPr>
            <w:r>
              <w:rPr>
                <w:b/>
                <w:w w:val="105"/>
                <w:sz w:val="12"/>
              </w:rPr>
              <w:t>£'000</w:t>
            </w:r>
          </w:p>
        </w:tc>
      </w:tr>
      <w:tr>
        <w:trPr>
          <w:trHeight w:val="231" w:hRule="atLeast"/>
        </w:trPr>
        <w:tc>
          <w:tcPr>
            <w:tcW w:w="6097" w:type="dxa"/>
          </w:tcPr>
          <w:p>
            <w:pPr>
              <w:pStyle w:val="TableParagraph"/>
              <w:spacing w:before="7"/>
              <w:ind w:left="125"/>
              <w:rPr>
                <w:b/>
                <w:sz w:val="12"/>
              </w:rPr>
            </w:pPr>
            <w:r>
              <w:rPr>
                <w:b/>
                <w:w w:val="105"/>
                <w:sz w:val="12"/>
              </w:rPr>
              <w:t>Changes in taxpayers’ equity for 2020-21</w:t>
            </w:r>
          </w:p>
        </w:tc>
        <w:tc>
          <w:tcPr>
            <w:tcW w:w="1083" w:type="dxa"/>
          </w:tcPr>
          <w:p>
            <w:pPr>
              <w:pStyle w:val="TableParagraph"/>
              <w:rPr>
                <w:rFonts w:ascii="Times New Roman"/>
                <w:sz w:val="12"/>
              </w:rPr>
            </w:pPr>
          </w:p>
        </w:tc>
        <w:tc>
          <w:tcPr>
            <w:tcW w:w="886" w:type="dxa"/>
          </w:tcPr>
          <w:p>
            <w:pPr>
              <w:pStyle w:val="TableParagraph"/>
              <w:rPr>
                <w:rFonts w:ascii="Times New Roman"/>
                <w:sz w:val="12"/>
              </w:rPr>
            </w:pPr>
          </w:p>
        </w:tc>
        <w:tc>
          <w:tcPr>
            <w:tcW w:w="777" w:type="dxa"/>
          </w:tcPr>
          <w:p>
            <w:pPr>
              <w:pStyle w:val="TableParagraph"/>
              <w:rPr>
                <w:rFonts w:ascii="Times New Roman"/>
                <w:sz w:val="12"/>
              </w:rPr>
            </w:pPr>
          </w:p>
        </w:tc>
        <w:tc>
          <w:tcPr>
            <w:tcW w:w="958" w:type="dxa"/>
          </w:tcPr>
          <w:p>
            <w:pPr>
              <w:pStyle w:val="TableParagraph"/>
              <w:rPr>
                <w:rFonts w:ascii="Times New Roman"/>
                <w:sz w:val="12"/>
              </w:rPr>
            </w:pPr>
          </w:p>
        </w:tc>
      </w:tr>
      <w:tr>
        <w:trPr>
          <w:trHeight w:val="231" w:hRule="atLeast"/>
        </w:trPr>
        <w:tc>
          <w:tcPr>
            <w:tcW w:w="6097" w:type="dxa"/>
          </w:tcPr>
          <w:p>
            <w:pPr>
              <w:pStyle w:val="TableParagraph"/>
              <w:spacing w:line="129" w:lineRule="exact" w:before="82"/>
              <w:ind w:left="125"/>
              <w:rPr>
                <w:b/>
                <w:sz w:val="12"/>
              </w:rPr>
            </w:pPr>
            <w:r>
              <w:rPr>
                <w:b/>
                <w:w w:val="105"/>
                <w:sz w:val="12"/>
              </w:rPr>
              <w:t>Balance at 01 April 2020</w:t>
            </w:r>
          </w:p>
        </w:tc>
        <w:tc>
          <w:tcPr>
            <w:tcW w:w="1083" w:type="dxa"/>
          </w:tcPr>
          <w:p>
            <w:pPr>
              <w:pStyle w:val="TableParagraph"/>
              <w:spacing w:line="129" w:lineRule="exact" w:before="82"/>
              <w:ind w:left="443"/>
              <w:rPr>
                <w:sz w:val="12"/>
              </w:rPr>
            </w:pPr>
            <w:r>
              <w:rPr>
                <w:w w:val="105"/>
                <w:sz w:val="12"/>
              </w:rPr>
              <w:t>(16,283)</w:t>
            </w:r>
          </w:p>
        </w:tc>
        <w:tc>
          <w:tcPr>
            <w:tcW w:w="886" w:type="dxa"/>
          </w:tcPr>
          <w:p>
            <w:pPr>
              <w:pStyle w:val="TableParagraph"/>
              <w:spacing w:line="129" w:lineRule="exact" w:before="82"/>
              <w:ind w:right="107"/>
              <w:jc w:val="right"/>
              <w:rPr>
                <w:sz w:val="12"/>
              </w:rPr>
            </w:pPr>
            <w:r>
              <w:rPr>
                <w:w w:val="104"/>
                <w:sz w:val="12"/>
              </w:rPr>
              <w:t>0</w:t>
            </w:r>
          </w:p>
        </w:tc>
        <w:tc>
          <w:tcPr>
            <w:tcW w:w="777" w:type="dxa"/>
          </w:tcPr>
          <w:p>
            <w:pPr>
              <w:pStyle w:val="TableParagraph"/>
              <w:spacing w:line="129" w:lineRule="exact" w:before="82"/>
              <w:ind w:right="169"/>
              <w:jc w:val="right"/>
              <w:rPr>
                <w:sz w:val="12"/>
              </w:rPr>
            </w:pPr>
            <w:r>
              <w:rPr>
                <w:w w:val="104"/>
                <w:sz w:val="12"/>
              </w:rPr>
              <w:t>0</w:t>
            </w:r>
          </w:p>
        </w:tc>
        <w:tc>
          <w:tcPr>
            <w:tcW w:w="958" w:type="dxa"/>
          </w:tcPr>
          <w:p>
            <w:pPr>
              <w:pStyle w:val="TableParagraph"/>
              <w:spacing w:line="129" w:lineRule="exact" w:before="82"/>
              <w:ind w:right="154"/>
              <w:jc w:val="right"/>
              <w:rPr>
                <w:b/>
                <w:sz w:val="12"/>
              </w:rPr>
            </w:pPr>
            <w:r>
              <w:rPr>
                <w:b/>
                <w:sz w:val="12"/>
              </w:rPr>
              <w:t>(16,283)</w:t>
            </w:r>
          </w:p>
        </w:tc>
      </w:tr>
      <w:tr>
        <w:trPr>
          <w:trHeight w:val="158" w:hRule="atLeast"/>
        </w:trPr>
        <w:tc>
          <w:tcPr>
            <w:tcW w:w="6097" w:type="dxa"/>
          </w:tcPr>
          <w:p>
            <w:pPr>
              <w:pStyle w:val="TableParagraph"/>
              <w:spacing w:line="131" w:lineRule="exact" w:before="7"/>
              <w:ind w:left="125"/>
              <w:rPr>
                <w:sz w:val="12"/>
              </w:rPr>
            </w:pPr>
            <w:r>
              <w:rPr>
                <w:w w:val="105"/>
                <w:sz w:val="12"/>
              </w:rPr>
              <w:t>Transfer of assets and liabilities from closed NHS bodies</w:t>
            </w:r>
          </w:p>
        </w:tc>
        <w:tc>
          <w:tcPr>
            <w:tcW w:w="1083" w:type="dxa"/>
          </w:tcPr>
          <w:p>
            <w:pPr>
              <w:pStyle w:val="TableParagraph"/>
              <w:tabs>
                <w:tab w:pos="841" w:val="left" w:leader="none"/>
              </w:tabs>
              <w:spacing w:line="131" w:lineRule="exact" w:before="7"/>
              <w:ind w:left="85"/>
              <w:rPr>
                <w:sz w:val="12"/>
              </w:rPr>
            </w:pPr>
            <w:r>
              <w:rPr>
                <w:w w:val="104"/>
                <w:sz w:val="12"/>
                <w:u w:val="single"/>
              </w:rPr>
              <w:t> </w:t>
            </w:r>
            <w:r>
              <w:rPr>
                <w:sz w:val="12"/>
                <w:u w:val="single"/>
              </w:rPr>
              <w:tab/>
            </w:r>
            <w:r>
              <w:rPr>
                <w:w w:val="105"/>
                <w:sz w:val="12"/>
                <w:u w:val="single"/>
              </w:rPr>
              <w:t>0</w:t>
            </w:r>
          </w:p>
        </w:tc>
        <w:tc>
          <w:tcPr>
            <w:tcW w:w="886" w:type="dxa"/>
          </w:tcPr>
          <w:p>
            <w:pPr>
              <w:pStyle w:val="TableParagraph"/>
              <w:tabs>
                <w:tab w:pos="724" w:val="left" w:leader="none"/>
              </w:tabs>
              <w:spacing w:line="131" w:lineRule="exact" w:before="7"/>
              <w:ind w:right="76"/>
              <w:jc w:val="right"/>
              <w:rPr>
                <w:sz w:val="12"/>
              </w:rPr>
            </w:pPr>
            <w:r>
              <w:rPr>
                <w:w w:val="104"/>
                <w:sz w:val="12"/>
                <w:u w:val="single"/>
              </w:rPr>
              <w:t> </w:t>
            </w:r>
            <w:r>
              <w:rPr>
                <w:sz w:val="12"/>
                <w:u w:val="single"/>
              </w:rPr>
              <w:tab/>
              <w:t>0</w:t>
            </w:r>
          </w:p>
        </w:tc>
        <w:tc>
          <w:tcPr>
            <w:tcW w:w="777" w:type="dxa"/>
          </w:tcPr>
          <w:p>
            <w:pPr>
              <w:pStyle w:val="TableParagraph"/>
              <w:tabs>
                <w:tab w:pos="496" w:val="left" w:leader="none"/>
              </w:tabs>
              <w:spacing w:line="131" w:lineRule="exact" w:before="7"/>
              <w:ind w:right="140"/>
              <w:jc w:val="right"/>
              <w:rPr>
                <w:sz w:val="12"/>
              </w:rPr>
            </w:pPr>
            <w:r>
              <w:rPr>
                <w:w w:val="104"/>
                <w:sz w:val="12"/>
                <w:u w:val="single"/>
              </w:rPr>
              <w:t> </w:t>
            </w:r>
            <w:r>
              <w:rPr>
                <w:sz w:val="12"/>
                <w:u w:val="single"/>
              </w:rPr>
              <w:tab/>
              <w:t>0</w:t>
            </w:r>
          </w:p>
        </w:tc>
        <w:tc>
          <w:tcPr>
            <w:tcW w:w="958" w:type="dxa"/>
          </w:tcPr>
          <w:p>
            <w:pPr>
              <w:pStyle w:val="TableParagraph"/>
              <w:tabs>
                <w:tab w:pos="755" w:val="left" w:leader="none"/>
              </w:tabs>
              <w:spacing w:line="131" w:lineRule="exact" w:before="7"/>
              <w:ind w:right="121"/>
              <w:jc w:val="right"/>
              <w:rPr>
                <w:b/>
                <w:sz w:val="12"/>
              </w:rPr>
            </w:pPr>
            <w:r>
              <w:rPr>
                <w:b/>
                <w:w w:val="104"/>
                <w:sz w:val="12"/>
                <w:u w:val="single"/>
              </w:rPr>
              <w:t> </w:t>
            </w:r>
            <w:r>
              <w:rPr>
                <w:b/>
                <w:sz w:val="12"/>
                <w:u w:val="single"/>
              </w:rPr>
              <w:tab/>
              <w:t>0</w:t>
            </w:r>
          </w:p>
        </w:tc>
      </w:tr>
      <w:tr>
        <w:trPr>
          <w:trHeight w:val="235" w:hRule="atLeast"/>
        </w:trPr>
        <w:tc>
          <w:tcPr>
            <w:tcW w:w="6097" w:type="dxa"/>
          </w:tcPr>
          <w:p>
            <w:pPr>
              <w:pStyle w:val="TableParagraph"/>
              <w:spacing w:before="9"/>
              <w:ind w:left="125"/>
              <w:rPr>
                <w:b/>
                <w:sz w:val="12"/>
              </w:rPr>
            </w:pPr>
            <w:r>
              <w:rPr>
                <w:b/>
                <w:w w:val="105"/>
                <w:sz w:val="12"/>
              </w:rPr>
              <w:t>Adjusted NHS Clinical Commissioning Group balance at 31 March 2021</w:t>
            </w:r>
          </w:p>
        </w:tc>
        <w:tc>
          <w:tcPr>
            <w:tcW w:w="1083" w:type="dxa"/>
          </w:tcPr>
          <w:p>
            <w:pPr>
              <w:pStyle w:val="TableParagraph"/>
              <w:spacing w:before="9"/>
              <w:ind w:left="443"/>
              <w:rPr>
                <w:b/>
                <w:sz w:val="12"/>
              </w:rPr>
            </w:pPr>
            <w:r>
              <w:rPr>
                <w:b/>
                <w:w w:val="105"/>
                <w:sz w:val="12"/>
              </w:rPr>
              <w:t>(16,283)</w:t>
            </w:r>
          </w:p>
        </w:tc>
        <w:tc>
          <w:tcPr>
            <w:tcW w:w="886" w:type="dxa"/>
          </w:tcPr>
          <w:p>
            <w:pPr>
              <w:pStyle w:val="TableParagraph"/>
              <w:spacing w:before="9"/>
              <w:ind w:right="107"/>
              <w:jc w:val="right"/>
              <w:rPr>
                <w:b/>
                <w:sz w:val="12"/>
              </w:rPr>
            </w:pPr>
            <w:r>
              <w:rPr>
                <w:b/>
                <w:w w:val="104"/>
                <w:sz w:val="12"/>
              </w:rPr>
              <w:t>0</w:t>
            </w:r>
          </w:p>
        </w:tc>
        <w:tc>
          <w:tcPr>
            <w:tcW w:w="777" w:type="dxa"/>
          </w:tcPr>
          <w:p>
            <w:pPr>
              <w:pStyle w:val="TableParagraph"/>
              <w:spacing w:before="9"/>
              <w:ind w:right="169"/>
              <w:jc w:val="right"/>
              <w:rPr>
                <w:b/>
                <w:sz w:val="12"/>
              </w:rPr>
            </w:pPr>
            <w:r>
              <w:rPr>
                <w:b/>
                <w:w w:val="104"/>
                <w:sz w:val="12"/>
              </w:rPr>
              <w:t>0</w:t>
            </w:r>
          </w:p>
        </w:tc>
        <w:tc>
          <w:tcPr>
            <w:tcW w:w="958" w:type="dxa"/>
          </w:tcPr>
          <w:p>
            <w:pPr>
              <w:pStyle w:val="TableParagraph"/>
              <w:spacing w:before="9"/>
              <w:ind w:right="154"/>
              <w:jc w:val="right"/>
              <w:rPr>
                <w:b/>
                <w:sz w:val="12"/>
              </w:rPr>
            </w:pPr>
            <w:r>
              <w:rPr>
                <w:b/>
                <w:sz w:val="12"/>
              </w:rPr>
              <w:t>(16,283)</w:t>
            </w:r>
          </w:p>
        </w:tc>
      </w:tr>
      <w:tr>
        <w:trPr>
          <w:trHeight w:val="465" w:hRule="atLeast"/>
        </w:trPr>
        <w:tc>
          <w:tcPr>
            <w:tcW w:w="6097" w:type="dxa"/>
          </w:tcPr>
          <w:p>
            <w:pPr>
              <w:pStyle w:val="TableParagraph"/>
              <w:spacing w:before="84"/>
              <w:ind w:left="125"/>
              <w:rPr>
                <w:b/>
                <w:sz w:val="12"/>
              </w:rPr>
            </w:pPr>
            <w:r>
              <w:rPr>
                <w:b/>
                <w:w w:val="105"/>
                <w:sz w:val="12"/>
              </w:rPr>
              <w:t>Changes in NHS Clinical Commissioning Group taxpayers’ equity for 2020-21</w:t>
            </w:r>
          </w:p>
          <w:p>
            <w:pPr>
              <w:pStyle w:val="TableParagraph"/>
              <w:spacing w:before="20"/>
              <w:ind w:left="125"/>
              <w:rPr>
                <w:sz w:val="12"/>
              </w:rPr>
            </w:pPr>
            <w:r>
              <w:rPr>
                <w:w w:val="105"/>
                <w:sz w:val="12"/>
              </w:rPr>
              <w:t>Net operating costs for the financial year</w:t>
            </w:r>
          </w:p>
        </w:tc>
        <w:tc>
          <w:tcPr>
            <w:tcW w:w="1083" w:type="dxa"/>
          </w:tcPr>
          <w:p>
            <w:pPr>
              <w:pStyle w:val="TableParagraph"/>
              <w:rPr>
                <w:sz w:val="12"/>
              </w:rPr>
            </w:pPr>
          </w:p>
          <w:p>
            <w:pPr>
              <w:pStyle w:val="TableParagraph"/>
              <w:spacing w:before="104"/>
              <w:ind w:left="373"/>
              <w:rPr>
                <w:sz w:val="12"/>
              </w:rPr>
            </w:pPr>
            <w:r>
              <w:rPr>
                <w:w w:val="105"/>
                <w:sz w:val="12"/>
              </w:rPr>
              <w:t>(297,814)</w:t>
            </w:r>
          </w:p>
        </w:tc>
        <w:tc>
          <w:tcPr>
            <w:tcW w:w="886" w:type="dxa"/>
          </w:tcPr>
          <w:p>
            <w:pPr>
              <w:pStyle w:val="TableParagraph"/>
              <w:rPr>
                <w:rFonts w:ascii="Times New Roman"/>
                <w:sz w:val="12"/>
              </w:rPr>
            </w:pPr>
          </w:p>
        </w:tc>
        <w:tc>
          <w:tcPr>
            <w:tcW w:w="777" w:type="dxa"/>
          </w:tcPr>
          <w:p>
            <w:pPr>
              <w:pStyle w:val="TableParagraph"/>
              <w:rPr>
                <w:rFonts w:ascii="Times New Roman"/>
                <w:sz w:val="12"/>
              </w:rPr>
            </w:pPr>
          </w:p>
        </w:tc>
        <w:tc>
          <w:tcPr>
            <w:tcW w:w="958" w:type="dxa"/>
          </w:tcPr>
          <w:p>
            <w:pPr>
              <w:pStyle w:val="TableParagraph"/>
              <w:rPr>
                <w:sz w:val="12"/>
              </w:rPr>
            </w:pPr>
          </w:p>
          <w:p>
            <w:pPr>
              <w:pStyle w:val="TableParagraph"/>
              <w:spacing w:before="104"/>
              <w:ind w:right="154"/>
              <w:jc w:val="right"/>
              <w:rPr>
                <w:sz w:val="12"/>
              </w:rPr>
            </w:pPr>
            <w:r>
              <w:rPr>
                <w:w w:val="105"/>
                <w:sz w:val="12"/>
              </w:rPr>
              <w:t>(297,814)</w:t>
            </w:r>
          </w:p>
        </w:tc>
      </w:tr>
      <w:tr>
        <w:trPr>
          <w:trHeight w:val="230" w:hRule="atLeast"/>
        </w:trPr>
        <w:tc>
          <w:tcPr>
            <w:tcW w:w="6097" w:type="dxa"/>
          </w:tcPr>
          <w:p>
            <w:pPr>
              <w:pStyle w:val="TableParagraph"/>
              <w:spacing w:line="129" w:lineRule="exact" w:before="81"/>
              <w:ind w:left="125"/>
              <w:rPr>
                <w:sz w:val="12"/>
              </w:rPr>
            </w:pPr>
            <w:r>
              <w:rPr>
                <w:w w:val="105"/>
                <w:sz w:val="12"/>
              </w:rPr>
              <w:t>Net gain/(loss) on revaluation of property, plant and equipment</w:t>
            </w:r>
          </w:p>
        </w:tc>
        <w:tc>
          <w:tcPr>
            <w:tcW w:w="1083" w:type="dxa"/>
          </w:tcPr>
          <w:p>
            <w:pPr>
              <w:pStyle w:val="TableParagraph"/>
              <w:rPr>
                <w:rFonts w:ascii="Times New Roman"/>
                <w:sz w:val="12"/>
              </w:rPr>
            </w:pPr>
          </w:p>
        </w:tc>
        <w:tc>
          <w:tcPr>
            <w:tcW w:w="886" w:type="dxa"/>
          </w:tcPr>
          <w:p>
            <w:pPr>
              <w:pStyle w:val="TableParagraph"/>
              <w:spacing w:line="129" w:lineRule="exact" w:before="81"/>
              <w:ind w:right="107"/>
              <w:jc w:val="right"/>
              <w:rPr>
                <w:sz w:val="12"/>
              </w:rPr>
            </w:pPr>
            <w:r>
              <w:rPr>
                <w:w w:val="104"/>
                <w:sz w:val="12"/>
              </w:rPr>
              <w:t>0</w:t>
            </w:r>
          </w:p>
        </w:tc>
        <w:tc>
          <w:tcPr>
            <w:tcW w:w="777" w:type="dxa"/>
          </w:tcPr>
          <w:p>
            <w:pPr>
              <w:pStyle w:val="TableParagraph"/>
              <w:rPr>
                <w:rFonts w:ascii="Times New Roman"/>
                <w:sz w:val="12"/>
              </w:rPr>
            </w:pPr>
          </w:p>
        </w:tc>
        <w:tc>
          <w:tcPr>
            <w:tcW w:w="958" w:type="dxa"/>
          </w:tcPr>
          <w:p>
            <w:pPr>
              <w:pStyle w:val="TableParagraph"/>
              <w:spacing w:line="129" w:lineRule="exact" w:before="81"/>
              <w:ind w:right="150"/>
              <w:jc w:val="right"/>
              <w:rPr>
                <w:sz w:val="12"/>
              </w:rPr>
            </w:pPr>
            <w:r>
              <w:rPr>
                <w:w w:val="104"/>
                <w:sz w:val="12"/>
              </w:rPr>
              <w:t>0</w:t>
            </w:r>
          </w:p>
        </w:tc>
      </w:tr>
      <w:tr>
        <w:trPr>
          <w:trHeight w:val="156" w:hRule="atLeast"/>
        </w:trPr>
        <w:tc>
          <w:tcPr>
            <w:tcW w:w="6097" w:type="dxa"/>
          </w:tcPr>
          <w:p>
            <w:pPr>
              <w:pStyle w:val="TableParagraph"/>
              <w:spacing w:line="129" w:lineRule="exact" w:before="7"/>
              <w:ind w:left="125"/>
              <w:rPr>
                <w:sz w:val="12"/>
              </w:rPr>
            </w:pPr>
            <w:r>
              <w:rPr>
                <w:w w:val="105"/>
                <w:sz w:val="12"/>
              </w:rPr>
              <w:t>Net gain/(loss) on revaluation of intangible assets</w:t>
            </w:r>
          </w:p>
        </w:tc>
        <w:tc>
          <w:tcPr>
            <w:tcW w:w="1083" w:type="dxa"/>
          </w:tcPr>
          <w:p>
            <w:pPr>
              <w:pStyle w:val="TableParagraph"/>
              <w:rPr>
                <w:rFonts w:ascii="Times New Roman"/>
                <w:sz w:val="10"/>
              </w:rPr>
            </w:pPr>
          </w:p>
        </w:tc>
        <w:tc>
          <w:tcPr>
            <w:tcW w:w="886" w:type="dxa"/>
          </w:tcPr>
          <w:p>
            <w:pPr>
              <w:pStyle w:val="TableParagraph"/>
              <w:spacing w:line="129" w:lineRule="exact" w:before="7"/>
              <w:ind w:right="107"/>
              <w:jc w:val="right"/>
              <w:rPr>
                <w:sz w:val="12"/>
              </w:rPr>
            </w:pPr>
            <w:r>
              <w:rPr>
                <w:w w:val="104"/>
                <w:sz w:val="12"/>
              </w:rPr>
              <w:t>0</w:t>
            </w:r>
          </w:p>
        </w:tc>
        <w:tc>
          <w:tcPr>
            <w:tcW w:w="777" w:type="dxa"/>
          </w:tcPr>
          <w:p>
            <w:pPr>
              <w:pStyle w:val="TableParagraph"/>
              <w:rPr>
                <w:rFonts w:ascii="Times New Roman"/>
                <w:sz w:val="10"/>
              </w:rPr>
            </w:pPr>
          </w:p>
        </w:tc>
        <w:tc>
          <w:tcPr>
            <w:tcW w:w="958" w:type="dxa"/>
          </w:tcPr>
          <w:p>
            <w:pPr>
              <w:pStyle w:val="TableParagraph"/>
              <w:spacing w:line="129" w:lineRule="exact" w:before="7"/>
              <w:ind w:right="150"/>
              <w:jc w:val="right"/>
              <w:rPr>
                <w:sz w:val="12"/>
              </w:rPr>
            </w:pPr>
            <w:r>
              <w:rPr>
                <w:w w:val="104"/>
                <w:sz w:val="12"/>
              </w:rPr>
              <w:t>0</w:t>
            </w:r>
          </w:p>
        </w:tc>
      </w:tr>
      <w:tr>
        <w:trPr>
          <w:trHeight w:val="158" w:hRule="atLeast"/>
        </w:trPr>
        <w:tc>
          <w:tcPr>
            <w:tcW w:w="6097" w:type="dxa"/>
          </w:tcPr>
          <w:p>
            <w:pPr>
              <w:pStyle w:val="TableParagraph"/>
              <w:spacing w:line="131" w:lineRule="exact" w:before="7"/>
              <w:ind w:left="125"/>
              <w:rPr>
                <w:sz w:val="12"/>
              </w:rPr>
            </w:pPr>
            <w:r>
              <w:rPr>
                <w:w w:val="105"/>
                <w:sz w:val="12"/>
              </w:rPr>
              <w:t>Net gain/(loss) on revaluation of financial assets</w:t>
            </w:r>
          </w:p>
        </w:tc>
        <w:tc>
          <w:tcPr>
            <w:tcW w:w="1083" w:type="dxa"/>
          </w:tcPr>
          <w:p>
            <w:pPr>
              <w:pStyle w:val="TableParagraph"/>
              <w:tabs>
                <w:tab w:pos="973" w:val="left" w:leader="none"/>
              </w:tabs>
              <w:spacing w:line="131" w:lineRule="exact" w:before="7"/>
              <w:ind w:left="90"/>
              <w:rPr>
                <w:sz w:val="12"/>
              </w:rPr>
            </w:pPr>
            <w:r>
              <w:rPr>
                <w:w w:val="104"/>
                <w:sz w:val="12"/>
                <w:u w:val="single"/>
              </w:rPr>
              <w:t> </w:t>
            </w:r>
            <w:r>
              <w:rPr>
                <w:sz w:val="12"/>
                <w:u w:val="single"/>
              </w:rPr>
              <w:tab/>
            </w:r>
          </w:p>
        </w:tc>
        <w:tc>
          <w:tcPr>
            <w:tcW w:w="886" w:type="dxa"/>
          </w:tcPr>
          <w:p>
            <w:pPr>
              <w:pStyle w:val="TableParagraph"/>
              <w:tabs>
                <w:tab w:pos="724" w:val="left" w:leader="none"/>
              </w:tabs>
              <w:spacing w:line="131" w:lineRule="exact" w:before="7"/>
              <w:ind w:right="76"/>
              <w:jc w:val="right"/>
              <w:rPr>
                <w:sz w:val="12"/>
              </w:rPr>
            </w:pPr>
            <w:r>
              <w:rPr>
                <w:w w:val="104"/>
                <w:sz w:val="12"/>
                <w:u w:val="single"/>
              </w:rPr>
              <w:t> </w:t>
            </w:r>
            <w:r>
              <w:rPr>
                <w:sz w:val="12"/>
                <w:u w:val="single"/>
              </w:rPr>
              <w:tab/>
              <w:t>0</w:t>
            </w:r>
          </w:p>
        </w:tc>
        <w:tc>
          <w:tcPr>
            <w:tcW w:w="777" w:type="dxa"/>
          </w:tcPr>
          <w:p>
            <w:pPr>
              <w:pStyle w:val="TableParagraph"/>
              <w:tabs>
                <w:tab w:pos="623" w:val="left" w:leader="none"/>
              </w:tabs>
              <w:spacing w:line="131" w:lineRule="exact" w:before="7"/>
              <w:ind w:right="109"/>
              <w:jc w:val="right"/>
              <w:rPr>
                <w:sz w:val="12"/>
              </w:rPr>
            </w:pPr>
            <w:r>
              <w:rPr>
                <w:w w:val="104"/>
                <w:sz w:val="12"/>
                <w:u w:val="single"/>
              </w:rPr>
              <w:t> </w:t>
            </w:r>
            <w:r>
              <w:rPr>
                <w:sz w:val="12"/>
                <w:u w:val="single"/>
              </w:rPr>
              <w:tab/>
            </w:r>
          </w:p>
        </w:tc>
        <w:tc>
          <w:tcPr>
            <w:tcW w:w="958" w:type="dxa"/>
          </w:tcPr>
          <w:p>
            <w:pPr>
              <w:pStyle w:val="TableParagraph"/>
              <w:tabs>
                <w:tab w:pos="755" w:val="left" w:leader="none"/>
              </w:tabs>
              <w:spacing w:line="131" w:lineRule="exact" w:before="7"/>
              <w:ind w:right="121"/>
              <w:jc w:val="right"/>
              <w:rPr>
                <w:sz w:val="12"/>
              </w:rPr>
            </w:pPr>
            <w:r>
              <w:rPr>
                <w:w w:val="104"/>
                <w:sz w:val="12"/>
                <w:u w:val="single"/>
              </w:rPr>
              <w:t> </w:t>
            </w:r>
            <w:r>
              <w:rPr>
                <w:sz w:val="12"/>
                <w:u w:val="single"/>
              </w:rPr>
              <w:tab/>
              <w:t>0</w:t>
            </w:r>
          </w:p>
        </w:tc>
      </w:tr>
      <w:tr>
        <w:trPr>
          <w:trHeight w:val="231" w:hRule="atLeast"/>
        </w:trPr>
        <w:tc>
          <w:tcPr>
            <w:tcW w:w="6097" w:type="dxa"/>
          </w:tcPr>
          <w:p>
            <w:pPr>
              <w:pStyle w:val="TableParagraph"/>
              <w:spacing w:before="9"/>
              <w:ind w:left="125"/>
              <w:rPr>
                <w:b/>
                <w:sz w:val="12"/>
              </w:rPr>
            </w:pPr>
            <w:r>
              <w:rPr>
                <w:b/>
                <w:w w:val="105"/>
                <w:sz w:val="12"/>
              </w:rPr>
              <w:t>Total revaluations against revaluation reserve</w:t>
            </w:r>
          </w:p>
        </w:tc>
        <w:tc>
          <w:tcPr>
            <w:tcW w:w="1083" w:type="dxa"/>
          </w:tcPr>
          <w:p>
            <w:pPr>
              <w:pStyle w:val="TableParagraph"/>
              <w:rPr>
                <w:rFonts w:ascii="Times New Roman"/>
                <w:sz w:val="12"/>
              </w:rPr>
            </w:pPr>
          </w:p>
        </w:tc>
        <w:tc>
          <w:tcPr>
            <w:tcW w:w="886" w:type="dxa"/>
          </w:tcPr>
          <w:p>
            <w:pPr>
              <w:pStyle w:val="TableParagraph"/>
              <w:spacing w:before="9"/>
              <w:ind w:right="107"/>
              <w:jc w:val="right"/>
              <w:rPr>
                <w:sz w:val="12"/>
              </w:rPr>
            </w:pPr>
            <w:r>
              <w:rPr>
                <w:w w:val="104"/>
                <w:sz w:val="12"/>
              </w:rPr>
              <w:t>0</w:t>
            </w:r>
          </w:p>
        </w:tc>
        <w:tc>
          <w:tcPr>
            <w:tcW w:w="777" w:type="dxa"/>
          </w:tcPr>
          <w:p>
            <w:pPr>
              <w:pStyle w:val="TableParagraph"/>
              <w:rPr>
                <w:rFonts w:ascii="Times New Roman"/>
                <w:sz w:val="12"/>
              </w:rPr>
            </w:pPr>
          </w:p>
        </w:tc>
        <w:tc>
          <w:tcPr>
            <w:tcW w:w="958" w:type="dxa"/>
          </w:tcPr>
          <w:p>
            <w:pPr>
              <w:pStyle w:val="TableParagraph"/>
              <w:spacing w:before="9"/>
              <w:ind w:right="150"/>
              <w:jc w:val="right"/>
              <w:rPr>
                <w:b/>
                <w:sz w:val="12"/>
              </w:rPr>
            </w:pPr>
            <w:r>
              <w:rPr>
                <w:b/>
                <w:w w:val="104"/>
                <w:sz w:val="12"/>
              </w:rPr>
              <w:t>0</w:t>
            </w:r>
          </w:p>
        </w:tc>
      </w:tr>
      <w:tr>
        <w:trPr>
          <w:trHeight w:val="231" w:hRule="atLeast"/>
        </w:trPr>
        <w:tc>
          <w:tcPr>
            <w:tcW w:w="6097" w:type="dxa"/>
          </w:tcPr>
          <w:p>
            <w:pPr>
              <w:pStyle w:val="TableParagraph"/>
              <w:spacing w:line="131" w:lineRule="exact" w:before="80"/>
              <w:ind w:left="125"/>
              <w:rPr>
                <w:sz w:val="12"/>
              </w:rPr>
            </w:pPr>
            <w:r>
              <w:rPr>
                <w:w w:val="105"/>
                <w:sz w:val="12"/>
              </w:rPr>
              <w:t>Net gain (loss) on available for sale financial assets</w:t>
            </w:r>
          </w:p>
        </w:tc>
        <w:tc>
          <w:tcPr>
            <w:tcW w:w="1083" w:type="dxa"/>
          </w:tcPr>
          <w:p>
            <w:pPr>
              <w:pStyle w:val="TableParagraph"/>
              <w:spacing w:line="131" w:lineRule="exact" w:before="80"/>
              <w:ind w:right="164"/>
              <w:jc w:val="right"/>
              <w:rPr>
                <w:sz w:val="12"/>
              </w:rPr>
            </w:pPr>
            <w:r>
              <w:rPr>
                <w:w w:val="104"/>
                <w:sz w:val="12"/>
              </w:rPr>
              <w:t>0</w:t>
            </w:r>
          </w:p>
        </w:tc>
        <w:tc>
          <w:tcPr>
            <w:tcW w:w="886" w:type="dxa"/>
          </w:tcPr>
          <w:p>
            <w:pPr>
              <w:pStyle w:val="TableParagraph"/>
              <w:spacing w:line="131" w:lineRule="exact" w:before="80"/>
              <w:ind w:right="107"/>
              <w:jc w:val="right"/>
              <w:rPr>
                <w:sz w:val="12"/>
              </w:rPr>
            </w:pPr>
            <w:r>
              <w:rPr>
                <w:w w:val="104"/>
                <w:sz w:val="12"/>
              </w:rPr>
              <w:t>0</w:t>
            </w:r>
          </w:p>
        </w:tc>
        <w:tc>
          <w:tcPr>
            <w:tcW w:w="777" w:type="dxa"/>
          </w:tcPr>
          <w:p>
            <w:pPr>
              <w:pStyle w:val="TableParagraph"/>
              <w:spacing w:line="131" w:lineRule="exact" w:before="80"/>
              <w:ind w:right="169"/>
              <w:jc w:val="right"/>
              <w:rPr>
                <w:sz w:val="12"/>
              </w:rPr>
            </w:pPr>
            <w:r>
              <w:rPr>
                <w:w w:val="104"/>
                <w:sz w:val="12"/>
              </w:rPr>
              <w:t>0</w:t>
            </w:r>
          </w:p>
        </w:tc>
        <w:tc>
          <w:tcPr>
            <w:tcW w:w="958" w:type="dxa"/>
          </w:tcPr>
          <w:p>
            <w:pPr>
              <w:pStyle w:val="TableParagraph"/>
              <w:spacing w:line="131" w:lineRule="exact" w:before="80"/>
              <w:ind w:right="150"/>
              <w:jc w:val="right"/>
              <w:rPr>
                <w:sz w:val="12"/>
              </w:rPr>
            </w:pPr>
            <w:r>
              <w:rPr>
                <w:w w:val="104"/>
                <w:sz w:val="12"/>
              </w:rPr>
              <w:t>0</w:t>
            </w:r>
          </w:p>
        </w:tc>
      </w:tr>
      <w:tr>
        <w:trPr>
          <w:trHeight w:val="311" w:hRule="atLeast"/>
        </w:trPr>
        <w:tc>
          <w:tcPr>
            <w:tcW w:w="6097" w:type="dxa"/>
          </w:tcPr>
          <w:p>
            <w:pPr>
              <w:pStyle w:val="TableParagraph"/>
              <w:spacing w:before="9"/>
              <w:ind w:left="125"/>
              <w:rPr>
                <w:sz w:val="12"/>
              </w:rPr>
            </w:pPr>
            <w:r>
              <w:rPr>
                <w:w w:val="105"/>
                <w:sz w:val="12"/>
              </w:rPr>
              <w:t>Net gain/(loss) on revaluation of other investments and Financial Assets (excluding available for sale</w:t>
            </w:r>
          </w:p>
          <w:p>
            <w:pPr>
              <w:pStyle w:val="TableParagraph"/>
              <w:spacing w:line="129" w:lineRule="exact" w:before="16"/>
              <w:ind w:left="125"/>
              <w:rPr>
                <w:sz w:val="12"/>
              </w:rPr>
            </w:pPr>
            <w:r>
              <w:rPr>
                <w:w w:val="105"/>
                <w:sz w:val="12"/>
              </w:rPr>
              <w:t>financial assets)</w:t>
            </w:r>
          </w:p>
        </w:tc>
        <w:tc>
          <w:tcPr>
            <w:tcW w:w="1083" w:type="dxa"/>
          </w:tcPr>
          <w:p>
            <w:pPr>
              <w:pStyle w:val="TableParagraph"/>
              <w:spacing w:before="2"/>
              <w:rPr>
                <w:sz w:val="14"/>
              </w:rPr>
            </w:pPr>
          </w:p>
          <w:p>
            <w:pPr>
              <w:pStyle w:val="TableParagraph"/>
              <w:spacing w:line="129" w:lineRule="exact"/>
              <w:ind w:right="164"/>
              <w:jc w:val="right"/>
              <w:rPr>
                <w:sz w:val="12"/>
              </w:rPr>
            </w:pPr>
            <w:r>
              <w:rPr>
                <w:w w:val="104"/>
                <w:sz w:val="12"/>
              </w:rPr>
              <w:t>0</w:t>
            </w:r>
          </w:p>
        </w:tc>
        <w:tc>
          <w:tcPr>
            <w:tcW w:w="886" w:type="dxa"/>
          </w:tcPr>
          <w:p>
            <w:pPr>
              <w:pStyle w:val="TableParagraph"/>
              <w:spacing w:before="2"/>
              <w:rPr>
                <w:sz w:val="14"/>
              </w:rPr>
            </w:pPr>
          </w:p>
          <w:p>
            <w:pPr>
              <w:pStyle w:val="TableParagraph"/>
              <w:spacing w:line="129" w:lineRule="exact"/>
              <w:ind w:right="107"/>
              <w:jc w:val="right"/>
              <w:rPr>
                <w:sz w:val="12"/>
              </w:rPr>
            </w:pPr>
            <w:r>
              <w:rPr>
                <w:w w:val="104"/>
                <w:sz w:val="12"/>
              </w:rPr>
              <w:t>0</w:t>
            </w:r>
          </w:p>
        </w:tc>
        <w:tc>
          <w:tcPr>
            <w:tcW w:w="777" w:type="dxa"/>
          </w:tcPr>
          <w:p>
            <w:pPr>
              <w:pStyle w:val="TableParagraph"/>
              <w:spacing w:before="2"/>
              <w:rPr>
                <w:sz w:val="14"/>
              </w:rPr>
            </w:pPr>
          </w:p>
          <w:p>
            <w:pPr>
              <w:pStyle w:val="TableParagraph"/>
              <w:spacing w:line="129" w:lineRule="exact"/>
              <w:ind w:right="166"/>
              <w:jc w:val="right"/>
              <w:rPr>
                <w:sz w:val="12"/>
              </w:rPr>
            </w:pPr>
            <w:r>
              <w:rPr>
                <w:w w:val="104"/>
                <w:sz w:val="12"/>
              </w:rPr>
              <w:t>0</w:t>
            </w:r>
          </w:p>
        </w:tc>
        <w:tc>
          <w:tcPr>
            <w:tcW w:w="958" w:type="dxa"/>
          </w:tcPr>
          <w:p>
            <w:pPr>
              <w:pStyle w:val="TableParagraph"/>
              <w:spacing w:before="2"/>
              <w:rPr>
                <w:sz w:val="14"/>
              </w:rPr>
            </w:pPr>
          </w:p>
          <w:p>
            <w:pPr>
              <w:pStyle w:val="TableParagraph"/>
              <w:spacing w:line="129" w:lineRule="exact"/>
              <w:ind w:right="150"/>
              <w:jc w:val="right"/>
              <w:rPr>
                <w:sz w:val="12"/>
              </w:rPr>
            </w:pPr>
            <w:r>
              <w:rPr>
                <w:w w:val="104"/>
                <w:sz w:val="12"/>
              </w:rPr>
              <w:t>0</w:t>
            </w:r>
          </w:p>
        </w:tc>
      </w:tr>
      <w:tr>
        <w:trPr>
          <w:trHeight w:val="156" w:hRule="atLeast"/>
        </w:trPr>
        <w:tc>
          <w:tcPr>
            <w:tcW w:w="6097" w:type="dxa"/>
          </w:tcPr>
          <w:p>
            <w:pPr>
              <w:pStyle w:val="TableParagraph"/>
              <w:spacing w:line="129" w:lineRule="exact" w:before="7"/>
              <w:ind w:left="125"/>
              <w:rPr>
                <w:sz w:val="12"/>
              </w:rPr>
            </w:pPr>
            <w:r>
              <w:rPr>
                <w:w w:val="105"/>
                <w:sz w:val="12"/>
              </w:rPr>
              <w:t>Net gain (loss) on revaluation of assets held for sale</w:t>
            </w:r>
          </w:p>
        </w:tc>
        <w:tc>
          <w:tcPr>
            <w:tcW w:w="1083" w:type="dxa"/>
          </w:tcPr>
          <w:p>
            <w:pPr>
              <w:pStyle w:val="TableParagraph"/>
              <w:spacing w:line="129" w:lineRule="exact" w:before="7"/>
              <w:ind w:right="164"/>
              <w:jc w:val="right"/>
              <w:rPr>
                <w:sz w:val="12"/>
              </w:rPr>
            </w:pPr>
            <w:r>
              <w:rPr>
                <w:w w:val="104"/>
                <w:sz w:val="12"/>
              </w:rPr>
              <w:t>0</w:t>
            </w:r>
          </w:p>
        </w:tc>
        <w:tc>
          <w:tcPr>
            <w:tcW w:w="886" w:type="dxa"/>
          </w:tcPr>
          <w:p>
            <w:pPr>
              <w:pStyle w:val="TableParagraph"/>
              <w:spacing w:line="129" w:lineRule="exact" w:before="7"/>
              <w:ind w:right="107"/>
              <w:jc w:val="right"/>
              <w:rPr>
                <w:sz w:val="12"/>
              </w:rPr>
            </w:pPr>
            <w:r>
              <w:rPr>
                <w:w w:val="104"/>
                <w:sz w:val="12"/>
              </w:rPr>
              <w:t>0</w:t>
            </w:r>
          </w:p>
        </w:tc>
        <w:tc>
          <w:tcPr>
            <w:tcW w:w="777" w:type="dxa"/>
          </w:tcPr>
          <w:p>
            <w:pPr>
              <w:pStyle w:val="TableParagraph"/>
              <w:spacing w:line="129" w:lineRule="exact" w:before="7"/>
              <w:ind w:right="169"/>
              <w:jc w:val="right"/>
              <w:rPr>
                <w:sz w:val="12"/>
              </w:rPr>
            </w:pPr>
            <w:r>
              <w:rPr>
                <w:w w:val="104"/>
                <w:sz w:val="12"/>
              </w:rPr>
              <w:t>0</w:t>
            </w:r>
          </w:p>
        </w:tc>
        <w:tc>
          <w:tcPr>
            <w:tcW w:w="958" w:type="dxa"/>
          </w:tcPr>
          <w:p>
            <w:pPr>
              <w:pStyle w:val="TableParagraph"/>
              <w:spacing w:line="129" w:lineRule="exact" w:before="7"/>
              <w:ind w:right="150"/>
              <w:jc w:val="right"/>
              <w:rPr>
                <w:sz w:val="12"/>
              </w:rPr>
            </w:pPr>
            <w:r>
              <w:rPr>
                <w:w w:val="104"/>
                <w:sz w:val="12"/>
              </w:rPr>
              <w:t>0</w:t>
            </w:r>
          </w:p>
        </w:tc>
      </w:tr>
      <w:tr>
        <w:trPr>
          <w:trHeight w:val="154" w:hRule="atLeast"/>
        </w:trPr>
        <w:tc>
          <w:tcPr>
            <w:tcW w:w="6097" w:type="dxa"/>
          </w:tcPr>
          <w:p>
            <w:pPr>
              <w:pStyle w:val="TableParagraph"/>
              <w:spacing w:line="128" w:lineRule="exact" w:before="7"/>
              <w:ind w:left="125"/>
              <w:rPr>
                <w:sz w:val="12"/>
              </w:rPr>
            </w:pPr>
            <w:r>
              <w:rPr>
                <w:w w:val="105"/>
                <w:sz w:val="12"/>
              </w:rPr>
              <w:t>Impairments and reversals</w:t>
            </w:r>
          </w:p>
        </w:tc>
        <w:tc>
          <w:tcPr>
            <w:tcW w:w="1083" w:type="dxa"/>
          </w:tcPr>
          <w:p>
            <w:pPr>
              <w:pStyle w:val="TableParagraph"/>
              <w:spacing w:line="128" w:lineRule="exact" w:before="7"/>
              <w:ind w:right="164"/>
              <w:jc w:val="right"/>
              <w:rPr>
                <w:sz w:val="12"/>
              </w:rPr>
            </w:pPr>
            <w:r>
              <w:rPr>
                <w:w w:val="104"/>
                <w:sz w:val="12"/>
              </w:rPr>
              <w:t>0</w:t>
            </w:r>
          </w:p>
        </w:tc>
        <w:tc>
          <w:tcPr>
            <w:tcW w:w="886" w:type="dxa"/>
          </w:tcPr>
          <w:p>
            <w:pPr>
              <w:pStyle w:val="TableParagraph"/>
              <w:spacing w:line="128" w:lineRule="exact" w:before="7"/>
              <w:ind w:right="107"/>
              <w:jc w:val="right"/>
              <w:rPr>
                <w:sz w:val="12"/>
              </w:rPr>
            </w:pPr>
            <w:r>
              <w:rPr>
                <w:w w:val="104"/>
                <w:sz w:val="12"/>
              </w:rPr>
              <w:t>0</w:t>
            </w:r>
          </w:p>
        </w:tc>
        <w:tc>
          <w:tcPr>
            <w:tcW w:w="777" w:type="dxa"/>
          </w:tcPr>
          <w:p>
            <w:pPr>
              <w:pStyle w:val="TableParagraph"/>
              <w:spacing w:line="128" w:lineRule="exact" w:before="7"/>
              <w:ind w:right="169"/>
              <w:jc w:val="right"/>
              <w:rPr>
                <w:sz w:val="12"/>
              </w:rPr>
            </w:pPr>
            <w:r>
              <w:rPr>
                <w:w w:val="104"/>
                <w:sz w:val="12"/>
              </w:rPr>
              <w:t>0</w:t>
            </w:r>
          </w:p>
        </w:tc>
        <w:tc>
          <w:tcPr>
            <w:tcW w:w="958" w:type="dxa"/>
          </w:tcPr>
          <w:p>
            <w:pPr>
              <w:pStyle w:val="TableParagraph"/>
              <w:spacing w:line="128" w:lineRule="exact" w:before="7"/>
              <w:ind w:right="150"/>
              <w:jc w:val="right"/>
              <w:rPr>
                <w:sz w:val="12"/>
              </w:rPr>
            </w:pPr>
            <w:r>
              <w:rPr>
                <w:w w:val="104"/>
                <w:sz w:val="12"/>
              </w:rPr>
              <w:t>0</w:t>
            </w:r>
          </w:p>
        </w:tc>
      </w:tr>
      <w:tr>
        <w:trPr>
          <w:trHeight w:val="154" w:hRule="atLeast"/>
        </w:trPr>
        <w:tc>
          <w:tcPr>
            <w:tcW w:w="6097" w:type="dxa"/>
          </w:tcPr>
          <w:p>
            <w:pPr>
              <w:pStyle w:val="TableParagraph"/>
              <w:spacing w:line="129" w:lineRule="exact" w:before="6"/>
              <w:ind w:left="125"/>
              <w:rPr>
                <w:sz w:val="12"/>
              </w:rPr>
            </w:pPr>
            <w:r>
              <w:rPr>
                <w:w w:val="105"/>
                <w:sz w:val="12"/>
              </w:rPr>
              <w:t>Net actuarial gain (loss) on pensions</w:t>
            </w:r>
          </w:p>
        </w:tc>
        <w:tc>
          <w:tcPr>
            <w:tcW w:w="1083" w:type="dxa"/>
          </w:tcPr>
          <w:p>
            <w:pPr>
              <w:pStyle w:val="TableParagraph"/>
              <w:spacing w:line="129" w:lineRule="exact" w:before="6"/>
              <w:ind w:right="164"/>
              <w:jc w:val="right"/>
              <w:rPr>
                <w:sz w:val="12"/>
              </w:rPr>
            </w:pPr>
            <w:r>
              <w:rPr>
                <w:w w:val="104"/>
                <w:sz w:val="12"/>
              </w:rPr>
              <w:t>0</w:t>
            </w:r>
          </w:p>
        </w:tc>
        <w:tc>
          <w:tcPr>
            <w:tcW w:w="886" w:type="dxa"/>
          </w:tcPr>
          <w:p>
            <w:pPr>
              <w:pStyle w:val="TableParagraph"/>
              <w:spacing w:line="129" w:lineRule="exact" w:before="6"/>
              <w:ind w:right="107"/>
              <w:jc w:val="right"/>
              <w:rPr>
                <w:sz w:val="12"/>
              </w:rPr>
            </w:pPr>
            <w:r>
              <w:rPr>
                <w:w w:val="104"/>
                <w:sz w:val="12"/>
              </w:rPr>
              <w:t>0</w:t>
            </w:r>
          </w:p>
        </w:tc>
        <w:tc>
          <w:tcPr>
            <w:tcW w:w="777" w:type="dxa"/>
          </w:tcPr>
          <w:p>
            <w:pPr>
              <w:pStyle w:val="TableParagraph"/>
              <w:spacing w:line="129" w:lineRule="exact" w:before="6"/>
              <w:ind w:right="169"/>
              <w:jc w:val="right"/>
              <w:rPr>
                <w:sz w:val="12"/>
              </w:rPr>
            </w:pPr>
            <w:r>
              <w:rPr>
                <w:w w:val="104"/>
                <w:sz w:val="12"/>
              </w:rPr>
              <w:t>0</w:t>
            </w:r>
          </w:p>
        </w:tc>
        <w:tc>
          <w:tcPr>
            <w:tcW w:w="958" w:type="dxa"/>
          </w:tcPr>
          <w:p>
            <w:pPr>
              <w:pStyle w:val="TableParagraph"/>
              <w:spacing w:line="129" w:lineRule="exact" w:before="6"/>
              <w:ind w:right="150"/>
              <w:jc w:val="right"/>
              <w:rPr>
                <w:sz w:val="12"/>
              </w:rPr>
            </w:pPr>
            <w:r>
              <w:rPr>
                <w:w w:val="104"/>
                <w:sz w:val="12"/>
              </w:rPr>
              <w:t>0</w:t>
            </w:r>
          </w:p>
        </w:tc>
      </w:tr>
      <w:tr>
        <w:trPr>
          <w:trHeight w:val="156" w:hRule="atLeast"/>
        </w:trPr>
        <w:tc>
          <w:tcPr>
            <w:tcW w:w="6097" w:type="dxa"/>
          </w:tcPr>
          <w:p>
            <w:pPr>
              <w:pStyle w:val="TableParagraph"/>
              <w:spacing w:line="129" w:lineRule="exact" w:before="7"/>
              <w:ind w:left="125"/>
              <w:rPr>
                <w:sz w:val="12"/>
              </w:rPr>
            </w:pPr>
            <w:r>
              <w:rPr>
                <w:w w:val="105"/>
                <w:sz w:val="12"/>
              </w:rPr>
              <w:t>Movements in other reserves</w:t>
            </w:r>
          </w:p>
        </w:tc>
        <w:tc>
          <w:tcPr>
            <w:tcW w:w="1083" w:type="dxa"/>
          </w:tcPr>
          <w:p>
            <w:pPr>
              <w:pStyle w:val="TableParagraph"/>
              <w:spacing w:line="129" w:lineRule="exact" w:before="7"/>
              <w:ind w:right="164"/>
              <w:jc w:val="right"/>
              <w:rPr>
                <w:sz w:val="12"/>
              </w:rPr>
            </w:pPr>
            <w:r>
              <w:rPr>
                <w:w w:val="104"/>
                <w:sz w:val="12"/>
              </w:rPr>
              <w:t>0</w:t>
            </w:r>
          </w:p>
        </w:tc>
        <w:tc>
          <w:tcPr>
            <w:tcW w:w="886" w:type="dxa"/>
          </w:tcPr>
          <w:p>
            <w:pPr>
              <w:pStyle w:val="TableParagraph"/>
              <w:spacing w:line="129" w:lineRule="exact" w:before="7"/>
              <w:ind w:right="107"/>
              <w:jc w:val="right"/>
              <w:rPr>
                <w:sz w:val="12"/>
              </w:rPr>
            </w:pPr>
            <w:r>
              <w:rPr>
                <w:w w:val="104"/>
                <w:sz w:val="12"/>
              </w:rPr>
              <w:t>0</w:t>
            </w:r>
          </w:p>
        </w:tc>
        <w:tc>
          <w:tcPr>
            <w:tcW w:w="777" w:type="dxa"/>
          </w:tcPr>
          <w:p>
            <w:pPr>
              <w:pStyle w:val="TableParagraph"/>
              <w:spacing w:line="129" w:lineRule="exact" w:before="7"/>
              <w:ind w:right="169"/>
              <w:jc w:val="right"/>
              <w:rPr>
                <w:sz w:val="12"/>
              </w:rPr>
            </w:pPr>
            <w:r>
              <w:rPr>
                <w:w w:val="104"/>
                <w:sz w:val="12"/>
              </w:rPr>
              <w:t>0</w:t>
            </w:r>
          </w:p>
        </w:tc>
        <w:tc>
          <w:tcPr>
            <w:tcW w:w="958" w:type="dxa"/>
          </w:tcPr>
          <w:p>
            <w:pPr>
              <w:pStyle w:val="TableParagraph"/>
              <w:spacing w:line="129" w:lineRule="exact" w:before="7"/>
              <w:ind w:right="150"/>
              <w:jc w:val="right"/>
              <w:rPr>
                <w:sz w:val="12"/>
              </w:rPr>
            </w:pPr>
            <w:r>
              <w:rPr>
                <w:w w:val="104"/>
                <w:sz w:val="12"/>
              </w:rPr>
              <w:t>0</w:t>
            </w:r>
          </w:p>
        </w:tc>
      </w:tr>
      <w:tr>
        <w:trPr>
          <w:trHeight w:val="155" w:hRule="atLeast"/>
        </w:trPr>
        <w:tc>
          <w:tcPr>
            <w:tcW w:w="6097" w:type="dxa"/>
          </w:tcPr>
          <w:p>
            <w:pPr>
              <w:pStyle w:val="TableParagraph"/>
              <w:spacing w:line="129" w:lineRule="exact" w:before="7"/>
              <w:ind w:left="125"/>
              <w:rPr>
                <w:sz w:val="12"/>
              </w:rPr>
            </w:pPr>
            <w:r>
              <w:rPr>
                <w:w w:val="105"/>
                <w:sz w:val="12"/>
              </w:rPr>
              <w:t>Transfers between reserves</w:t>
            </w:r>
          </w:p>
        </w:tc>
        <w:tc>
          <w:tcPr>
            <w:tcW w:w="1083" w:type="dxa"/>
          </w:tcPr>
          <w:p>
            <w:pPr>
              <w:pStyle w:val="TableParagraph"/>
              <w:spacing w:line="129" w:lineRule="exact" w:before="7"/>
              <w:ind w:right="164"/>
              <w:jc w:val="right"/>
              <w:rPr>
                <w:sz w:val="12"/>
              </w:rPr>
            </w:pPr>
            <w:r>
              <w:rPr>
                <w:w w:val="104"/>
                <w:sz w:val="12"/>
              </w:rPr>
              <w:t>0</w:t>
            </w:r>
          </w:p>
        </w:tc>
        <w:tc>
          <w:tcPr>
            <w:tcW w:w="886" w:type="dxa"/>
          </w:tcPr>
          <w:p>
            <w:pPr>
              <w:pStyle w:val="TableParagraph"/>
              <w:spacing w:line="129" w:lineRule="exact" w:before="7"/>
              <w:ind w:right="107"/>
              <w:jc w:val="right"/>
              <w:rPr>
                <w:sz w:val="12"/>
              </w:rPr>
            </w:pPr>
            <w:r>
              <w:rPr>
                <w:w w:val="104"/>
                <w:sz w:val="12"/>
              </w:rPr>
              <w:t>0</w:t>
            </w:r>
          </w:p>
        </w:tc>
        <w:tc>
          <w:tcPr>
            <w:tcW w:w="777" w:type="dxa"/>
          </w:tcPr>
          <w:p>
            <w:pPr>
              <w:pStyle w:val="TableParagraph"/>
              <w:spacing w:line="129" w:lineRule="exact" w:before="7"/>
              <w:ind w:right="169"/>
              <w:jc w:val="right"/>
              <w:rPr>
                <w:sz w:val="12"/>
              </w:rPr>
            </w:pPr>
            <w:r>
              <w:rPr>
                <w:w w:val="104"/>
                <w:sz w:val="12"/>
              </w:rPr>
              <w:t>0</w:t>
            </w:r>
          </w:p>
        </w:tc>
        <w:tc>
          <w:tcPr>
            <w:tcW w:w="958" w:type="dxa"/>
          </w:tcPr>
          <w:p>
            <w:pPr>
              <w:pStyle w:val="TableParagraph"/>
              <w:spacing w:line="129" w:lineRule="exact" w:before="7"/>
              <w:ind w:right="150"/>
              <w:jc w:val="right"/>
              <w:rPr>
                <w:sz w:val="12"/>
              </w:rPr>
            </w:pPr>
            <w:r>
              <w:rPr>
                <w:w w:val="104"/>
                <w:sz w:val="12"/>
              </w:rPr>
              <w:t>0</w:t>
            </w:r>
          </w:p>
        </w:tc>
      </w:tr>
      <w:tr>
        <w:trPr>
          <w:trHeight w:val="154" w:hRule="atLeast"/>
        </w:trPr>
        <w:tc>
          <w:tcPr>
            <w:tcW w:w="6097" w:type="dxa"/>
          </w:tcPr>
          <w:p>
            <w:pPr>
              <w:pStyle w:val="TableParagraph"/>
              <w:spacing w:line="128" w:lineRule="exact" w:before="7"/>
              <w:ind w:left="125"/>
              <w:rPr>
                <w:sz w:val="12"/>
              </w:rPr>
            </w:pPr>
            <w:r>
              <w:rPr>
                <w:w w:val="105"/>
                <w:sz w:val="12"/>
              </w:rPr>
              <w:t>Release of reserves to the Statement of Comprehensive Net Expenditure</w:t>
            </w:r>
          </w:p>
        </w:tc>
        <w:tc>
          <w:tcPr>
            <w:tcW w:w="1083" w:type="dxa"/>
          </w:tcPr>
          <w:p>
            <w:pPr>
              <w:pStyle w:val="TableParagraph"/>
              <w:spacing w:line="128" w:lineRule="exact" w:before="7"/>
              <w:ind w:right="164"/>
              <w:jc w:val="right"/>
              <w:rPr>
                <w:sz w:val="12"/>
              </w:rPr>
            </w:pPr>
            <w:r>
              <w:rPr>
                <w:w w:val="104"/>
                <w:sz w:val="12"/>
              </w:rPr>
              <w:t>0</w:t>
            </w:r>
          </w:p>
        </w:tc>
        <w:tc>
          <w:tcPr>
            <w:tcW w:w="886" w:type="dxa"/>
          </w:tcPr>
          <w:p>
            <w:pPr>
              <w:pStyle w:val="TableParagraph"/>
              <w:spacing w:line="128" w:lineRule="exact" w:before="7"/>
              <w:ind w:right="107"/>
              <w:jc w:val="right"/>
              <w:rPr>
                <w:sz w:val="12"/>
              </w:rPr>
            </w:pPr>
            <w:r>
              <w:rPr>
                <w:w w:val="104"/>
                <w:sz w:val="12"/>
              </w:rPr>
              <w:t>0</w:t>
            </w:r>
          </w:p>
        </w:tc>
        <w:tc>
          <w:tcPr>
            <w:tcW w:w="777" w:type="dxa"/>
          </w:tcPr>
          <w:p>
            <w:pPr>
              <w:pStyle w:val="TableParagraph"/>
              <w:spacing w:line="128" w:lineRule="exact" w:before="7"/>
              <w:ind w:right="169"/>
              <w:jc w:val="right"/>
              <w:rPr>
                <w:sz w:val="12"/>
              </w:rPr>
            </w:pPr>
            <w:r>
              <w:rPr>
                <w:w w:val="104"/>
                <w:sz w:val="12"/>
              </w:rPr>
              <w:t>0</w:t>
            </w:r>
          </w:p>
        </w:tc>
        <w:tc>
          <w:tcPr>
            <w:tcW w:w="958" w:type="dxa"/>
          </w:tcPr>
          <w:p>
            <w:pPr>
              <w:pStyle w:val="TableParagraph"/>
              <w:spacing w:line="128" w:lineRule="exact" w:before="7"/>
              <w:ind w:right="150"/>
              <w:jc w:val="right"/>
              <w:rPr>
                <w:sz w:val="12"/>
              </w:rPr>
            </w:pPr>
            <w:r>
              <w:rPr>
                <w:w w:val="104"/>
                <w:sz w:val="12"/>
              </w:rPr>
              <w:t>0</w:t>
            </w:r>
          </w:p>
        </w:tc>
      </w:tr>
      <w:tr>
        <w:trPr>
          <w:trHeight w:val="154" w:hRule="atLeast"/>
        </w:trPr>
        <w:tc>
          <w:tcPr>
            <w:tcW w:w="6097" w:type="dxa"/>
          </w:tcPr>
          <w:p>
            <w:pPr>
              <w:pStyle w:val="TableParagraph"/>
              <w:spacing w:line="129" w:lineRule="exact" w:before="6"/>
              <w:ind w:left="125"/>
              <w:rPr>
                <w:sz w:val="12"/>
              </w:rPr>
            </w:pPr>
            <w:r>
              <w:rPr>
                <w:w w:val="105"/>
                <w:sz w:val="12"/>
              </w:rPr>
              <w:t>Reclassification adjustment on disposal of available for sale financial assets</w:t>
            </w:r>
          </w:p>
        </w:tc>
        <w:tc>
          <w:tcPr>
            <w:tcW w:w="1083" w:type="dxa"/>
          </w:tcPr>
          <w:p>
            <w:pPr>
              <w:pStyle w:val="TableParagraph"/>
              <w:spacing w:line="129" w:lineRule="exact" w:before="6"/>
              <w:ind w:right="164"/>
              <w:jc w:val="right"/>
              <w:rPr>
                <w:sz w:val="12"/>
              </w:rPr>
            </w:pPr>
            <w:r>
              <w:rPr>
                <w:w w:val="104"/>
                <w:sz w:val="12"/>
              </w:rPr>
              <w:t>0</w:t>
            </w:r>
          </w:p>
        </w:tc>
        <w:tc>
          <w:tcPr>
            <w:tcW w:w="886" w:type="dxa"/>
          </w:tcPr>
          <w:p>
            <w:pPr>
              <w:pStyle w:val="TableParagraph"/>
              <w:spacing w:line="129" w:lineRule="exact" w:before="6"/>
              <w:ind w:right="107"/>
              <w:jc w:val="right"/>
              <w:rPr>
                <w:sz w:val="12"/>
              </w:rPr>
            </w:pPr>
            <w:r>
              <w:rPr>
                <w:w w:val="104"/>
                <w:sz w:val="12"/>
              </w:rPr>
              <w:t>0</w:t>
            </w:r>
          </w:p>
        </w:tc>
        <w:tc>
          <w:tcPr>
            <w:tcW w:w="777" w:type="dxa"/>
          </w:tcPr>
          <w:p>
            <w:pPr>
              <w:pStyle w:val="TableParagraph"/>
              <w:spacing w:line="129" w:lineRule="exact" w:before="6"/>
              <w:ind w:right="169"/>
              <w:jc w:val="right"/>
              <w:rPr>
                <w:sz w:val="12"/>
              </w:rPr>
            </w:pPr>
            <w:r>
              <w:rPr>
                <w:w w:val="104"/>
                <w:sz w:val="12"/>
              </w:rPr>
              <w:t>0</w:t>
            </w:r>
          </w:p>
        </w:tc>
        <w:tc>
          <w:tcPr>
            <w:tcW w:w="958" w:type="dxa"/>
          </w:tcPr>
          <w:p>
            <w:pPr>
              <w:pStyle w:val="TableParagraph"/>
              <w:spacing w:line="129" w:lineRule="exact" w:before="6"/>
              <w:ind w:right="150"/>
              <w:jc w:val="right"/>
              <w:rPr>
                <w:sz w:val="12"/>
              </w:rPr>
            </w:pPr>
            <w:r>
              <w:rPr>
                <w:w w:val="104"/>
                <w:sz w:val="12"/>
              </w:rPr>
              <w:t>0</w:t>
            </w:r>
          </w:p>
        </w:tc>
      </w:tr>
      <w:tr>
        <w:trPr>
          <w:trHeight w:val="154" w:hRule="atLeast"/>
        </w:trPr>
        <w:tc>
          <w:tcPr>
            <w:tcW w:w="6097" w:type="dxa"/>
          </w:tcPr>
          <w:p>
            <w:pPr>
              <w:pStyle w:val="TableParagraph"/>
              <w:spacing w:line="128" w:lineRule="exact" w:before="7"/>
              <w:ind w:left="125"/>
              <w:rPr>
                <w:sz w:val="12"/>
              </w:rPr>
            </w:pPr>
            <w:r>
              <w:rPr>
                <w:w w:val="105"/>
                <w:sz w:val="12"/>
              </w:rPr>
              <w:t>Transfers by absorption to (from) other bodies</w:t>
            </w:r>
          </w:p>
        </w:tc>
        <w:tc>
          <w:tcPr>
            <w:tcW w:w="1083" w:type="dxa"/>
          </w:tcPr>
          <w:p>
            <w:pPr>
              <w:pStyle w:val="TableParagraph"/>
              <w:spacing w:line="128" w:lineRule="exact" w:before="7"/>
              <w:ind w:right="164"/>
              <w:jc w:val="right"/>
              <w:rPr>
                <w:sz w:val="12"/>
              </w:rPr>
            </w:pPr>
            <w:r>
              <w:rPr>
                <w:w w:val="104"/>
                <w:sz w:val="12"/>
              </w:rPr>
              <w:t>0</w:t>
            </w:r>
          </w:p>
        </w:tc>
        <w:tc>
          <w:tcPr>
            <w:tcW w:w="886" w:type="dxa"/>
          </w:tcPr>
          <w:p>
            <w:pPr>
              <w:pStyle w:val="TableParagraph"/>
              <w:spacing w:line="128" w:lineRule="exact" w:before="7"/>
              <w:ind w:right="107"/>
              <w:jc w:val="right"/>
              <w:rPr>
                <w:sz w:val="12"/>
              </w:rPr>
            </w:pPr>
            <w:r>
              <w:rPr>
                <w:w w:val="104"/>
                <w:sz w:val="12"/>
              </w:rPr>
              <w:t>0</w:t>
            </w:r>
          </w:p>
        </w:tc>
        <w:tc>
          <w:tcPr>
            <w:tcW w:w="777" w:type="dxa"/>
          </w:tcPr>
          <w:p>
            <w:pPr>
              <w:pStyle w:val="TableParagraph"/>
              <w:spacing w:line="128" w:lineRule="exact" w:before="7"/>
              <w:ind w:right="169"/>
              <w:jc w:val="right"/>
              <w:rPr>
                <w:sz w:val="12"/>
              </w:rPr>
            </w:pPr>
            <w:r>
              <w:rPr>
                <w:w w:val="104"/>
                <w:sz w:val="12"/>
              </w:rPr>
              <w:t>0</w:t>
            </w:r>
          </w:p>
        </w:tc>
        <w:tc>
          <w:tcPr>
            <w:tcW w:w="958" w:type="dxa"/>
          </w:tcPr>
          <w:p>
            <w:pPr>
              <w:pStyle w:val="TableParagraph"/>
              <w:spacing w:line="128" w:lineRule="exact" w:before="7"/>
              <w:ind w:right="150"/>
              <w:jc w:val="right"/>
              <w:rPr>
                <w:sz w:val="12"/>
              </w:rPr>
            </w:pPr>
            <w:r>
              <w:rPr>
                <w:w w:val="104"/>
                <w:sz w:val="12"/>
              </w:rPr>
              <w:t>0</w:t>
            </w:r>
          </w:p>
        </w:tc>
      </w:tr>
      <w:tr>
        <w:trPr>
          <w:trHeight w:val="154" w:hRule="atLeast"/>
        </w:trPr>
        <w:tc>
          <w:tcPr>
            <w:tcW w:w="6097" w:type="dxa"/>
          </w:tcPr>
          <w:p>
            <w:pPr>
              <w:pStyle w:val="TableParagraph"/>
              <w:spacing w:line="129" w:lineRule="exact" w:before="6"/>
              <w:ind w:left="125"/>
              <w:rPr>
                <w:sz w:val="12"/>
              </w:rPr>
            </w:pPr>
            <w:r>
              <w:rPr>
                <w:w w:val="105"/>
                <w:sz w:val="12"/>
              </w:rPr>
              <w:t>Reserves eliminated on dissolution</w:t>
            </w:r>
          </w:p>
        </w:tc>
        <w:tc>
          <w:tcPr>
            <w:tcW w:w="1083" w:type="dxa"/>
          </w:tcPr>
          <w:p>
            <w:pPr>
              <w:pStyle w:val="TableParagraph"/>
              <w:tabs>
                <w:tab w:pos="841" w:val="left" w:leader="none"/>
              </w:tabs>
              <w:spacing w:line="129" w:lineRule="exact" w:before="6"/>
              <w:ind w:left="85"/>
              <w:rPr>
                <w:sz w:val="12"/>
              </w:rPr>
            </w:pPr>
            <w:r>
              <w:rPr>
                <w:w w:val="104"/>
                <w:sz w:val="12"/>
                <w:u w:val="single"/>
              </w:rPr>
              <w:t> </w:t>
            </w:r>
            <w:r>
              <w:rPr>
                <w:sz w:val="12"/>
                <w:u w:val="single"/>
              </w:rPr>
              <w:tab/>
            </w:r>
            <w:r>
              <w:rPr>
                <w:w w:val="105"/>
                <w:sz w:val="12"/>
                <w:u w:val="single"/>
              </w:rPr>
              <w:t>0</w:t>
            </w:r>
          </w:p>
        </w:tc>
        <w:tc>
          <w:tcPr>
            <w:tcW w:w="886" w:type="dxa"/>
          </w:tcPr>
          <w:p>
            <w:pPr>
              <w:pStyle w:val="TableParagraph"/>
              <w:tabs>
                <w:tab w:pos="724" w:val="left" w:leader="none"/>
              </w:tabs>
              <w:spacing w:line="129" w:lineRule="exact" w:before="6"/>
              <w:ind w:right="76"/>
              <w:jc w:val="right"/>
              <w:rPr>
                <w:sz w:val="12"/>
              </w:rPr>
            </w:pPr>
            <w:r>
              <w:rPr>
                <w:w w:val="104"/>
                <w:sz w:val="12"/>
                <w:u w:val="single"/>
              </w:rPr>
              <w:t> </w:t>
            </w:r>
            <w:r>
              <w:rPr>
                <w:sz w:val="12"/>
                <w:u w:val="single"/>
              </w:rPr>
              <w:tab/>
              <w:t>0</w:t>
            </w:r>
          </w:p>
        </w:tc>
        <w:tc>
          <w:tcPr>
            <w:tcW w:w="777" w:type="dxa"/>
          </w:tcPr>
          <w:p>
            <w:pPr>
              <w:pStyle w:val="TableParagraph"/>
              <w:tabs>
                <w:tab w:pos="496" w:val="left" w:leader="none"/>
              </w:tabs>
              <w:spacing w:line="129" w:lineRule="exact" w:before="6"/>
              <w:ind w:right="140"/>
              <w:jc w:val="right"/>
              <w:rPr>
                <w:sz w:val="12"/>
              </w:rPr>
            </w:pPr>
            <w:r>
              <w:rPr>
                <w:w w:val="104"/>
                <w:sz w:val="12"/>
                <w:u w:val="single"/>
              </w:rPr>
              <w:t> </w:t>
            </w:r>
            <w:r>
              <w:rPr>
                <w:sz w:val="12"/>
                <w:u w:val="single"/>
              </w:rPr>
              <w:tab/>
              <w:t>0</w:t>
            </w:r>
          </w:p>
        </w:tc>
        <w:tc>
          <w:tcPr>
            <w:tcW w:w="958" w:type="dxa"/>
          </w:tcPr>
          <w:p>
            <w:pPr>
              <w:pStyle w:val="TableParagraph"/>
              <w:tabs>
                <w:tab w:pos="755" w:val="left" w:leader="none"/>
              </w:tabs>
              <w:spacing w:line="129" w:lineRule="exact" w:before="6"/>
              <w:ind w:right="121"/>
              <w:jc w:val="right"/>
              <w:rPr>
                <w:sz w:val="12"/>
              </w:rPr>
            </w:pPr>
            <w:r>
              <w:rPr>
                <w:w w:val="104"/>
                <w:sz w:val="12"/>
                <w:u w:val="single"/>
              </w:rPr>
              <w:t> </w:t>
            </w:r>
            <w:r>
              <w:rPr>
                <w:sz w:val="12"/>
                <w:u w:val="single"/>
              </w:rPr>
              <w:tab/>
              <w:t>0</w:t>
            </w:r>
          </w:p>
        </w:tc>
      </w:tr>
      <w:tr>
        <w:trPr>
          <w:trHeight w:val="155" w:hRule="atLeast"/>
        </w:trPr>
        <w:tc>
          <w:tcPr>
            <w:tcW w:w="6097" w:type="dxa"/>
          </w:tcPr>
          <w:p>
            <w:pPr>
              <w:pStyle w:val="TableParagraph"/>
              <w:spacing w:line="129" w:lineRule="exact" w:before="7"/>
              <w:ind w:left="125"/>
              <w:rPr>
                <w:b/>
                <w:sz w:val="12"/>
              </w:rPr>
            </w:pPr>
            <w:r>
              <w:rPr>
                <w:b/>
                <w:w w:val="105"/>
                <w:sz w:val="12"/>
              </w:rPr>
              <w:t>Net Recognised NHS Clinical Commissioning Group Expenditure for the Financial Year</w:t>
            </w:r>
          </w:p>
        </w:tc>
        <w:tc>
          <w:tcPr>
            <w:tcW w:w="1083" w:type="dxa"/>
          </w:tcPr>
          <w:p>
            <w:pPr>
              <w:pStyle w:val="TableParagraph"/>
              <w:spacing w:line="129" w:lineRule="exact" w:before="7"/>
              <w:ind w:left="373"/>
              <w:rPr>
                <w:b/>
                <w:sz w:val="12"/>
              </w:rPr>
            </w:pPr>
            <w:r>
              <w:rPr>
                <w:b/>
                <w:w w:val="105"/>
                <w:sz w:val="12"/>
              </w:rPr>
              <w:t>(297,814)</w:t>
            </w:r>
          </w:p>
        </w:tc>
        <w:tc>
          <w:tcPr>
            <w:tcW w:w="886" w:type="dxa"/>
          </w:tcPr>
          <w:p>
            <w:pPr>
              <w:pStyle w:val="TableParagraph"/>
              <w:spacing w:line="129" w:lineRule="exact" w:before="7"/>
              <w:ind w:right="107"/>
              <w:jc w:val="right"/>
              <w:rPr>
                <w:b/>
                <w:sz w:val="12"/>
              </w:rPr>
            </w:pPr>
            <w:r>
              <w:rPr>
                <w:b/>
                <w:w w:val="104"/>
                <w:sz w:val="12"/>
              </w:rPr>
              <w:t>0</w:t>
            </w:r>
          </w:p>
        </w:tc>
        <w:tc>
          <w:tcPr>
            <w:tcW w:w="777" w:type="dxa"/>
          </w:tcPr>
          <w:p>
            <w:pPr>
              <w:pStyle w:val="TableParagraph"/>
              <w:spacing w:line="129" w:lineRule="exact" w:before="7"/>
              <w:ind w:right="169"/>
              <w:jc w:val="right"/>
              <w:rPr>
                <w:b/>
                <w:sz w:val="12"/>
              </w:rPr>
            </w:pPr>
            <w:r>
              <w:rPr>
                <w:b/>
                <w:w w:val="104"/>
                <w:sz w:val="12"/>
              </w:rPr>
              <w:t>0</w:t>
            </w:r>
          </w:p>
        </w:tc>
        <w:tc>
          <w:tcPr>
            <w:tcW w:w="958" w:type="dxa"/>
          </w:tcPr>
          <w:p>
            <w:pPr>
              <w:pStyle w:val="TableParagraph"/>
              <w:spacing w:line="129" w:lineRule="exact" w:before="7"/>
              <w:ind w:right="154"/>
              <w:jc w:val="right"/>
              <w:rPr>
                <w:b/>
                <w:sz w:val="12"/>
              </w:rPr>
            </w:pPr>
            <w:r>
              <w:rPr>
                <w:b/>
                <w:sz w:val="12"/>
              </w:rPr>
              <w:t>(297,814)</w:t>
            </w:r>
          </w:p>
        </w:tc>
      </w:tr>
      <w:tr>
        <w:trPr>
          <w:trHeight w:val="152" w:hRule="atLeast"/>
        </w:trPr>
        <w:tc>
          <w:tcPr>
            <w:tcW w:w="6097" w:type="dxa"/>
          </w:tcPr>
          <w:p>
            <w:pPr>
              <w:pStyle w:val="TableParagraph"/>
              <w:spacing w:line="125" w:lineRule="exact" w:before="7"/>
              <w:ind w:left="125"/>
              <w:rPr>
                <w:sz w:val="12"/>
              </w:rPr>
            </w:pPr>
            <w:r>
              <w:rPr>
                <w:w w:val="105"/>
                <w:sz w:val="12"/>
              </w:rPr>
              <w:t>Net funding</w:t>
            </w:r>
          </w:p>
        </w:tc>
        <w:tc>
          <w:tcPr>
            <w:tcW w:w="1083" w:type="dxa"/>
          </w:tcPr>
          <w:p>
            <w:pPr>
              <w:pStyle w:val="TableParagraph"/>
              <w:tabs>
                <w:tab w:pos="457" w:val="left" w:leader="none"/>
              </w:tabs>
              <w:spacing w:line="125" w:lineRule="exact" w:before="7"/>
              <w:ind w:left="85"/>
              <w:rPr>
                <w:sz w:val="12"/>
              </w:rPr>
            </w:pPr>
            <w:r>
              <w:rPr>
                <w:w w:val="104"/>
                <w:sz w:val="12"/>
                <w:u w:val="single"/>
              </w:rPr>
              <w:t> </w:t>
            </w:r>
            <w:r>
              <w:rPr>
                <w:sz w:val="12"/>
                <w:u w:val="single"/>
              </w:rPr>
              <w:tab/>
            </w:r>
            <w:r>
              <w:rPr>
                <w:w w:val="105"/>
                <w:sz w:val="12"/>
                <w:u w:val="single"/>
              </w:rPr>
              <w:t>296,584</w:t>
            </w:r>
          </w:p>
        </w:tc>
        <w:tc>
          <w:tcPr>
            <w:tcW w:w="886" w:type="dxa"/>
          </w:tcPr>
          <w:p>
            <w:pPr>
              <w:pStyle w:val="TableParagraph"/>
              <w:tabs>
                <w:tab w:pos="724" w:val="left" w:leader="none"/>
              </w:tabs>
              <w:spacing w:line="125" w:lineRule="exact" w:before="7"/>
              <w:ind w:right="76"/>
              <w:jc w:val="right"/>
              <w:rPr>
                <w:sz w:val="12"/>
              </w:rPr>
            </w:pPr>
            <w:r>
              <w:rPr>
                <w:w w:val="104"/>
                <w:sz w:val="12"/>
                <w:u w:val="single"/>
              </w:rPr>
              <w:t> </w:t>
            </w:r>
            <w:r>
              <w:rPr>
                <w:sz w:val="12"/>
                <w:u w:val="single"/>
              </w:rPr>
              <w:tab/>
              <w:t>0</w:t>
            </w:r>
          </w:p>
        </w:tc>
        <w:tc>
          <w:tcPr>
            <w:tcW w:w="777" w:type="dxa"/>
          </w:tcPr>
          <w:p>
            <w:pPr>
              <w:pStyle w:val="TableParagraph"/>
              <w:tabs>
                <w:tab w:pos="496" w:val="left" w:leader="none"/>
              </w:tabs>
              <w:spacing w:line="125" w:lineRule="exact" w:before="7"/>
              <w:ind w:right="140"/>
              <w:jc w:val="right"/>
              <w:rPr>
                <w:sz w:val="12"/>
              </w:rPr>
            </w:pPr>
            <w:r>
              <w:rPr>
                <w:w w:val="104"/>
                <w:sz w:val="12"/>
                <w:u w:val="single"/>
              </w:rPr>
              <w:t> </w:t>
            </w:r>
            <w:r>
              <w:rPr>
                <w:sz w:val="12"/>
                <w:u w:val="single"/>
              </w:rPr>
              <w:tab/>
              <w:t>0</w:t>
            </w:r>
          </w:p>
        </w:tc>
        <w:tc>
          <w:tcPr>
            <w:tcW w:w="958" w:type="dxa"/>
          </w:tcPr>
          <w:p>
            <w:pPr>
              <w:pStyle w:val="TableParagraph"/>
              <w:tabs>
                <w:tab w:pos="371" w:val="left" w:leader="none"/>
              </w:tabs>
              <w:spacing w:line="125" w:lineRule="exact" w:before="7"/>
              <w:ind w:right="121"/>
              <w:jc w:val="right"/>
              <w:rPr>
                <w:sz w:val="12"/>
              </w:rPr>
            </w:pPr>
            <w:r>
              <w:rPr>
                <w:w w:val="104"/>
                <w:sz w:val="12"/>
                <w:u w:val="single"/>
              </w:rPr>
              <w:t> </w:t>
            </w:r>
            <w:r>
              <w:rPr>
                <w:sz w:val="12"/>
                <w:u w:val="single"/>
              </w:rPr>
              <w:tab/>
            </w:r>
            <w:r>
              <w:rPr>
                <w:spacing w:val="-2"/>
                <w:w w:val="105"/>
                <w:sz w:val="12"/>
                <w:u w:val="single"/>
              </w:rPr>
              <w:t>296,584</w:t>
            </w:r>
          </w:p>
        </w:tc>
      </w:tr>
      <w:tr>
        <w:trPr>
          <w:trHeight w:val="141" w:hRule="atLeast"/>
        </w:trPr>
        <w:tc>
          <w:tcPr>
            <w:tcW w:w="6097" w:type="dxa"/>
          </w:tcPr>
          <w:p>
            <w:pPr>
              <w:pStyle w:val="TableParagraph"/>
              <w:spacing w:line="118" w:lineRule="exact" w:before="3"/>
              <w:ind w:left="125"/>
              <w:rPr>
                <w:b/>
                <w:sz w:val="12"/>
              </w:rPr>
            </w:pPr>
            <w:r>
              <w:rPr>
                <w:b/>
                <w:w w:val="105"/>
                <w:sz w:val="12"/>
              </w:rPr>
              <w:t>Balance at 31 March 2021</w:t>
            </w:r>
          </w:p>
        </w:tc>
        <w:tc>
          <w:tcPr>
            <w:tcW w:w="1083" w:type="dxa"/>
          </w:tcPr>
          <w:p>
            <w:pPr>
              <w:pStyle w:val="TableParagraph"/>
              <w:tabs>
                <w:tab w:pos="440" w:val="left" w:leader="none"/>
              </w:tabs>
              <w:spacing w:line="118" w:lineRule="exact" w:before="3"/>
              <w:ind w:left="85"/>
              <w:rPr>
                <w:b/>
                <w:sz w:val="12"/>
              </w:rPr>
            </w:pPr>
            <w:r>
              <w:rPr>
                <w:b/>
                <w:w w:val="104"/>
                <w:sz w:val="12"/>
                <w:u w:val="single"/>
              </w:rPr>
              <w:t> </w:t>
            </w:r>
            <w:r>
              <w:rPr>
                <w:b/>
                <w:sz w:val="12"/>
                <w:u w:val="single"/>
              </w:rPr>
              <w:tab/>
            </w:r>
            <w:r>
              <w:rPr>
                <w:b/>
                <w:w w:val="105"/>
                <w:sz w:val="12"/>
                <w:u w:val="single"/>
              </w:rPr>
              <w:t>(17,512)</w:t>
            </w:r>
          </w:p>
        </w:tc>
        <w:tc>
          <w:tcPr>
            <w:tcW w:w="886" w:type="dxa"/>
          </w:tcPr>
          <w:p>
            <w:pPr>
              <w:pStyle w:val="TableParagraph"/>
              <w:tabs>
                <w:tab w:pos="724" w:val="left" w:leader="none"/>
              </w:tabs>
              <w:spacing w:line="118" w:lineRule="exact" w:before="3"/>
              <w:ind w:right="76"/>
              <w:jc w:val="right"/>
              <w:rPr>
                <w:b/>
                <w:sz w:val="12"/>
              </w:rPr>
            </w:pPr>
            <w:r>
              <w:rPr>
                <w:b/>
                <w:w w:val="104"/>
                <w:sz w:val="12"/>
                <w:u w:val="single"/>
              </w:rPr>
              <w:t> </w:t>
            </w:r>
            <w:r>
              <w:rPr>
                <w:b/>
                <w:sz w:val="12"/>
                <w:u w:val="single"/>
              </w:rPr>
              <w:tab/>
              <w:t>0</w:t>
            </w:r>
          </w:p>
        </w:tc>
        <w:tc>
          <w:tcPr>
            <w:tcW w:w="777" w:type="dxa"/>
          </w:tcPr>
          <w:p>
            <w:pPr>
              <w:pStyle w:val="TableParagraph"/>
              <w:tabs>
                <w:tab w:pos="496" w:val="left" w:leader="none"/>
              </w:tabs>
              <w:spacing w:line="118" w:lineRule="exact" w:before="3"/>
              <w:ind w:right="140"/>
              <w:jc w:val="right"/>
              <w:rPr>
                <w:b/>
                <w:sz w:val="12"/>
              </w:rPr>
            </w:pPr>
            <w:r>
              <w:rPr>
                <w:b/>
                <w:w w:val="104"/>
                <w:sz w:val="12"/>
                <w:u w:val="single"/>
              </w:rPr>
              <w:t> </w:t>
            </w:r>
            <w:r>
              <w:rPr>
                <w:b/>
                <w:sz w:val="12"/>
                <w:u w:val="single"/>
              </w:rPr>
              <w:tab/>
              <w:t>0</w:t>
            </w:r>
          </w:p>
        </w:tc>
        <w:tc>
          <w:tcPr>
            <w:tcW w:w="958" w:type="dxa"/>
          </w:tcPr>
          <w:p>
            <w:pPr>
              <w:pStyle w:val="TableParagraph"/>
              <w:tabs>
                <w:tab w:pos="355" w:val="left" w:leader="none"/>
              </w:tabs>
              <w:spacing w:line="118" w:lineRule="exact" w:before="3"/>
              <w:ind w:right="123"/>
              <w:jc w:val="right"/>
              <w:rPr>
                <w:b/>
                <w:sz w:val="12"/>
              </w:rPr>
            </w:pPr>
            <w:r>
              <w:rPr>
                <w:b/>
                <w:w w:val="104"/>
                <w:sz w:val="12"/>
                <w:u w:val="single"/>
              </w:rPr>
              <w:t> </w:t>
            </w:r>
            <w:r>
              <w:rPr>
                <w:b/>
                <w:sz w:val="12"/>
                <w:u w:val="single"/>
              </w:rPr>
              <w:tab/>
            </w:r>
            <w:r>
              <w:rPr>
                <w:b/>
                <w:spacing w:val="-1"/>
                <w:sz w:val="12"/>
                <w:u w:val="single"/>
              </w:rPr>
              <w:t>(17,512)</w:t>
            </w:r>
          </w:p>
        </w:tc>
      </w:tr>
    </w:tbl>
    <w:p>
      <w:pPr>
        <w:pStyle w:val="BodyText"/>
        <w:rPr>
          <w:sz w:val="20"/>
        </w:rPr>
      </w:pPr>
    </w:p>
    <w:p>
      <w:pPr>
        <w:pStyle w:val="BodyText"/>
        <w:rPr>
          <w:sz w:val="12"/>
        </w:rPr>
      </w:pPr>
    </w:p>
    <w:p>
      <w:pPr>
        <w:pStyle w:val="BodyText"/>
        <w:spacing w:before="11"/>
        <w:rPr>
          <w:sz w:val="10"/>
        </w:rPr>
      </w:pPr>
    </w:p>
    <w:p>
      <w:pPr>
        <w:spacing w:before="0"/>
        <w:ind w:left="318" w:right="0" w:firstLine="0"/>
        <w:jc w:val="left"/>
        <w:rPr>
          <w:sz w:val="12"/>
        </w:rPr>
      </w:pPr>
      <w:r>
        <w:rPr>
          <w:w w:val="105"/>
          <w:sz w:val="12"/>
        </w:rPr>
        <w:t>The notes on pages 5 to 27 form part of this statement</w:t>
      </w:r>
    </w:p>
    <w:p>
      <w:pPr>
        <w:spacing w:after="0"/>
        <w:jc w:val="left"/>
        <w:rPr>
          <w:sz w:val="12"/>
        </w:rPr>
        <w:sectPr>
          <w:pgSz w:w="11920" w:h="16850"/>
          <w:pgMar w:header="0" w:footer="407" w:top="1080" w:bottom="640" w:left="740" w:right="520"/>
        </w:sectPr>
      </w:pPr>
    </w:p>
    <w:tbl>
      <w:tblPr>
        <w:tblW w:w="0" w:type="auto"/>
        <w:jc w:val="left"/>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46"/>
        <w:gridCol w:w="706"/>
        <w:gridCol w:w="972"/>
        <w:gridCol w:w="109"/>
        <w:gridCol w:w="972"/>
      </w:tblGrid>
      <w:tr>
        <w:trPr>
          <w:trHeight w:val="485" w:hRule="atLeast"/>
        </w:trPr>
        <w:tc>
          <w:tcPr>
            <w:tcW w:w="7046" w:type="dxa"/>
          </w:tcPr>
          <w:p>
            <w:pPr>
              <w:pStyle w:val="TableParagraph"/>
              <w:spacing w:line="145" w:lineRule="exact"/>
              <w:ind w:left="134"/>
              <w:rPr>
                <w:sz w:val="13"/>
              </w:rPr>
            </w:pPr>
            <w:r>
              <w:rPr>
                <w:w w:val="105"/>
                <w:sz w:val="13"/>
              </w:rPr>
              <w:t>NHS North Lincolnshire CCG - Annual Accounts 2021-22</w:t>
            </w:r>
          </w:p>
          <w:p>
            <w:pPr>
              <w:pStyle w:val="TableParagraph"/>
              <w:spacing w:before="6"/>
              <w:rPr>
                <w:sz w:val="15"/>
              </w:rPr>
            </w:pPr>
          </w:p>
          <w:p>
            <w:pPr>
              <w:pStyle w:val="TableParagraph"/>
              <w:spacing w:line="141" w:lineRule="exact" w:before="1"/>
              <w:ind w:left="134"/>
              <w:rPr>
                <w:b/>
                <w:sz w:val="13"/>
              </w:rPr>
            </w:pPr>
            <w:r>
              <w:rPr>
                <w:b/>
                <w:w w:val="105"/>
                <w:sz w:val="13"/>
              </w:rPr>
              <w:t>Statement of Cash Flows for the year ended</w:t>
            </w:r>
          </w:p>
        </w:tc>
        <w:tc>
          <w:tcPr>
            <w:tcW w:w="706" w:type="dxa"/>
          </w:tcPr>
          <w:p>
            <w:pPr>
              <w:pStyle w:val="TableParagraph"/>
              <w:rPr>
                <w:rFonts w:ascii="Times New Roman"/>
                <w:sz w:val="12"/>
              </w:rPr>
            </w:pPr>
          </w:p>
        </w:tc>
        <w:tc>
          <w:tcPr>
            <w:tcW w:w="972" w:type="dxa"/>
          </w:tcPr>
          <w:p>
            <w:pPr>
              <w:pStyle w:val="TableParagraph"/>
              <w:rPr>
                <w:rFonts w:ascii="Times New Roman"/>
                <w:sz w:val="12"/>
              </w:rPr>
            </w:pPr>
          </w:p>
        </w:tc>
        <w:tc>
          <w:tcPr>
            <w:tcW w:w="109" w:type="dxa"/>
          </w:tcPr>
          <w:p>
            <w:pPr>
              <w:pStyle w:val="TableParagraph"/>
              <w:rPr>
                <w:rFonts w:ascii="Times New Roman"/>
                <w:sz w:val="12"/>
              </w:rPr>
            </w:pPr>
          </w:p>
        </w:tc>
        <w:tc>
          <w:tcPr>
            <w:tcW w:w="972" w:type="dxa"/>
          </w:tcPr>
          <w:p>
            <w:pPr>
              <w:pStyle w:val="TableParagraph"/>
              <w:rPr>
                <w:rFonts w:ascii="Times New Roman"/>
                <w:sz w:val="12"/>
              </w:rPr>
            </w:pPr>
          </w:p>
        </w:tc>
      </w:tr>
      <w:tr>
        <w:trPr>
          <w:trHeight w:val="167" w:hRule="atLeast"/>
        </w:trPr>
        <w:tc>
          <w:tcPr>
            <w:tcW w:w="7046" w:type="dxa"/>
          </w:tcPr>
          <w:p>
            <w:pPr>
              <w:pStyle w:val="TableParagraph"/>
              <w:spacing w:line="141" w:lineRule="exact" w:before="7"/>
              <w:ind w:left="134"/>
              <w:rPr>
                <w:b/>
                <w:sz w:val="13"/>
              </w:rPr>
            </w:pPr>
            <w:r>
              <w:rPr>
                <w:b/>
                <w:w w:val="105"/>
                <w:sz w:val="13"/>
              </w:rPr>
              <w:t>31 March 2022</w:t>
            </w:r>
          </w:p>
        </w:tc>
        <w:tc>
          <w:tcPr>
            <w:tcW w:w="706" w:type="dxa"/>
          </w:tcPr>
          <w:p>
            <w:pPr>
              <w:pStyle w:val="TableParagraph"/>
              <w:rPr>
                <w:rFonts w:ascii="Times New Roman"/>
                <w:sz w:val="10"/>
              </w:rPr>
            </w:pPr>
          </w:p>
        </w:tc>
        <w:tc>
          <w:tcPr>
            <w:tcW w:w="972" w:type="dxa"/>
          </w:tcPr>
          <w:p>
            <w:pPr>
              <w:pStyle w:val="TableParagraph"/>
              <w:rPr>
                <w:rFonts w:ascii="Times New Roman"/>
                <w:sz w:val="10"/>
              </w:rPr>
            </w:pPr>
          </w:p>
        </w:tc>
        <w:tc>
          <w:tcPr>
            <w:tcW w:w="109" w:type="dxa"/>
          </w:tcPr>
          <w:p>
            <w:pPr>
              <w:pStyle w:val="TableParagraph"/>
              <w:rPr>
                <w:rFonts w:ascii="Times New Roman"/>
                <w:sz w:val="10"/>
              </w:rPr>
            </w:pPr>
          </w:p>
        </w:tc>
        <w:tc>
          <w:tcPr>
            <w:tcW w:w="972" w:type="dxa"/>
          </w:tcPr>
          <w:p>
            <w:pPr>
              <w:pStyle w:val="TableParagraph"/>
              <w:rPr>
                <w:rFonts w:ascii="Times New Roman"/>
                <w:sz w:val="10"/>
              </w:rPr>
            </w:pPr>
          </w:p>
        </w:tc>
      </w:tr>
      <w:tr>
        <w:trPr>
          <w:trHeight w:val="167" w:hRule="atLeast"/>
        </w:trPr>
        <w:tc>
          <w:tcPr>
            <w:tcW w:w="7046" w:type="dxa"/>
          </w:tcPr>
          <w:p>
            <w:pPr>
              <w:pStyle w:val="TableParagraph"/>
              <w:rPr>
                <w:rFonts w:ascii="Times New Roman"/>
                <w:sz w:val="10"/>
              </w:rPr>
            </w:pPr>
          </w:p>
        </w:tc>
        <w:tc>
          <w:tcPr>
            <w:tcW w:w="706" w:type="dxa"/>
          </w:tcPr>
          <w:p>
            <w:pPr>
              <w:pStyle w:val="TableParagraph"/>
              <w:rPr>
                <w:rFonts w:ascii="Times New Roman"/>
                <w:sz w:val="10"/>
              </w:rPr>
            </w:pPr>
          </w:p>
        </w:tc>
        <w:tc>
          <w:tcPr>
            <w:tcW w:w="972" w:type="dxa"/>
          </w:tcPr>
          <w:p>
            <w:pPr>
              <w:pStyle w:val="TableParagraph"/>
              <w:spacing w:line="141" w:lineRule="exact" w:before="7"/>
              <w:ind w:left="233"/>
              <w:rPr>
                <w:b/>
                <w:sz w:val="13"/>
              </w:rPr>
            </w:pPr>
            <w:r>
              <w:rPr>
                <w:b/>
                <w:w w:val="105"/>
                <w:sz w:val="13"/>
              </w:rPr>
              <w:t>2021-22</w:t>
            </w:r>
          </w:p>
        </w:tc>
        <w:tc>
          <w:tcPr>
            <w:tcW w:w="109" w:type="dxa"/>
          </w:tcPr>
          <w:p>
            <w:pPr>
              <w:pStyle w:val="TableParagraph"/>
              <w:rPr>
                <w:rFonts w:ascii="Times New Roman"/>
                <w:sz w:val="10"/>
              </w:rPr>
            </w:pPr>
          </w:p>
        </w:tc>
        <w:tc>
          <w:tcPr>
            <w:tcW w:w="972" w:type="dxa"/>
          </w:tcPr>
          <w:p>
            <w:pPr>
              <w:pStyle w:val="TableParagraph"/>
              <w:spacing w:line="141" w:lineRule="exact" w:before="7"/>
              <w:ind w:left="234"/>
              <w:rPr>
                <w:sz w:val="13"/>
              </w:rPr>
            </w:pPr>
            <w:r>
              <w:rPr>
                <w:w w:val="105"/>
                <w:sz w:val="13"/>
              </w:rPr>
              <w:t>2020-21</w:t>
            </w:r>
          </w:p>
        </w:tc>
      </w:tr>
      <w:tr>
        <w:trPr>
          <w:trHeight w:val="168" w:hRule="atLeast"/>
        </w:trPr>
        <w:tc>
          <w:tcPr>
            <w:tcW w:w="7046" w:type="dxa"/>
          </w:tcPr>
          <w:p>
            <w:pPr>
              <w:pStyle w:val="TableParagraph"/>
              <w:rPr>
                <w:rFonts w:ascii="Times New Roman"/>
                <w:sz w:val="10"/>
              </w:rPr>
            </w:pPr>
          </w:p>
        </w:tc>
        <w:tc>
          <w:tcPr>
            <w:tcW w:w="706" w:type="dxa"/>
          </w:tcPr>
          <w:p>
            <w:pPr>
              <w:pStyle w:val="TableParagraph"/>
              <w:spacing w:line="141" w:lineRule="exact" w:before="7"/>
              <w:ind w:left="281"/>
              <w:rPr>
                <w:sz w:val="13"/>
              </w:rPr>
            </w:pPr>
            <w:r>
              <w:rPr>
                <w:w w:val="105"/>
                <w:sz w:val="13"/>
              </w:rPr>
              <w:t>Note</w:t>
            </w:r>
          </w:p>
        </w:tc>
        <w:tc>
          <w:tcPr>
            <w:tcW w:w="972" w:type="dxa"/>
          </w:tcPr>
          <w:p>
            <w:pPr>
              <w:pStyle w:val="TableParagraph"/>
              <w:spacing w:line="141" w:lineRule="exact" w:before="7"/>
              <w:ind w:left="317"/>
              <w:rPr>
                <w:b/>
                <w:sz w:val="13"/>
              </w:rPr>
            </w:pPr>
            <w:r>
              <w:rPr>
                <w:b/>
                <w:w w:val="105"/>
                <w:sz w:val="13"/>
              </w:rPr>
              <w:t>£'000</w:t>
            </w:r>
          </w:p>
        </w:tc>
        <w:tc>
          <w:tcPr>
            <w:tcW w:w="109" w:type="dxa"/>
          </w:tcPr>
          <w:p>
            <w:pPr>
              <w:pStyle w:val="TableParagraph"/>
              <w:rPr>
                <w:rFonts w:ascii="Times New Roman"/>
                <w:sz w:val="10"/>
              </w:rPr>
            </w:pPr>
          </w:p>
        </w:tc>
        <w:tc>
          <w:tcPr>
            <w:tcW w:w="972" w:type="dxa"/>
          </w:tcPr>
          <w:p>
            <w:pPr>
              <w:pStyle w:val="TableParagraph"/>
              <w:spacing w:line="141" w:lineRule="exact" w:before="7"/>
              <w:ind w:left="321"/>
              <w:rPr>
                <w:sz w:val="13"/>
              </w:rPr>
            </w:pPr>
            <w:r>
              <w:rPr>
                <w:w w:val="105"/>
                <w:sz w:val="13"/>
              </w:rPr>
              <w:t>£'000</w:t>
            </w:r>
          </w:p>
        </w:tc>
      </w:tr>
      <w:tr>
        <w:trPr>
          <w:trHeight w:val="167" w:hRule="atLeast"/>
        </w:trPr>
        <w:tc>
          <w:tcPr>
            <w:tcW w:w="7046" w:type="dxa"/>
          </w:tcPr>
          <w:p>
            <w:pPr>
              <w:pStyle w:val="TableParagraph"/>
              <w:spacing w:line="141" w:lineRule="exact" w:before="7"/>
              <w:ind w:left="134"/>
              <w:rPr>
                <w:b/>
                <w:sz w:val="13"/>
              </w:rPr>
            </w:pPr>
            <w:r>
              <w:rPr>
                <w:b/>
                <w:w w:val="105"/>
                <w:sz w:val="13"/>
              </w:rPr>
              <w:t>Cash Flows from Operating Activities</w:t>
            </w:r>
          </w:p>
        </w:tc>
        <w:tc>
          <w:tcPr>
            <w:tcW w:w="706" w:type="dxa"/>
          </w:tcPr>
          <w:p>
            <w:pPr>
              <w:pStyle w:val="TableParagraph"/>
              <w:rPr>
                <w:rFonts w:ascii="Times New Roman"/>
                <w:sz w:val="10"/>
              </w:rPr>
            </w:pPr>
          </w:p>
        </w:tc>
        <w:tc>
          <w:tcPr>
            <w:tcW w:w="972" w:type="dxa"/>
          </w:tcPr>
          <w:p>
            <w:pPr>
              <w:pStyle w:val="TableParagraph"/>
              <w:rPr>
                <w:rFonts w:ascii="Times New Roman"/>
                <w:sz w:val="10"/>
              </w:rPr>
            </w:pPr>
          </w:p>
        </w:tc>
        <w:tc>
          <w:tcPr>
            <w:tcW w:w="109" w:type="dxa"/>
          </w:tcPr>
          <w:p>
            <w:pPr>
              <w:pStyle w:val="TableParagraph"/>
              <w:rPr>
                <w:rFonts w:ascii="Times New Roman"/>
                <w:sz w:val="10"/>
              </w:rPr>
            </w:pPr>
          </w:p>
        </w:tc>
        <w:tc>
          <w:tcPr>
            <w:tcW w:w="972" w:type="dxa"/>
          </w:tcPr>
          <w:p>
            <w:pPr>
              <w:pStyle w:val="TableParagraph"/>
              <w:rPr>
                <w:rFonts w:ascii="Times New Roman"/>
                <w:sz w:val="10"/>
              </w:rPr>
            </w:pPr>
          </w:p>
        </w:tc>
      </w:tr>
      <w:tr>
        <w:trPr>
          <w:trHeight w:val="166" w:hRule="atLeast"/>
        </w:trPr>
        <w:tc>
          <w:tcPr>
            <w:tcW w:w="7046" w:type="dxa"/>
          </w:tcPr>
          <w:p>
            <w:pPr>
              <w:pStyle w:val="TableParagraph"/>
              <w:spacing w:line="140" w:lineRule="exact" w:before="7"/>
              <w:ind w:left="134"/>
              <w:rPr>
                <w:sz w:val="13"/>
              </w:rPr>
            </w:pPr>
            <w:r>
              <w:rPr>
                <w:w w:val="105"/>
                <w:sz w:val="13"/>
              </w:rPr>
              <w:t>Net operating expenditure for the financial year</w:t>
            </w:r>
          </w:p>
        </w:tc>
        <w:tc>
          <w:tcPr>
            <w:tcW w:w="706" w:type="dxa"/>
          </w:tcPr>
          <w:p>
            <w:pPr>
              <w:pStyle w:val="TableParagraph"/>
              <w:rPr>
                <w:rFonts w:ascii="Times New Roman"/>
                <w:sz w:val="10"/>
              </w:rPr>
            </w:pPr>
          </w:p>
        </w:tc>
        <w:tc>
          <w:tcPr>
            <w:tcW w:w="972" w:type="dxa"/>
          </w:tcPr>
          <w:p>
            <w:pPr>
              <w:pStyle w:val="TableParagraph"/>
              <w:spacing w:line="140" w:lineRule="exact" w:before="7"/>
              <w:ind w:right="42"/>
              <w:jc w:val="right"/>
              <w:rPr>
                <w:sz w:val="13"/>
              </w:rPr>
            </w:pPr>
            <w:r>
              <w:rPr>
                <w:w w:val="105"/>
                <w:sz w:val="13"/>
              </w:rPr>
              <w:t>(319,448)</w:t>
            </w:r>
          </w:p>
        </w:tc>
        <w:tc>
          <w:tcPr>
            <w:tcW w:w="109" w:type="dxa"/>
          </w:tcPr>
          <w:p>
            <w:pPr>
              <w:pStyle w:val="TableParagraph"/>
              <w:rPr>
                <w:rFonts w:ascii="Times New Roman"/>
                <w:sz w:val="10"/>
              </w:rPr>
            </w:pPr>
          </w:p>
        </w:tc>
        <w:tc>
          <w:tcPr>
            <w:tcW w:w="972" w:type="dxa"/>
          </w:tcPr>
          <w:p>
            <w:pPr>
              <w:pStyle w:val="TableParagraph"/>
              <w:spacing w:line="140" w:lineRule="exact" w:before="7"/>
              <w:ind w:right="38"/>
              <w:jc w:val="right"/>
              <w:rPr>
                <w:sz w:val="13"/>
              </w:rPr>
            </w:pPr>
            <w:r>
              <w:rPr>
                <w:w w:val="105"/>
                <w:sz w:val="13"/>
              </w:rPr>
              <w:t>(297,814)</w:t>
            </w:r>
          </w:p>
        </w:tc>
      </w:tr>
      <w:tr>
        <w:trPr>
          <w:trHeight w:val="166" w:hRule="atLeast"/>
        </w:trPr>
        <w:tc>
          <w:tcPr>
            <w:tcW w:w="7046" w:type="dxa"/>
          </w:tcPr>
          <w:p>
            <w:pPr>
              <w:pStyle w:val="TableParagraph"/>
              <w:spacing w:line="141" w:lineRule="exact" w:before="5"/>
              <w:ind w:left="134"/>
              <w:rPr>
                <w:sz w:val="13"/>
              </w:rPr>
            </w:pPr>
            <w:r>
              <w:rPr>
                <w:w w:val="105"/>
                <w:sz w:val="13"/>
              </w:rPr>
              <w:t>Depreciation and amortisation</w:t>
            </w:r>
          </w:p>
        </w:tc>
        <w:tc>
          <w:tcPr>
            <w:tcW w:w="706" w:type="dxa"/>
          </w:tcPr>
          <w:p>
            <w:pPr>
              <w:pStyle w:val="TableParagraph"/>
              <w:rPr>
                <w:rFonts w:ascii="Times New Roman"/>
                <w:sz w:val="10"/>
              </w:rPr>
            </w:pPr>
          </w:p>
        </w:tc>
        <w:tc>
          <w:tcPr>
            <w:tcW w:w="972" w:type="dxa"/>
          </w:tcPr>
          <w:p>
            <w:pPr>
              <w:pStyle w:val="TableParagraph"/>
              <w:spacing w:line="141" w:lineRule="exact" w:before="5"/>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5"/>
              <w:ind w:right="38"/>
              <w:jc w:val="right"/>
              <w:rPr>
                <w:sz w:val="13"/>
              </w:rPr>
            </w:pPr>
            <w:r>
              <w:rPr>
                <w:w w:val="103"/>
                <w:sz w:val="13"/>
              </w:rPr>
              <w:t>0</w:t>
            </w:r>
          </w:p>
        </w:tc>
      </w:tr>
      <w:tr>
        <w:trPr>
          <w:trHeight w:val="168" w:hRule="atLeast"/>
        </w:trPr>
        <w:tc>
          <w:tcPr>
            <w:tcW w:w="7046" w:type="dxa"/>
          </w:tcPr>
          <w:p>
            <w:pPr>
              <w:pStyle w:val="TableParagraph"/>
              <w:spacing w:line="141" w:lineRule="exact" w:before="7"/>
              <w:ind w:left="134"/>
              <w:rPr>
                <w:sz w:val="13"/>
              </w:rPr>
            </w:pPr>
            <w:r>
              <w:rPr>
                <w:w w:val="105"/>
                <w:sz w:val="13"/>
              </w:rPr>
              <w:t>Impairments and reversals</w:t>
            </w:r>
          </w:p>
        </w:tc>
        <w:tc>
          <w:tcPr>
            <w:tcW w:w="706" w:type="dxa"/>
          </w:tcPr>
          <w:p>
            <w:pPr>
              <w:pStyle w:val="TableParagraph"/>
              <w:rPr>
                <w:rFonts w:ascii="Times New Roman"/>
                <w:sz w:val="10"/>
              </w:rPr>
            </w:pPr>
          </w:p>
        </w:tc>
        <w:tc>
          <w:tcPr>
            <w:tcW w:w="972" w:type="dxa"/>
          </w:tcPr>
          <w:p>
            <w:pPr>
              <w:pStyle w:val="TableParagraph"/>
              <w:spacing w:line="141"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7"/>
              <w:ind w:right="38"/>
              <w:jc w:val="right"/>
              <w:rPr>
                <w:sz w:val="13"/>
              </w:rPr>
            </w:pPr>
            <w:r>
              <w:rPr>
                <w:w w:val="103"/>
                <w:sz w:val="13"/>
              </w:rPr>
              <w:t>0</w:t>
            </w:r>
          </w:p>
        </w:tc>
      </w:tr>
      <w:tr>
        <w:trPr>
          <w:trHeight w:val="167" w:hRule="atLeast"/>
        </w:trPr>
        <w:tc>
          <w:tcPr>
            <w:tcW w:w="7046" w:type="dxa"/>
          </w:tcPr>
          <w:p>
            <w:pPr>
              <w:pStyle w:val="TableParagraph"/>
              <w:spacing w:line="141" w:lineRule="exact" w:before="7"/>
              <w:ind w:left="134"/>
              <w:rPr>
                <w:sz w:val="13"/>
              </w:rPr>
            </w:pPr>
            <w:r>
              <w:rPr>
                <w:w w:val="105"/>
                <w:sz w:val="13"/>
              </w:rPr>
              <w:t>Non-cash movements arising on application of new accounting standards</w:t>
            </w:r>
          </w:p>
        </w:tc>
        <w:tc>
          <w:tcPr>
            <w:tcW w:w="706" w:type="dxa"/>
          </w:tcPr>
          <w:p>
            <w:pPr>
              <w:pStyle w:val="TableParagraph"/>
              <w:rPr>
                <w:rFonts w:ascii="Times New Roman"/>
                <w:sz w:val="10"/>
              </w:rPr>
            </w:pPr>
          </w:p>
        </w:tc>
        <w:tc>
          <w:tcPr>
            <w:tcW w:w="972" w:type="dxa"/>
          </w:tcPr>
          <w:p>
            <w:pPr>
              <w:pStyle w:val="TableParagraph"/>
              <w:spacing w:line="141"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7"/>
              <w:ind w:right="38"/>
              <w:jc w:val="right"/>
              <w:rPr>
                <w:sz w:val="13"/>
              </w:rPr>
            </w:pPr>
            <w:r>
              <w:rPr>
                <w:w w:val="103"/>
                <w:sz w:val="13"/>
              </w:rPr>
              <w:t>0</w:t>
            </w:r>
          </w:p>
        </w:tc>
      </w:tr>
      <w:tr>
        <w:trPr>
          <w:trHeight w:val="168" w:hRule="atLeast"/>
        </w:trPr>
        <w:tc>
          <w:tcPr>
            <w:tcW w:w="7046" w:type="dxa"/>
          </w:tcPr>
          <w:p>
            <w:pPr>
              <w:pStyle w:val="TableParagraph"/>
              <w:spacing w:line="141" w:lineRule="exact" w:before="7"/>
              <w:ind w:left="134"/>
              <w:rPr>
                <w:sz w:val="13"/>
              </w:rPr>
            </w:pPr>
            <w:r>
              <w:rPr>
                <w:w w:val="105"/>
                <w:sz w:val="13"/>
              </w:rPr>
              <w:t>Movement due to transfer by Modified Absorption</w:t>
            </w:r>
          </w:p>
        </w:tc>
        <w:tc>
          <w:tcPr>
            <w:tcW w:w="706" w:type="dxa"/>
          </w:tcPr>
          <w:p>
            <w:pPr>
              <w:pStyle w:val="TableParagraph"/>
              <w:rPr>
                <w:rFonts w:ascii="Times New Roman"/>
                <w:sz w:val="10"/>
              </w:rPr>
            </w:pPr>
          </w:p>
        </w:tc>
        <w:tc>
          <w:tcPr>
            <w:tcW w:w="972" w:type="dxa"/>
          </w:tcPr>
          <w:p>
            <w:pPr>
              <w:pStyle w:val="TableParagraph"/>
              <w:spacing w:line="141"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7"/>
              <w:ind w:right="38"/>
              <w:jc w:val="right"/>
              <w:rPr>
                <w:sz w:val="13"/>
              </w:rPr>
            </w:pPr>
            <w:r>
              <w:rPr>
                <w:w w:val="103"/>
                <w:sz w:val="13"/>
              </w:rPr>
              <w:t>0</w:t>
            </w:r>
          </w:p>
        </w:tc>
      </w:tr>
      <w:tr>
        <w:trPr>
          <w:trHeight w:val="166" w:hRule="atLeast"/>
        </w:trPr>
        <w:tc>
          <w:tcPr>
            <w:tcW w:w="7046" w:type="dxa"/>
          </w:tcPr>
          <w:p>
            <w:pPr>
              <w:pStyle w:val="TableParagraph"/>
              <w:spacing w:line="140" w:lineRule="exact" w:before="7"/>
              <w:ind w:left="134"/>
              <w:rPr>
                <w:sz w:val="13"/>
              </w:rPr>
            </w:pPr>
            <w:r>
              <w:rPr>
                <w:w w:val="105"/>
                <w:sz w:val="13"/>
              </w:rPr>
              <w:t>Other gains (losses) on foreign exchange</w:t>
            </w:r>
          </w:p>
        </w:tc>
        <w:tc>
          <w:tcPr>
            <w:tcW w:w="706" w:type="dxa"/>
          </w:tcPr>
          <w:p>
            <w:pPr>
              <w:pStyle w:val="TableParagraph"/>
              <w:rPr>
                <w:rFonts w:ascii="Times New Roman"/>
                <w:sz w:val="10"/>
              </w:rPr>
            </w:pPr>
          </w:p>
        </w:tc>
        <w:tc>
          <w:tcPr>
            <w:tcW w:w="972" w:type="dxa"/>
          </w:tcPr>
          <w:p>
            <w:pPr>
              <w:pStyle w:val="TableParagraph"/>
              <w:spacing w:line="140"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0" w:lineRule="exact" w:before="7"/>
              <w:ind w:right="38"/>
              <w:jc w:val="right"/>
              <w:rPr>
                <w:sz w:val="13"/>
              </w:rPr>
            </w:pPr>
            <w:r>
              <w:rPr>
                <w:w w:val="103"/>
                <w:sz w:val="13"/>
              </w:rPr>
              <w:t>0</w:t>
            </w:r>
          </w:p>
        </w:tc>
      </w:tr>
      <w:tr>
        <w:trPr>
          <w:trHeight w:val="166" w:hRule="atLeast"/>
        </w:trPr>
        <w:tc>
          <w:tcPr>
            <w:tcW w:w="7046" w:type="dxa"/>
          </w:tcPr>
          <w:p>
            <w:pPr>
              <w:pStyle w:val="TableParagraph"/>
              <w:spacing w:line="141" w:lineRule="exact" w:before="5"/>
              <w:ind w:left="134"/>
              <w:rPr>
                <w:sz w:val="13"/>
              </w:rPr>
            </w:pPr>
            <w:r>
              <w:rPr>
                <w:w w:val="105"/>
                <w:sz w:val="13"/>
              </w:rPr>
              <w:t>Donated assets received credited to revenue but non-cash</w:t>
            </w:r>
          </w:p>
        </w:tc>
        <w:tc>
          <w:tcPr>
            <w:tcW w:w="706" w:type="dxa"/>
          </w:tcPr>
          <w:p>
            <w:pPr>
              <w:pStyle w:val="TableParagraph"/>
              <w:rPr>
                <w:rFonts w:ascii="Times New Roman"/>
                <w:sz w:val="10"/>
              </w:rPr>
            </w:pPr>
          </w:p>
        </w:tc>
        <w:tc>
          <w:tcPr>
            <w:tcW w:w="972" w:type="dxa"/>
          </w:tcPr>
          <w:p>
            <w:pPr>
              <w:pStyle w:val="TableParagraph"/>
              <w:spacing w:line="141" w:lineRule="exact" w:before="5"/>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5"/>
              <w:ind w:right="38"/>
              <w:jc w:val="right"/>
              <w:rPr>
                <w:sz w:val="13"/>
              </w:rPr>
            </w:pPr>
            <w:r>
              <w:rPr>
                <w:w w:val="103"/>
                <w:sz w:val="13"/>
              </w:rPr>
              <w:t>0</w:t>
            </w:r>
          </w:p>
        </w:tc>
      </w:tr>
      <w:tr>
        <w:trPr>
          <w:trHeight w:val="166" w:hRule="atLeast"/>
        </w:trPr>
        <w:tc>
          <w:tcPr>
            <w:tcW w:w="7046" w:type="dxa"/>
          </w:tcPr>
          <w:p>
            <w:pPr>
              <w:pStyle w:val="TableParagraph"/>
              <w:spacing w:line="140" w:lineRule="exact" w:before="7"/>
              <w:ind w:left="134"/>
              <w:rPr>
                <w:sz w:val="13"/>
              </w:rPr>
            </w:pPr>
            <w:r>
              <w:rPr>
                <w:w w:val="105"/>
                <w:sz w:val="13"/>
              </w:rPr>
              <w:t>Government granted assets received credited to revenue but non-cash</w:t>
            </w:r>
          </w:p>
        </w:tc>
        <w:tc>
          <w:tcPr>
            <w:tcW w:w="706" w:type="dxa"/>
          </w:tcPr>
          <w:p>
            <w:pPr>
              <w:pStyle w:val="TableParagraph"/>
              <w:rPr>
                <w:rFonts w:ascii="Times New Roman"/>
                <w:sz w:val="10"/>
              </w:rPr>
            </w:pPr>
          </w:p>
        </w:tc>
        <w:tc>
          <w:tcPr>
            <w:tcW w:w="972" w:type="dxa"/>
          </w:tcPr>
          <w:p>
            <w:pPr>
              <w:pStyle w:val="TableParagraph"/>
              <w:spacing w:line="140"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0" w:lineRule="exact" w:before="7"/>
              <w:ind w:right="38"/>
              <w:jc w:val="right"/>
              <w:rPr>
                <w:sz w:val="13"/>
              </w:rPr>
            </w:pPr>
            <w:r>
              <w:rPr>
                <w:w w:val="103"/>
                <w:sz w:val="13"/>
              </w:rPr>
              <w:t>0</w:t>
            </w:r>
          </w:p>
        </w:tc>
      </w:tr>
      <w:tr>
        <w:trPr>
          <w:trHeight w:val="166" w:hRule="atLeast"/>
        </w:trPr>
        <w:tc>
          <w:tcPr>
            <w:tcW w:w="7046" w:type="dxa"/>
          </w:tcPr>
          <w:p>
            <w:pPr>
              <w:pStyle w:val="TableParagraph"/>
              <w:spacing w:line="141" w:lineRule="exact" w:before="5"/>
              <w:ind w:left="134"/>
              <w:rPr>
                <w:sz w:val="13"/>
              </w:rPr>
            </w:pPr>
            <w:r>
              <w:rPr>
                <w:w w:val="105"/>
                <w:sz w:val="13"/>
              </w:rPr>
              <w:t>Interest paid</w:t>
            </w:r>
          </w:p>
        </w:tc>
        <w:tc>
          <w:tcPr>
            <w:tcW w:w="706" w:type="dxa"/>
          </w:tcPr>
          <w:p>
            <w:pPr>
              <w:pStyle w:val="TableParagraph"/>
              <w:rPr>
                <w:rFonts w:ascii="Times New Roman"/>
                <w:sz w:val="10"/>
              </w:rPr>
            </w:pPr>
          </w:p>
        </w:tc>
        <w:tc>
          <w:tcPr>
            <w:tcW w:w="972" w:type="dxa"/>
          </w:tcPr>
          <w:p>
            <w:pPr>
              <w:pStyle w:val="TableParagraph"/>
              <w:spacing w:line="141" w:lineRule="exact" w:before="5"/>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5"/>
              <w:ind w:right="38"/>
              <w:jc w:val="right"/>
              <w:rPr>
                <w:sz w:val="13"/>
              </w:rPr>
            </w:pPr>
            <w:r>
              <w:rPr>
                <w:w w:val="103"/>
                <w:sz w:val="13"/>
              </w:rPr>
              <w:t>0</w:t>
            </w:r>
          </w:p>
        </w:tc>
      </w:tr>
      <w:tr>
        <w:trPr>
          <w:trHeight w:val="168" w:hRule="atLeast"/>
        </w:trPr>
        <w:tc>
          <w:tcPr>
            <w:tcW w:w="7046" w:type="dxa"/>
          </w:tcPr>
          <w:p>
            <w:pPr>
              <w:pStyle w:val="TableParagraph"/>
              <w:spacing w:line="141" w:lineRule="exact" w:before="7"/>
              <w:ind w:left="134"/>
              <w:rPr>
                <w:sz w:val="13"/>
              </w:rPr>
            </w:pPr>
            <w:r>
              <w:rPr>
                <w:w w:val="105"/>
                <w:sz w:val="13"/>
              </w:rPr>
              <w:t>Release of PFI deferred credit</w:t>
            </w:r>
          </w:p>
        </w:tc>
        <w:tc>
          <w:tcPr>
            <w:tcW w:w="706" w:type="dxa"/>
          </w:tcPr>
          <w:p>
            <w:pPr>
              <w:pStyle w:val="TableParagraph"/>
              <w:rPr>
                <w:rFonts w:ascii="Times New Roman"/>
                <w:sz w:val="10"/>
              </w:rPr>
            </w:pPr>
          </w:p>
        </w:tc>
        <w:tc>
          <w:tcPr>
            <w:tcW w:w="972" w:type="dxa"/>
          </w:tcPr>
          <w:p>
            <w:pPr>
              <w:pStyle w:val="TableParagraph"/>
              <w:spacing w:line="141"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7"/>
              <w:ind w:right="38"/>
              <w:jc w:val="right"/>
              <w:rPr>
                <w:sz w:val="13"/>
              </w:rPr>
            </w:pPr>
            <w:r>
              <w:rPr>
                <w:w w:val="103"/>
                <w:sz w:val="13"/>
              </w:rPr>
              <w:t>0</w:t>
            </w:r>
          </w:p>
        </w:tc>
      </w:tr>
      <w:tr>
        <w:trPr>
          <w:trHeight w:val="167" w:hRule="atLeast"/>
        </w:trPr>
        <w:tc>
          <w:tcPr>
            <w:tcW w:w="7046" w:type="dxa"/>
          </w:tcPr>
          <w:p>
            <w:pPr>
              <w:pStyle w:val="TableParagraph"/>
              <w:spacing w:line="141" w:lineRule="exact" w:before="7"/>
              <w:ind w:left="134"/>
              <w:rPr>
                <w:sz w:val="13"/>
              </w:rPr>
            </w:pPr>
            <w:r>
              <w:rPr>
                <w:w w:val="105"/>
                <w:sz w:val="13"/>
              </w:rPr>
              <w:t>Other Gains &amp; Losses</w:t>
            </w:r>
          </w:p>
        </w:tc>
        <w:tc>
          <w:tcPr>
            <w:tcW w:w="706" w:type="dxa"/>
          </w:tcPr>
          <w:p>
            <w:pPr>
              <w:pStyle w:val="TableParagraph"/>
              <w:rPr>
                <w:rFonts w:ascii="Times New Roman"/>
                <w:sz w:val="10"/>
              </w:rPr>
            </w:pPr>
          </w:p>
        </w:tc>
        <w:tc>
          <w:tcPr>
            <w:tcW w:w="972" w:type="dxa"/>
          </w:tcPr>
          <w:p>
            <w:pPr>
              <w:pStyle w:val="TableParagraph"/>
              <w:spacing w:line="141"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7"/>
              <w:ind w:right="38"/>
              <w:jc w:val="right"/>
              <w:rPr>
                <w:sz w:val="13"/>
              </w:rPr>
            </w:pPr>
            <w:r>
              <w:rPr>
                <w:w w:val="103"/>
                <w:sz w:val="13"/>
              </w:rPr>
              <w:t>0</w:t>
            </w:r>
          </w:p>
        </w:tc>
      </w:tr>
      <w:tr>
        <w:trPr>
          <w:trHeight w:val="167" w:hRule="atLeast"/>
        </w:trPr>
        <w:tc>
          <w:tcPr>
            <w:tcW w:w="7046" w:type="dxa"/>
          </w:tcPr>
          <w:p>
            <w:pPr>
              <w:pStyle w:val="TableParagraph"/>
              <w:spacing w:line="141" w:lineRule="exact" w:before="7"/>
              <w:ind w:left="134"/>
              <w:rPr>
                <w:sz w:val="13"/>
              </w:rPr>
            </w:pPr>
            <w:r>
              <w:rPr>
                <w:w w:val="105"/>
                <w:sz w:val="13"/>
              </w:rPr>
              <w:t>Finance Costs</w:t>
            </w:r>
          </w:p>
        </w:tc>
        <w:tc>
          <w:tcPr>
            <w:tcW w:w="706" w:type="dxa"/>
          </w:tcPr>
          <w:p>
            <w:pPr>
              <w:pStyle w:val="TableParagraph"/>
              <w:rPr>
                <w:rFonts w:ascii="Times New Roman"/>
                <w:sz w:val="10"/>
              </w:rPr>
            </w:pPr>
          </w:p>
        </w:tc>
        <w:tc>
          <w:tcPr>
            <w:tcW w:w="972" w:type="dxa"/>
          </w:tcPr>
          <w:p>
            <w:pPr>
              <w:pStyle w:val="TableParagraph"/>
              <w:spacing w:line="141"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7"/>
              <w:ind w:right="38"/>
              <w:jc w:val="right"/>
              <w:rPr>
                <w:sz w:val="13"/>
              </w:rPr>
            </w:pPr>
            <w:r>
              <w:rPr>
                <w:w w:val="103"/>
                <w:sz w:val="13"/>
              </w:rPr>
              <w:t>0</w:t>
            </w:r>
          </w:p>
        </w:tc>
      </w:tr>
      <w:tr>
        <w:trPr>
          <w:trHeight w:val="166" w:hRule="atLeast"/>
        </w:trPr>
        <w:tc>
          <w:tcPr>
            <w:tcW w:w="7046" w:type="dxa"/>
          </w:tcPr>
          <w:p>
            <w:pPr>
              <w:pStyle w:val="TableParagraph"/>
              <w:spacing w:line="140" w:lineRule="exact" w:before="7"/>
              <w:ind w:left="134"/>
              <w:rPr>
                <w:sz w:val="13"/>
              </w:rPr>
            </w:pPr>
            <w:r>
              <w:rPr>
                <w:w w:val="105"/>
                <w:sz w:val="13"/>
              </w:rPr>
              <w:t>Unwinding of Discounts</w:t>
            </w:r>
          </w:p>
        </w:tc>
        <w:tc>
          <w:tcPr>
            <w:tcW w:w="706" w:type="dxa"/>
          </w:tcPr>
          <w:p>
            <w:pPr>
              <w:pStyle w:val="TableParagraph"/>
              <w:rPr>
                <w:rFonts w:ascii="Times New Roman"/>
                <w:sz w:val="10"/>
              </w:rPr>
            </w:pPr>
          </w:p>
        </w:tc>
        <w:tc>
          <w:tcPr>
            <w:tcW w:w="972" w:type="dxa"/>
          </w:tcPr>
          <w:p>
            <w:pPr>
              <w:pStyle w:val="TableParagraph"/>
              <w:spacing w:line="140"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0" w:lineRule="exact" w:before="7"/>
              <w:ind w:right="38"/>
              <w:jc w:val="right"/>
              <w:rPr>
                <w:sz w:val="13"/>
              </w:rPr>
            </w:pPr>
            <w:r>
              <w:rPr>
                <w:w w:val="103"/>
                <w:sz w:val="13"/>
              </w:rPr>
              <w:t>0</w:t>
            </w:r>
          </w:p>
        </w:tc>
      </w:tr>
      <w:tr>
        <w:trPr>
          <w:trHeight w:val="166" w:hRule="atLeast"/>
        </w:trPr>
        <w:tc>
          <w:tcPr>
            <w:tcW w:w="7046" w:type="dxa"/>
          </w:tcPr>
          <w:p>
            <w:pPr>
              <w:pStyle w:val="TableParagraph"/>
              <w:spacing w:line="141" w:lineRule="exact" w:before="5"/>
              <w:ind w:left="134"/>
              <w:rPr>
                <w:sz w:val="13"/>
              </w:rPr>
            </w:pPr>
            <w:r>
              <w:rPr>
                <w:w w:val="105"/>
                <w:sz w:val="13"/>
              </w:rPr>
              <w:t>(Increase)/decrease in inventories</w:t>
            </w:r>
          </w:p>
        </w:tc>
        <w:tc>
          <w:tcPr>
            <w:tcW w:w="706" w:type="dxa"/>
          </w:tcPr>
          <w:p>
            <w:pPr>
              <w:pStyle w:val="TableParagraph"/>
              <w:rPr>
                <w:rFonts w:ascii="Times New Roman"/>
                <w:sz w:val="10"/>
              </w:rPr>
            </w:pPr>
          </w:p>
        </w:tc>
        <w:tc>
          <w:tcPr>
            <w:tcW w:w="972" w:type="dxa"/>
          </w:tcPr>
          <w:p>
            <w:pPr>
              <w:pStyle w:val="TableParagraph"/>
              <w:spacing w:line="141" w:lineRule="exact" w:before="5"/>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5"/>
              <w:ind w:right="38"/>
              <w:jc w:val="right"/>
              <w:rPr>
                <w:sz w:val="13"/>
              </w:rPr>
            </w:pPr>
            <w:r>
              <w:rPr>
                <w:w w:val="103"/>
                <w:sz w:val="13"/>
              </w:rPr>
              <w:t>0</w:t>
            </w:r>
          </w:p>
        </w:tc>
      </w:tr>
      <w:tr>
        <w:trPr>
          <w:trHeight w:val="166" w:hRule="atLeast"/>
        </w:trPr>
        <w:tc>
          <w:tcPr>
            <w:tcW w:w="7046" w:type="dxa"/>
          </w:tcPr>
          <w:p>
            <w:pPr>
              <w:pStyle w:val="TableParagraph"/>
              <w:spacing w:line="140" w:lineRule="exact" w:before="7"/>
              <w:ind w:left="134"/>
              <w:rPr>
                <w:sz w:val="13"/>
              </w:rPr>
            </w:pPr>
            <w:r>
              <w:rPr>
                <w:w w:val="105"/>
                <w:sz w:val="13"/>
              </w:rPr>
              <w:t>(Increase)/decrease in trade &amp; other receivables</w:t>
            </w:r>
          </w:p>
        </w:tc>
        <w:tc>
          <w:tcPr>
            <w:tcW w:w="706" w:type="dxa"/>
          </w:tcPr>
          <w:p>
            <w:pPr>
              <w:pStyle w:val="TableParagraph"/>
              <w:spacing w:line="140" w:lineRule="exact" w:before="7"/>
              <w:ind w:left="281"/>
              <w:rPr>
                <w:sz w:val="13"/>
              </w:rPr>
            </w:pPr>
            <w:r>
              <w:rPr>
                <w:w w:val="103"/>
                <w:sz w:val="13"/>
              </w:rPr>
              <w:t>8</w:t>
            </w:r>
          </w:p>
        </w:tc>
        <w:tc>
          <w:tcPr>
            <w:tcW w:w="972" w:type="dxa"/>
          </w:tcPr>
          <w:p>
            <w:pPr>
              <w:pStyle w:val="TableParagraph"/>
              <w:spacing w:line="140" w:lineRule="exact" w:before="7"/>
              <w:ind w:right="42"/>
              <w:jc w:val="right"/>
              <w:rPr>
                <w:sz w:val="13"/>
              </w:rPr>
            </w:pPr>
            <w:r>
              <w:rPr>
                <w:sz w:val="13"/>
              </w:rPr>
              <w:t>235</w:t>
            </w:r>
          </w:p>
        </w:tc>
        <w:tc>
          <w:tcPr>
            <w:tcW w:w="109" w:type="dxa"/>
          </w:tcPr>
          <w:p>
            <w:pPr>
              <w:pStyle w:val="TableParagraph"/>
              <w:rPr>
                <w:rFonts w:ascii="Times New Roman"/>
                <w:sz w:val="10"/>
              </w:rPr>
            </w:pPr>
          </w:p>
        </w:tc>
        <w:tc>
          <w:tcPr>
            <w:tcW w:w="972" w:type="dxa"/>
          </w:tcPr>
          <w:p>
            <w:pPr>
              <w:pStyle w:val="TableParagraph"/>
              <w:spacing w:line="140" w:lineRule="exact" w:before="7"/>
              <w:ind w:right="38"/>
              <w:jc w:val="right"/>
              <w:rPr>
                <w:sz w:val="13"/>
              </w:rPr>
            </w:pPr>
            <w:r>
              <w:rPr>
                <w:sz w:val="13"/>
              </w:rPr>
              <w:t>286</w:t>
            </w:r>
          </w:p>
        </w:tc>
      </w:tr>
      <w:tr>
        <w:trPr>
          <w:trHeight w:val="166" w:hRule="atLeast"/>
        </w:trPr>
        <w:tc>
          <w:tcPr>
            <w:tcW w:w="7046" w:type="dxa"/>
          </w:tcPr>
          <w:p>
            <w:pPr>
              <w:pStyle w:val="TableParagraph"/>
              <w:spacing w:line="141" w:lineRule="exact" w:before="5"/>
              <w:ind w:left="134"/>
              <w:rPr>
                <w:sz w:val="13"/>
              </w:rPr>
            </w:pPr>
            <w:r>
              <w:rPr>
                <w:w w:val="105"/>
                <w:sz w:val="13"/>
              </w:rPr>
              <w:t>(Increase)/decrease in other current assets</w:t>
            </w:r>
          </w:p>
        </w:tc>
        <w:tc>
          <w:tcPr>
            <w:tcW w:w="706" w:type="dxa"/>
          </w:tcPr>
          <w:p>
            <w:pPr>
              <w:pStyle w:val="TableParagraph"/>
              <w:rPr>
                <w:rFonts w:ascii="Times New Roman"/>
                <w:sz w:val="10"/>
              </w:rPr>
            </w:pPr>
          </w:p>
        </w:tc>
        <w:tc>
          <w:tcPr>
            <w:tcW w:w="972" w:type="dxa"/>
          </w:tcPr>
          <w:p>
            <w:pPr>
              <w:pStyle w:val="TableParagraph"/>
              <w:spacing w:line="141" w:lineRule="exact" w:before="5"/>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5"/>
              <w:ind w:right="38"/>
              <w:jc w:val="right"/>
              <w:rPr>
                <w:sz w:val="13"/>
              </w:rPr>
            </w:pPr>
            <w:r>
              <w:rPr>
                <w:w w:val="103"/>
                <w:sz w:val="13"/>
              </w:rPr>
              <w:t>0</w:t>
            </w:r>
          </w:p>
        </w:tc>
      </w:tr>
      <w:tr>
        <w:trPr>
          <w:trHeight w:val="167" w:hRule="atLeast"/>
        </w:trPr>
        <w:tc>
          <w:tcPr>
            <w:tcW w:w="7046" w:type="dxa"/>
          </w:tcPr>
          <w:p>
            <w:pPr>
              <w:pStyle w:val="TableParagraph"/>
              <w:spacing w:line="141" w:lineRule="exact" w:before="7"/>
              <w:ind w:left="134"/>
              <w:rPr>
                <w:sz w:val="13"/>
              </w:rPr>
            </w:pPr>
            <w:r>
              <w:rPr>
                <w:w w:val="105"/>
                <w:sz w:val="13"/>
              </w:rPr>
              <w:t>Increase/(decrease) in trade &amp; other payables</w:t>
            </w:r>
          </w:p>
        </w:tc>
        <w:tc>
          <w:tcPr>
            <w:tcW w:w="706" w:type="dxa"/>
          </w:tcPr>
          <w:p>
            <w:pPr>
              <w:pStyle w:val="TableParagraph"/>
              <w:spacing w:line="141" w:lineRule="exact" w:before="7"/>
              <w:ind w:left="281"/>
              <w:rPr>
                <w:sz w:val="13"/>
              </w:rPr>
            </w:pPr>
            <w:r>
              <w:rPr>
                <w:w w:val="105"/>
                <w:sz w:val="13"/>
              </w:rPr>
              <w:t>10</w:t>
            </w:r>
          </w:p>
        </w:tc>
        <w:tc>
          <w:tcPr>
            <w:tcW w:w="972" w:type="dxa"/>
          </w:tcPr>
          <w:p>
            <w:pPr>
              <w:pStyle w:val="TableParagraph"/>
              <w:spacing w:line="141" w:lineRule="exact" w:before="7"/>
              <w:ind w:right="43"/>
              <w:jc w:val="right"/>
              <w:rPr>
                <w:sz w:val="13"/>
              </w:rPr>
            </w:pPr>
            <w:r>
              <w:rPr>
                <w:sz w:val="13"/>
              </w:rPr>
              <w:t>1,684</w:t>
            </w:r>
          </w:p>
        </w:tc>
        <w:tc>
          <w:tcPr>
            <w:tcW w:w="109" w:type="dxa"/>
          </w:tcPr>
          <w:p>
            <w:pPr>
              <w:pStyle w:val="TableParagraph"/>
              <w:rPr>
                <w:rFonts w:ascii="Times New Roman"/>
                <w:sz w:val="10"/>
              </w:rPr>
            </w:pPr>
          </w:p>
        </w:tc>
        <w:tc>
          <w:tcPr>
            <w:tcW w:w="972" w:type="dxa"/>
          </w:tcPr>
          <w:p>
            <w:pPr>
              <w:pStyle w:val="TableParagraph"/>
              <w:spacing w:line="141" w:lineRule="exact" w:before="7"/>
              <w:ind w:right="38"/>
              <w:jc w:val="right"/>
              <w:rPr>
                <w:sz w:val="13"/>
              </w:rPr>
            </w:pPr>
            <w:r>
              <w:rPr>
                <w:sz w:val="13"/>
              </w:rPr>
              <w:t>943</w:t>
            </w:r>
          </w:p>
        </w:tc>
      </w:tr>
      <w:tr>
        <w:trPr>
          <w:trHeight w:val="168" w:hRule="atLeast"/>
        </w:trPr>
        <w:tc>
          <w:tcPr>
            <w:tcW w:w="7046" w:type="dxa"/>
          </w:tcPr>
          <w:p>
            <w:pPr>
              <w:pStyle w:val="TableParagraph"/>
              <w:spacing w:line="141" w:lineRule="exact" w:before="7"/>
              <w:ind w:left="134"/>
              <w:rPr>
                <w:sz w:val="13"/>
              </w:rPr>
            </w:pPr>
            <w:r>
              <w:rPr>
                <w:w w:val="105"/>
                <w:sz w:val="13"/>
              </w:rPr>
              <w:t>Increase/(decrease) in other current liabilities</w:t>
            </w:r>
          </w:p>
        </w:tc>
        <w:tc>
          <w:tcPr>
            <w:tcW w:w="706" w:type="dxa"/>
          </w:tcPr>
          <w:p>
            <w:pPr>
              <w:pStyle w:val="TableParagraph"/>
              <w:rPr>
                <w:rFonts w:ascii="Times New Roman"/>
                <w:sz w:val="10"/>
              </w:rPr>
            </w:pPr>
          </w:p>
        </w:tc>
        <w:tc>
          <w:tcPr>
            <w:tcW w:w="972" w:type="dxa"/>
          </w:tcPr>
          <w:p>
            <w:pPr>
              <w:pStyle w:val="TableParagraph"/>
              <w:spacing w:line="141"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7"/>
              <w:ind w:right="38"/>
              <w:jc w:val="right"/>
              <w:rPr>
                <w:sz w:val="13"/>
              </w:rPr>
            </w:pPr>
            <w:r>
              <w:rPr>
                <w:w w:val="103"/>
                <w:sz w:val="13"/>
              </w:rPr>
              <w:t>0</w:t>
            </w:r>
          </w:p>
        </w:tc>
      </w:tr>
      <w:tr>
        <w:trPr>
          <w:trHeight w:val="166" w:hRule="atLeast"/>
        </w:trPr>
        <w:tc>
          <w:tcPr>
            <w:tcW w:w="7046" w:type="dxa"/>
          </w:tcPr>
          <w:p>
            <w:pPr>
              <w:pStyle w:val="TableParagraph"/>
              <w:spacing w:line="140" w:lineRule="exact" w:before="7"/>
              <w:ind w:left="134"/>
              <w:rPr>
                <w:sz w:val="13"/>
              </w:rPr>
            </w:pPr>
            <w:r>
              <w:rPr>
                <w:w w:val="105"/>
                <w:sz w:val="13"/>
              </w:rPr>
              <w:t>Provisions utilised</w:t>
            </w:r>
          </w:p>
        </w:tc>
        <w:tc>
          <w:tcPr>
            <w:tcW w:w="706" w:type="dxa"/>
          </w:tcPr>
          <w:p>
            <w:pPr>
              <w:pStyle w:val="TableParagraph"/>
              <w:rPr>
                <w:rFonts w:ascii="Times New Roman"/>
                <w:sz w:val="10"/>
              </w:rPr>
            </w:pPr>
          </w:p>
        </w:tc>
        <w:tc>
          <w:tcPr>
            <w:tcW w:w="972" w:type="dxa"/>
          </w:tcPr>
          <w:p>
            <w:pPr>
              <w:pStyle w:val="TableParagraph"/>
              <w:spacing w:line="140"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0" w:lineRule="exact" w:before="7"/>
              <w:ind w:right="38"/>
              <w:jc w:val="right"/>
              <w:rPr>
                <w:sz w:val="13"/>
              </w:rPr>
            </w:pPr>
            <w:r>
              <w:rPr>
                <w:w w:val="103"/>
                <w:sz w:val="13"/>
              </w:rPr>
              <w:t>0</w:t>
            </w:r>
          </w:p>
        </w:tc>
      </w:tr>
      <w:tr>
        <w:trPr>
          <w:trHeight w:val="170" w:hRule="atLeast"/>
        </w:trPr>
        <w:tc>
          <w:tcPr>
            <w:tcW w:w="7046" w:type="dxa"/>
          </w:tcPr>
          <w:p>
            <w:pPr>
              <w:pStyle w:val="TableParagraph"/>
              <w:spacing w:line="145" w:lineRule="exact" w:before="5"/>
              <w:ind w:left="134"/>
              <w:rPr>
                <w:sz w:val="13"/>
              </w:rPr>
            </w:pPr>
            <w:r>
              <w:rPr>
                <w:w w:val="105"/>
                <w:sz w:val="13"/>
              </w:rPr>
              <w:t>Increase/(decrease) in provisions</w:t>
            </w:r>
          </w:p>
        </w:tc>
        <w:tc>
          <w:tcPr>
            <w:tcW w:w="1787" w:type="dxa"/>
            <w:gridSpan w:val="3"/>
          </w:tcPr>
          <w:p>
            <w:pPr>
              <w:pStyle w:val="TableParagraph"/>
              <w:tabs>
                <w:tab w:pos="1603" w:val="left" w:leader="none"/>
              </w:tabs>
              <w:spacing w:line="145" w:lineRule="exact" w:before="5"/>
              <w:ind w:left="754"/>
              <w:rPr>
                <w:sz w:val="13"/>
              </w:rPr>
            </w:pPr>
            <w:r>
              <w:rPr>
                <w:w w:val="103"/>
                <w:sz w:val="13"/>
                <w:u w:val="single"/>
              </w:rPr>
              <w:t> </w:t>
            </w:r>
            <w:r>
              <w:rPr>
                <w:sz w:val="13"/>
                <w:u w:val="single"/>
              </w:rPr>
              <w:tab/>
            </w:r>
            <w:r>
              <w:rPr>
                <w:w w:val="105"/>
                <w:sz w:val="13"/>
                <w:u w:val="single"/>
              </w:rPr>
              <w:t>0</w:t>
            </w:r>
          </w:p>
        </w:tc>
        <w:tc>
          <w:tcPr>
            <w:tcW w:w="972" w:type="dxa"/>
          </w:tcPr>
          <w:p>
            <w:pPr>
              <w:pStyle w:val="TableParagraph"/>
              <w:tabs>
                <w:tab w:pos="849" w:val="left" w:leader="none"/>
              </w:tabs>
              <w:spacing w:line="145" w:lineRule="exact" w:before="5"/>
              <w:ind w:right="-15"/>
              <w:jc w:val="right"/>
              <w:rPr>
                <w:sz w:val="13"/>
              </w:rPr>
            </w:pPr>
            <w:r>
              <w:rPr>
                <w:w w:val="103"/>
                <w:sz w:val="13"/>
                <w:u w:val="single"/>
              </w:rPr>
              <w:t> </w:t>
            </w:r>
            <w:r>
              <w:rPr>
                <w:sz w:val="13"/>
                <w:u w:val="single"/>
              </w:rPr>
              <w:tab/>
              <w:t>0</w:t>
            </w:r>
          </w:p>
        </w:tc>
      </w:tr>
      <w:tr>
        <w:trPr>
          <w:trHeight w:val="252" w:hRule="atLeast"/>
        </w:trPr>
        <w:tc>
          <w:tcPr>
            <w:tcW w:w="7046" w:type="dxa"/>
          </w:tcPr>
          <w:p>
            <w:pPr>
              <w:pStyle w:val="TableParagraph"/>
              <w:spacing w:before="10"/>
              <w:ind w:left="134"/>
              <w:rPr>
                <w:b/>
                <w:sz w:val="13"/>
              </w:rPr>
            </w:pPr>
            <w:r>
              <w:rPr>
                <w:b/>
                <w:w w:val="105"/>
                <w:sz w:val="13"/>
              </w:rPr>
              <w:t>Net Cash Inflow (Outflow) from Operating Activities</w:t>
            </w:r>
          </w:p>
        </w:tc>
        <w:tc>
          <w:tcPr>
            <w:tcW w:w="1787" w:type="dxa"/>
            <w:gridSpan w:val="3"/>
          </w:tcPr>
          <w:p>
            <w:pPr>
              <w:pStyle w:val="TableParagraph"/>
              <w:spacing w:before="10"/>
              <w:ind w:left="1052"/>
              <w:rPr>
                <w:b/>
                <w:sz w:val="13"/>
              </w:rPr>
            </w:pPr>
            <w:r>
              <w:rPr>
                <w:b/>
                <w:w w:val="105"/>
                <w:sz w:val="13"/>
              </w:rPr>
              <w:t>(317,529)</w:t>
            </w:r>
          </w:p>
        </w:tc>
        <w:tc>
          <w:tcPr>
            <w:tcW w:w="972" w:type="dxa"/>
          </w:tcPr>
          <w:p>
            <w:pPr>
              <w:pStyle w:val="TableParagraph"/>
              <w:spacing w:before="10"/>
              <w:ind w:right="38"/>
              <w:jc w:val="right"/>
              <w:rPr>
                <w:sz w:val="13"/>
              </w:rPr>
            </w:pPr>
            <w:r>
              <w:rPr>
                <w:w w:val="105"/>
                <w:sz w:val="13"/>
              </w:rPr>
              <w:t>(296,584)</w:t>
            </w:r>
          </w:p>
        </w:tc>
      </w:tr>
      <w:tr>
        <w:trPr>
          <w:trHeight w:val="248" w:hRule="atLeast"/>
        </w:trPr>
        <w:tc>
          <w:tcPr>
            <w:tcW w:w="7046" w:type="dxa"/>
          </w:tcPr>
          <w:p>
            <w:pPr>
              <w:pStyle w:val="TableParagraph"/>
              <w:spacing w:line="141" w:lineRule="exact" w:before="87"/>
              <w:ind w:left="134"/>
              <w:rPr>
                <w:b/>
                <w:sz w:val="13"/>
              </w:rPr>
            </w:pPr>
            <w:r>
              <w:rPr>
                <w:b/>
                <w:w w:val="105"/>
                <w:sz w:val="13"/>
              </w:rPr>
              <w:t>Cash Flows from Investing Activities</w:t>
            </w:r>
          </w:p>
        </w:tc>
        <w:tc>
          <w:tcPr>
            <w:tcW w:w="706" w:type="dxa"/>
          </w:tcPr>
          <w:p>
            <w:pPr>
              <w:pStyle w:val="TableParagraph"/>
              <w:rPr>
                <w:rFonts w:ascii="Times New Roman"/>
                <w:sz w:val="12"/>
              </w:rPr>
            </w:pPr>
          </w:p>
        </w:tc>
        <w:tc>
          <w:tcPr>
            <w:tcW w:w="972" w:type="dxa"/>
          </w:tcPr>
          <w:p>
            <w:pPr>
              <w:pStyle w:val="TableParagraph"/>
              <w:rPr>
                <w:rFonts w:ascii="Times New Roman"/>
                <w:sz w:val="12"/>
              </w:rPr>
            </w:pPr>
          </w:p>
        </w:tc>
        <w:tc>
          <w:tcPr>
            <w:tcW w:w="109" w:type="dxa"/>
          </w:tcPr>
          <w:p>
            <w:pPr>
              <w:pStyle w:val="TableParagraph"/>
              <w:rPr>
                <w:rFonts w:ascii="Times New Roman"/>
                <w:sz w:val="12"/>
              </w:rPr>
            </w:pPr>
          </w:p>
        </w:tc>
        <w:tc>
          <w:tcPr>
            <w:tcW w:w="972" w:type="dxa"/>
          </w:tcPr>
          <w:p>
            <w:pPr>
              <w:pStyle w:val="TableParagraph"/>
              <w:rPr>
                <w:rFonts w:ascii="Times New Roman"/>
                <w:sz w:val="12"/>
              </w:rPr>
            </w:pPr>
          </w:p>
        </w:tc>
      </w:tr>
      <w:tr>
        <w:trPr>
          <w:trHeight w:val="166" w:hRule="atLeast"/>
        </w:trPr>
        <w:tc>
          <w:tcPr>
            <w:tcW w:w="7046" w:type="dxa"/>
          </w:tcPr>
          <w:p>
            <w:pPr>
              <w:pStyle w:val="TableParagraph"/>
              <w:spacing w:line="140" w:lineRule="exact" w:before="7"/>
              <w:ind w:left="134"/>
              <w:rPr>
                <w:sz w:val="13"/>
              </w:rPr>
            </w:pPr>
            <w:r>
              <w:rPr>
                <w:w w:val="105"/>
                <w:sz w:val="13"/>
              </w:rPr>
              <w:t>Interest received</w:t>
            </w:r>
          </w:p>
        </w:tc>
        <w:tc>
          <w:tcPr>
            <w:tcW w:w="706" w:type="dxa"/>
          </w:tcPr>
          <w:p>
            <w:pPr>
              <w:pStyle w:val="TableParagraph"/>
              <w:rPr>
                <w:rFonts w:ascii="Times New Roman"/>
                <w:sz w:val="10"/>
              </w:rPr>
            </w:pPr>
          </w:p>
        </w:tc>
        <w:tc>
          <w:tcPr>
            <w:tcW w:w="972" w:type="dxa"/>
          </w:tcPr>
          <w:p>
            <w:pPr>
              <w:pStyle w:val="TableParagraph"/>
              <w:spacing w:line="140"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0" w:lineRule="exact" w:before="7"/>
              <w:ind w:right="38"/>
              <w:jc w:val="right"/>
              <w:rPr>
                <w:sz w:val="13"/>
              </w:rPr>
            </w:pPr>
            <w:r>
              <w:rPr>
                <w:w w:val="103"/>
                <w:sz w:val="13"/>
              </w:rPr>
              <w:t>0</w:t>
            </w:r>
          </w:p>
        </w:tc>
      </w:tr>
      <w:tr>
        <w:trPr>
          <w:trHeight w:val="166" w:hRule="atLeast"/>
        </w:trPr>
        <w:tc>
          <w:tcPr>
            <w:tcW w:w="7046" w:type="dxa"/>
          </w:tcPr>
          <w:p>
            <w:pPr>
              <w:pStyle w:val="TableParagraph"/>
              <w:spacing w:line="141" w:lineRule="exact" w:before="5"/>
              <w:ind w:left="134"/>
              <w:rPr>
                <w:sz w:val="13"/>
              </w:rPr>
            </w:pPr>
            <w:r>
              <w:rPr>
                <w:w w:val="105"/>
                <w:sz w:val="13"/>
              </w:rPr>
              <w:t>(Payments) for property, plant and equipment</w:t>
            </w:r>
          </w:p>
        </w:tc>
        <w:tc>
          <w:tcPr>
            <w:tcW w:w="706" w:type="dxa"/>
          </w:tcPr>
          <w:p>
            <w:pPr>
              <w:pStyle w:val="TableParagraph"/>
              <w:rPr>
                <w:rFonts w:ascii="Times New Roman"/>
                <w:sz w:val="10"/>
              </w:rPr>
            </w:pPr>
          </w:p>
        </w:tc>
        <w:tc>
          <w:tcPr>
            <w:tcW w:w="972" w:type="dxa"/>
          </w:tcPr>
          <w:p>
            <w:pPr>
              <w:pStyle w:val="TableParagraph"/>
              <w:spacing w:line="141" w:lineRule="exact" w:before="5"/>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5"/>
              <w:ind w:right="38"/>
              <w:jc w:val="right"/>
              <w:rPr>
                <w:sz w:val="13"/>
              </w:rPr>
            </w:pPr>
            <w:r>
              <w:rPr>
                <w:w w:val="103"/>
                <w:sz w:val="13"/>
              </w:rPr>
              <w:t>0</w:t>
            </w:r>
          </w:p>
        </w:tc>
      </w:tr>
      <w:tr>
        <w:trPr>
          <w:trHeight w:val="166" w:hRule="atLeast"/>
        </w:trPr>
        <w:tc>
          <w:tcPr>
            <w:tcW w:w="7046" w:type="dxa"/>
          </w:tcPr>
          <w:p>
            <w:pPr>
              <w:pStyle w:val="TableParagraph"/>
              <w:spacing w:line="140" w:lineRule="exact" w:before="7"/>
              <w:ind w:left="134"/>
              <w:rPr>
                <w:sz w:val="13"/>
              </w:rPr>
            </w:pPr>
            <w:r>
              <w:rPr>
                <w:w w:val="105"/>
                <w:sz w:val="13"/>
              </w:rPr>
              <w:t>(Payments) for intangible assets</w:t>
            </w:r>
          </w:p>
        </w:tc>
        <w:tc>
          <w:tcPr>
            <w:tcW w:w="706" w:type="dxa"/>
          </w:tcPr>
          <w:p>
            <w:pPr>
              <w:pStyle w:val="TableParagraph"/>
              <w:rPr>
                <w:rFonts w:ascii="Times New Roman"/>
                <w:sz w:val="10"/>
              </w:rPr>
            </w:pPr>
          </w:p>
        </w:tc>
        <w:tc>
          <w:tcPr>
            <w:tcW w:w="972" w:type="dxa"/>
          </w:tcPr>
          <w:p>
            <w:pPr>
              <w:pStyle w:val="TableParagraph"/>
              <w:spacing w:line="140"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0" w:lineRule="exact" w:before="7"/>
              <w:ind w:right="38"/>
              <w:jc w:val="right"/>
              <w:rPr>
                <w:sz w:val="13"/>
              </w:rPr>
            </w:pPr>
            <w:r>
              <w:rPr>
                <w:w w:val="103"/>
                <w:sz w:val="13"/>
              </w:rPr>
              <w:t>0</w:t>
            </w:r>
          </w:p>
        </w:tc>
      </w:tr>
      <w:tr>
        <w:trPr>
          <w:trHeight w:val="166" w:hRule="atLeast"/>
        </w:trPr>
        <w:tc>
          <w:tcPr>
            <w:tcW w:w="7046" w:type="dxa"/>
          </w:tcPr>
          <w:p>
            <w:pPr>
              <w:pStyle w:val="TableParagraph"/>
              <w:spacing w:line="141" w:lineRule="exact" w:before="5"/>
              <w:ind w:left="134"/>
              <w:rPr>
                <w:sz w:val="13"/>
              </w:rPr>
            </w:pPr>
            <w:r>
              <w:rPr>
                <w:w w:val="105"/>
                <w:sz w:val="13"/>
              </w:rPr>
              <w:t>(Payments) for investments with the Department of Health</w:t>
            </w:r>
          </w:p>
        </w:tc>
        <w:tc>
          <w:tcPr>
            <w:tcW w:w="706" w:type="dxa"/>
          </w:tcPr>
          <w:p>
            <w:pPr>
              <w:pStyle w:val="TableParagraph"/>
              <w:rPr>
                <w:rFonts w:ascii="Times New Roman"/>
                <w:sz w:val="10"/>
              </w:rPr>
            </w:pPr>
          </w:p>
        </w:tc>
        <w:tc>
          <w:tcPr>
            <w:tcW w:w="972" w:type="dxa"/>
          </w:tcPr>
          <w:p>
            <w:pPr>
              <w:pStyle w:val="TableParagraph"/>
              <w:spacing w:line="141" w:lineRule="exact" w:before="5"/>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5"/>
              <w:ind w:right="38"/>
              <w:jc w:val="right"/>
              <w:rPr>
                <w:sz w:val="13"/>
              </w:rPr>
            </w:pPr>
            <w:r>
              <w:rPr>
                <w:w w:val="103"/>
                <w:sz w:val="13"/>
              </w:rPr>
              <w:t>0</w:t>
            </w:r>
          </w:p>
        </w:tc>
      </w:tr>
      <w:tr>
        <w:trPr>
          <w:trHeight w:val="167" w:hRule="atLeast"/>
        </w:trPr>
        <w:tc>
          <w:tcPr>
            <w:tcW w:w="7046" w:type="dxa"/>
          </w:tcPr>
          <w:p>
            <w:pPr>
              <w:pStyle w:val="TableParagraph"/>
              <w:spacing w:line="141" w:lineRule="exact" w:before="7"/>
              <w:ind w:left="134"/>
              <w:rPr>
                <w:sz w:val="13"/>
              </w:rPr>
            </w:pPr>
            <w:r>
              <w:rPr>
                <w:w w:val="105"/>
                <w:sz w:val="13"/>
              </w:rPr>
              <w:t>(Payments) for other financial assets</w:t>
            </w:r>
          </w:p>
        </w:tc>
        <w:tc>
          <w:tcPr>
            <w:tcW w:w="706" w:type="dxa"/>
          </w:tcPr>
          <w:p>
            <w:pPr>
              <w:pStyle w:val="TableParagraph"/>
              <w:rPr>
                <w:rFonts w:ascii="Times New Roman"/>
                <w:sz w:val="10"/>
              </w:rPr>
            </w:pPr>
          </w:p>
        </w:tc>
        <w:tc>
          <w:tcPr>
            <w:tcW w:w="972" w:type="dxa"/>
          </w:tcPr>
          <w:p>
            <w:pPr>
              <w:pStyle w:val="TableParagraph"/>
              <w:spacing w:line="141"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7"/>
              <w:ind w:right="38"/>
              <w:jc w:val="right"/>
              <w:rPr>
                <w:sz w:val="13"/>
              </w:rPr>
            </w:pPr>
            <w:r>
              <w:rPr>
                <w:w w:val="103"/>
                <w:sz w:val="13"/>
              </w:rPr>
              <w:t>0</w:t>
            </w:r>
          </w:p>
        </w:tc>
      </w:tr>
      <w:tr>
        <w:trPr>
          <w:trHeight w:val="168" w:hRule="atLeast"/>
        </w:trPr>
        <w:tc>
          <w:tcPr>
            <w:tcW w:w="7046" w:type="dxa"/>
          </w:tcPr>
          <w:p>
            <w:pPr>
              <w:pStyle w:val="TableParagraph"/>
              <w:spacing w:line="141" w:lineRule="exact" w:before="7"/>
              <w:ind w:left="134"/>
              <w:rPr>
                <w:sz w:val="13"/>
              </w:rPr>
            </w:pPr>
            <w:r>
              <w:rPr>
                <w:w w:val="105"/>
                <w:sz w:val="13"/>
              </w:rPr>
              <w:t>(Payments) for financial assets (LIFT)</w:t>
            </w:r>
          </w:p>
        </w:tc>
        <w:tc>
          <w:tcPr>
            <w:tcW w:w="706" w:type="dxa"/>
          </w:tcPr>
          <w:p>
            <w:pPr>
              <w:pStyle w:val="TableParagraph"/>
              <w:rPr>
                <w:rFonts w:ascii="Times New Roman"/>
                <w:sz w:val="10"/>
              </w:rPr>
            </w:pPr>
          </w:p>
        </w:tc>
        <w:tc>
          <w:tcPr>
            <w:tcW w:w="972" w:type="dxa"/>
          </w:tcPr>
          <w:p>
            <w:pPr>
              <w:pStyle w:val="TableParagraph"/>
              <w:spacing w:line="141"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7"/>
              <w:ind w:right="38"/>
              <w:jc w:val="right"/>
              <w:rPr>
                <w:sz w:val="13"/>
              </w:rPr>
            </w:pPr>
            <w:r>
              <w:rPr>
                <w:w w:val="103"/>
                <w:sz w:val="13"/>
              </w:rPr>
              <w:t>0</w:t>
            </w:r>
          </w:p>
        </w:tc>
      </w:tr>
      <w:tr>
        <w:trPr>
          <w:trHeight w:val="166" w:hRule="atLeast"/>
        </w:trPr>
        <w:tc>
          <w:tcPr>
            <w:tcW w:w="7046" w:type="dxa"/>
          </w:tcPr>
          <w:p>
            <w:pPr>
              <w:pStyle w:val="TableParagraph"/>
              <w:spacing w:line="140" w:lineRule="exact" w:before="7"/>
              <w:ind w:left="134"/>
              <w:rPr>
                <w:sz w:val="13"/>
              </w:rPr>
            </w:pPr>
            <w:r>
              <w:rPr>
                <w:w w:val="105"/>
                <w:sz w:val="13"/>
              </w:rPr>
              <w:t>Proceeds from disposal of assets held for sale: property, plant and equipment</w:t>
            </w:r>
          </w:p>
        </w:tc>
        <w:tc>
          <w:tcPr>
            <w:tcW w:w="706" w:type="dxa"/>
          </w:tcPr>
          <w:p>
            <w:pPr>
              <w:pStyle w:val="TableParagraph"/>
              <w:rPr>
                <w:rFonts w:ascii="Times New Roman"/>
                <w:sz w:val="10"/>
              </w:rPr>
            </w:pPr>
          </w:p>
        </w:tc>
        <w:tc>
          <w:tcPr>
            <w:tcW w:w="972" w:type="dxa"/>
          </w:tcPr>
          <w:p>
            <w:pPr>
              <w:pStyle w:val="TableParagraph"/>
              <w:spacing w:line="140"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0" w:lineRule="exact" w:before="7"/>
              <w:ind w:right="38"/>
              <w:jc w:val="right"/>
              <w:rPr>
                <w:sz w:val="13"/>
              </w:rPr>
            </w:pPr>
            <w:r>
              <w:rPr>
                <w:w w:val="103"/>
                <w:sz w:val="13"/>
              </w:rPr>
              <w:t>0</w:t>
            </w:r>
          </w:p>
        </w:tc>
      </w:tr>
      <w:tr>
        <w:trPr>
          <w:trHeight w:val="166" w:hRule="atLeast"/>
        </w:trPr>
        <w:tc>
          <w:tcPr>
            <w:tcW w:w="7046" w:type="dxa"/>
          </w:tcPr>
          <w:p>
            <w:pPr>
              <w:pStyle w:val="TableParagraph"/>
              <w:spacing w:line="141" w:lineRule="exact" w:before="5"/>
              <w:ind w:left="134"/>
              <w:rPr>
                <w:sz w:val="13"/>
              </w:rPr>
            </w:pPr>
            <w:r>
              <w:rPr>
                <w:w w:val="105"/>
                <w:sz w:val="13"/>
              </w:rPr>
              <w:t>Proceeds from disposal of assets held for sale: intangible assets</w:t>
            </w:r>
          </w:p>
        </w:tc>
        <w:tc>
          <w:tcPr>
            <w:tcW w:w="706" w:type="dxa"/>
          </w:tcPr>
          <w:p>
            <w:pPr>
              <w:pStyle w:val="TableParagraph"/>
              <w:rPr>
                <w:rFonts w:ascii="Times New Roman"/>
                <w:sz w:val="10"/>
              </w:rPr>
            </w:pPr>
          </w:p>
        </w:tc>
        <w:tc>
          <w:tcPr>
            <w:tcW w:w="972" w:type="dxa"/>
          </w:tcPr>
          <w:p>
            <w:pPr>
              <w:pStyle w:val="TableParagraph"/>
              <w:spacing w:line="141" w:lineRule="exact" w:before="5"/>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5"/>
              <w:ind w:right="38"/>
              <w:jc w:val="right"/>
              <w:rPr>
                <w:sz w:val="13"/>
              </w:rPr>
            </w:pPr>
            <w:r>
              <w:rPr>
                <w:w w:val="103"/>
                <w:sz w:val="13"/>
              </w:rPr>
              <w:t>0</w:t>
            </w:r>
          </w:p>
        </w:tc>
      </w:tr>
      <w:tr>
        <w:trPr>
          <w:trHeight w:val="166" w:hRule="atLeast"/>
        </w:trPr>
        <w:tc>
          <w:tcPr>
            <w:tcW w:w="7046" w:type="dxa"/>
          </w:tcPr>
          <w:p>
            <w:pPr>
              <w:pStyle w:val="TableParagraph"/>
              <w:spacing w:line="140" w:lineRule="exact" w:before="7"/>
              <w:ind w:left="134"/>
              <w:rPr>
                <w:sz w:val="13"/>
              </w:rPr>
            </w:pPr>
            <w:r>
              <w:rPr>
                <w:w w:val="105"/>
                <w:sz w:val="13"/>
              </w:rPr>
              <w:t>Proceeds from disposal of investments with the Department of Health</w:t>
            </w:r>
          </w:p>
        </w:tc>
        <w:tc>
          <w:tcPr>
            <w:tcW w:w="706" w:type="dxa"/>
          </w:tcPr>
          <w:p>
            <w:pPr>
              <w:pStyle w:val="TableParagraph"/>
              <w:rPr>
                <w:rFonts w:ascii="Times New Roman"/>
                <w:sz w:val="10"/>
              </w:rPr>
            </w:pPr>
          </w:p>
        </w:tc>
        <w:tc>
          <w:tcPr>
            <w:tcW w:w="972" w:type="dxa"/>
          </w:tcPr>
          <w:p>
            <w:pPr>
              <w:pStyle w:val="TableParagraph"/>
              <w:spacing w:line="140"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0" w:lineRule="exact" w:before="7"/>
              <w:ind w:right="38"/>
              <w:jc w:val="right"/>
              <w:rPr>
                <w:sz w:val="13"/>
              </w:rPr>
            </w:pPr>
            <w:r>
              <w:rPr>
                <w:w w:val="103"/>
                <w:sz w:val="13"/>
              </w:rPr>
              <w:t>0</w:t>
            </w:r>
          </w:p>
        </w:tc>
      </w:tr>
      <w:tr>
        <w:trPr>
          <w:trHeight w:val="166" w:hRule="atLeast"/>
        </w:trPr>
        <w:tc>
          <w:tcPr>
            <w:tcW w:w="7046" w:type="dxa"/>
          </w:tcPr>
          <w:p>
            <w:pPr>
              <w:pStyle w:val="TableParagraph"/>
              <w:spacing w:line="141" w:lineRule="exact" w:before="5"/>
              <w:ind w:left="134"/>
              <w:rPr>
                <w:sz w:val="13"/>
              </w:rPr>
            </w:pPr>
            <w:r>
              <w:rPr>
                <w:w w:val="105"/>
                <w:sz w:val="13"/>
              </w:rPr>
              <w:t>Proceeds from disposal of other financial assets</w:t>
            </w:r>
          </w:p>
        </w:tc>
        <w:tc>
          <w:tcPr>
            <w:tcW w:w="706" w:type="dxa"/>
          </w:tcPr>
          <w:p>
            <w:pPr>
              <w:pStyle w:val="TableParagraph"/>
              <w:rPr>
                <w:rFonts w:ascii="Times New Roman"/>
                <w:sz w:val="10"/>
              </w:rPr>
            </w:pPr>
          </w:p>
        </w:tc>
        <w:tc>
          <w:tcPr>
            <w:tcW w:w="972" w:type="dxa"/>
          </w:tcPr>
          <w:p>
            <w:pPr>
              <w:pStyle w:val="TableParagraph"/>
              <w:spacing w:line="141" w:lineRule="exact" w:before="5"/>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5"/>
              <w:ind w:right="38"/>
              <w:jc w:val="right"/>
              <w:rPr>
                <w:sz w:val="13"/>
              </w:rPr>
            </w:pPr>
            <w:r>
              <w:rPr>
                <w:w w:val="103"/>
                <w:sz w:val="13"/>
              </w:rPr>
              <w:t>0</w:t>
            </w:r>
          </w:p>
        </w:tc>
      </w:tr>
      <w:tr>
        <w:trPr>
          <w:trHeight w:val="168" w:hRule="atLeast"/>
        </w:trPr>
        <w:tc>
          <w:tcPr>
            <w:tcW w:w="7046" w:type="dxa"/>
          </w:tcPr>
          <w:p>
            <w:pPr>
              <w:pStyle w:val="TableParagraph"/>
              <w:spacing w:line="141" w:lineRule="exact" w:before="7"/>
              <w:ind w:left="134"/>
              <w:rPr>
                <w:sz w:val="13"/>
              </w:rPr>
            </w:pPr>
            <w:r>
              <w:rPr>
                <w:w w:val="105"/>
                <w:sz w:val="13"/>
              </w:rPr>
              <w:t>Proceeds from disposal of financial assets (LIFT)</w:t>
            </w:r>
          </w:p>
        </w:tc>
        <w:tc>
          <w:tcPr>
            <w:tcW w:w="706" w:type="dxa"/>
          </w:tcPr>
          <w:p>
            <w:pPr>
              <w:pStyle w:val="TableParagraph"/>
              <w:rPr>
                <w:rFonts w:ascii="Times New Roman"/>
                <w:sz w:val="10"/>
              </w:rPr>
            </w:pPr>
          </w:p>
        </w:tc>
        <w:tc>
          <w:tcPr>
            <w:tcW w:w="972" w:type="dxa"/>
          </w:tcPr>
          <w:p>
            <w:pPr>
              <w:pStyle w:val="TableParagraph"/>
              <w:spacing w:line="141"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7"/>
              <w:ind w:right="38"/>
              <w:jc w:val="right"/>
              <w:rPr>
                <w:sz w:val="13"/>
              </w:rPr>
            </w:pPr>
            <w:r>
              <w:rPr>
                <w:w w:val="103"/>
                <w:sz w:val="13"/>
              </w:rPr>
              <w:t>0</w:t>
            </w:r>
          </w:p>
        </w:tc>
      </w:tr>
      <w:tr>
        <w:trPr>
          <w:trHeight w:val="167" w:hRule="atLeast"/>
        </w:trPr>
        <w:tc>
          <w:tcPr>
            <w:tcW w:w="7046" w:type="dxa"/>
          </w:tcPr>
          <w:p>
            <w:pPr>
              <w:pStyle w:val="TableParagraph"/>
              <w:spacing w:line="141" w:lineRule="exact" w:before="7"/>
              <w:ind w:left="134"/>
              <w:rPr>
                <w:sz w:val="13"/>
              </w:rPr>
            </w:pPr>
            <w:r>
              <w:rPr>
                <w:w w:val="105"/>
                <w:sz w:val="13"/>
              </w:rPr>
              <w:t>Non-cash movements arising on application of new accounting standards</w:t>
            </w:r>
          </w:p>
        </w:tc>
        <w:tc>
          <w:tcPr>
            <w:tcW w:w="706" w:type="dxa"/>
          </w:tcPr>
          <w:p>
            <w:pPr>
              <w:pStyle w:val="TableParagraph"/>
              <w:rPr>
                <w:rFonts w:ascii="Times New Roman"/>
                <w:sz w:val="10"/>
              </w:rPr>
            </w:pPr>
          </w:p>
        </w:tc>
        <w:tc>
          <w:tcPr>
            <w:tcW w:w="972" w:type="dxa"/>
          </w:tcPr>
          <w:p>
            <w:pPr>
              <w:pStyle w:val="TableParagraph"/>
              <w:spacing w:line="141"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7"/>
              <w:ind w:right="38"/>
              <w:jc w:val="right"/>
              <w:rPr>
                <w:sz w:val="13"/>
              </w:rPr>
            </w:pPr>
            <w:r>
              <w:rPr>
                <w:w w:val="103"/>
                <w:sz w:val="13"/>
              </w:rPr>
              <w:t>0</w:t>
            </w:r>
          </w:p>
        </w:tc>
      </w:tr>
      <w:tr>
        <w:trPr>
          <w:trHeight w:val="167" w:hRule="atLeast"/>
        </w:trPr>
        <w:tc>
          <w:tcPr>
            <w:tcW w:w="7046" w:type="dxa"/>
          </w:tcPr>
          <w:p>
            <w:pPr>
              <w:pStyle w:val="TableParagraph"/>
              <w:spacing w:line="141" w:lineRule="exact" w:before="7"/>
              <w:ind w:left="134"/>
              <w:rPr>
                <w:sz w:val="13"/>
              </w:rPr>
            </w:pPr>
            <w:r>
              <w:rPr>
                <w:w w:val="105"/>
                <w:sz w:val="13"/>
              </w:rPr>
              <w:t>Loans made in respect of LIFT</w:t>
            </w:r>
          </w:p>
        </w:tc>
        <w:tc>
          <w:tcPr>
            <w:tcW w:w="706" w:type="dxa"/>
          </w:tcPr>
          <w:p>
            <w:pPr>
              <w:pStyle w:val="TableParagraph"/>
              <w:rPr>
                <w:rFonts w:ascii="Times New Roman"/>
                <w:sz w:val="10"/>
              </w:rPr>
            </w:pPr>
          </w:p>
        </w:tc>
        <w:tc>
          <w:tcPr>
            <w:tcW w:w="972" w:type="dxa"/>
          </w:tcPr>
          <w:p>
            <w:pPr>
              <w:pStyle w:val="TableParagraph"/>
              <w:spacing w:line="141"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7"/>
              <w:ind w:right="38"/>
              <w:jc w:val="right"/>
              <w:rPr>
                <w:sz w:val="13"/>
              </w:rPr>
            </w:pPr>
            <w:r>
              <w:rPr>
                <w:w w:val="103"/>
                <w:sz w:val="13"/>
              </w:rPr>
              <w:t>0</w:t>
            </w:r>
          </w:p>
        </w:tc>
      </w:tr>
      <w:tr>
        <w:trPr>
          <w:trHeight w:val="166" w:hRule="atLeast"/>
        </w:trPr>
        <w:tc>
          <w:tcPr>
            <w:tcW w:w="7046" w:type="dxa"/>
          </w:tcPr>
          <w:p>
            <w:pPr>
              <w:pStyle w:val="TableParagraph"/>
              <w:spacing w:line="140" w:lineRule="exact" w:before="7"/>
              <w:ind w:left="134"/>
              <w:rPr>
                <w:sz w:val="13"/>
              </w:rPr>
            </w:pPr>
            <w:r>
              <w:rPr>
                <w:w w:val="105"/>
                <w:sz w:val="13"/>
              </w:rPr>
              <w:t>Loans repaid in respect of LIFT</w:t>
            </w:r>
          </w:p>
        </w:tc>
        <w:tc>
          <w:tcPr>
            <w:tcW w:w="706" w:type="dxa"/>
          </w:tcPr>
          <w:p>
            <w:pPr>
              <w:pStyle w:val="TableParagraph"/>
              <w:rPr>
                <w:rFonts w:ascii="Times New Roman"/>
                <w:sz w:val="10"/>
              </w:rPr>
            </w:pPr>
          </w:p>
        </w:tc>
        <w:tc>
          <w:tcPr>
            <w:tcW w:w="972" w:type="dxa"/>
          </w:tcPr>
          <w:p>
            <w:pPr>
              <w:pStyle w:val="TableParagraph"/>
              <w:spacing w:line="140"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0" w:lineRule="exact" w:before="7"/>
              <w:ind w:right="38"/>
              <w:jc w:val="right"/>
              <w:rPr>
                <w:sz w:val="13"/>
              </w:rPr>
            </w:pPr>
            <w:r>
              <w:rPr>
                <w:w w:val="103"/>
                <w:sz w:val="13"/>
              </w:rPr>
              <w:t>0</w:t>
            </w:r>
          </w:p>
        </w:tc>
      </w:tr>
      <w:tr>
        <w:trPr>
          <w:trHeight w:val="170" w:hRule="atLeast"/>
        </w:trPr>
        <w:tc>
          <w:tcPr>
            <w:tcW w:w="7046" w:type="dxa"/>
          </w:tcPr>
          <w:p>
            <w:pPr>
              <w:pStyle w:val="TableParagraph"/>
              <w:spacing w:line="145" w:lineRule="exact" w:before="5"/>
              <w:ind w:left="134"/>
              <w:rPr>
                <w:sz w:val="13"/>
              </w:rPr>
            </w:pPr>
            <w:r>
              <w:rPr>
                <w:w w:val="105"/>
                <w:sz w:val="13"/>
              </w:rPr>
              <w:t>Rental revenue</w:t>
            </w:r>
          </w:p>
        </w:tc>
        <w:tc>
          <w:tcPr>
            <w:tcW w:w="1787" w:type="dxa"/>
            <w:gridSpan w:val="3"/>
          </w:tcPr>
          <w:p>
            <w:pPr>
              <w:pStyle w:val="TableParagraph"/>
              <w:tabs>
                <w:tab w:pos="1603" w:val="left" w:leader="none"/>
              </w:tabs>
              <w:spacing w:line="145" w:lineRule="exact" w:before="5"/>
              <w:ind w:left="754"/>
              <w:rPr>
                <w:sz w:val="13"/>
              </w:rPr>
            </w:pPr>
            <w:r>
              <w:rPr>
                <w:w w:val="103"/>
                <w:sz w:val="13"/>
                <w:u w:val="single"/>
              </w:rPr>
              <w:t> </w:t>
            </w:r>
            <w:r>
              <w:rPr>
                <w:sz w:val="13"/>
                <w:u w:val="single"/>
              </w:rPr>
              <w:tab/>
            </w:r>
            <w:r>
              <w:rPr>
                <w:w w:val="105"/>
                <w:sz w:val="13"/>
                <w:u w:val="single"/>
              </w:rPr>
              <w:t>0</w:t>
            </w:r>
          </w:p>
        </w:tc>
        <w:tc>
          <w:tcPr>
            <w:tcW w:w="972" w:type="dxa"/>
          </w:tcPr>
          <w:p>
            <w:pPr>
              <w:pStyle w:val="TableParagraph"/>
              <w:tabs>
                <w:tab w:pos="849" w:val="left" w:leader="none"/>
              </w:tabs>
              <w:spacing w:line="145" w:lineRule="exact" w:before="5"/>
              <w:ind w:right="-15"/>
              <w:jc w:val="right"/>
              <w:rPr>
                <w:sz w:val="13"/>
              </w:rPr>
            </w:pPr>
            <w:r>
              <w:rPr>
                <w:w w:val="103"/>
                <w:sz w:val="13"/>
                <w:u w:val="single"/>
              </w:rPr>
              <w:t> </w:t>
            </w:r>
            <w:r>
              <w:rPr>
                <w:sz w:val="13"/>
                <w:u w:val="single"/>
              </w:rPr>
              <w:tab/>
              <w:t>0</w:t>
            </w:r>
          </w:p>
        </w:tc>
      </w:tr>
      <w:tr>
        <w:trPr>
          <w:trHeight w:val="255" w:hRule="atLeast"/>
        </w:trPr>
        <w:tc>
          <w:tcPr>
            <w:tcW w:w="7046" w:type="dxa"/>
          </w:tcPr>
          <w:p>
            <w:pPr>
              <w:pStyle w:val="TableParagraph"/>
              <w:spacing w:before="10"/>
              <w:ind w:left="134"/>
              <w:rPr>
                <w:b/>
                <w:sz w:val="13"/>
              </w:rPr>
            </w:pPr>
            <w:r>
              <w:rPr>
                <w:b/>
                <w:w w:val="105"/>
                <w:sz w:val="13"/>
              </w:rPr>
              <w:t>Net Cash Inflow (Outflow) from Investing Activities</w:t>
            </w:r>
          </w:p>
        </w:tc>
        <w:tc>
          <w:tcPr>
            <w:tcW w:w="1787" w:type="dxa"/>
            <w:gridSpan w:val="3"/>
          </w:tcPr>
          <w:p>
            <w:pPr>
              <w:pStyle w:val="TableParagraph"/>
              <w:spacing w:before="10"/>
              <w:ind w:right="151"/>
              <w:jc w:val="right"/>
              <w:rPr>
                <w:b/>
                <w:sz w:val="13"/>
              </w:rPr>
            </w:pPr>
            <w:r>
              <w:rPr>
                <w:b/>
                <w:w w:val="103"/>
                <w:sz w:val="13"/>
              </w:rPr>
              <w:t>0</w:t>
            </w:r>
          </w:p>
        </w:tc>
        <w:tc>
          <w:tcPr>
            <w:tcW w:w="972" w:type="dxa"/>
          </w:tcPr>
          <w:p>
            <w:pPr>
              <w:pStyle w:val="TableParagraph"/>
              <w:spacing w:before="10"/>
              <w:ind w:right="38"/>
              <w:jc w:val="right"/>
              <w:rPr>
                <w:sz w:val="13"/>
              </w:rPr>
            </w:pPr>
            <w:r>
              <w:rPr>
                <w:w w:val="103"/>
                <w:sz w:val="13"/>
              </w:rPr>
              <w:t>0</w:t>
            </w:r>
          </w:p>
        </w:tc>
      </w:tr>
      <w:tr>
        <w:trPr>
          <w:trHeight w:val="331" w:hRule="atLeast"/>
        </w:trPr>
        <w:tc>
          <w:tcPr>
            <w:tcW w:w="7046" w:type="dxa"/>
          </w:tcPr>
          <w:p>
            <w:pPr>
              <w:pStyle w:val="TableParagraph"/>
              <w:spacing w:before="91"/>
              <w:ind w:left="134"/>
              <w:rPr>
                <w:b/>
                <w:sz w:val="13"/>
              </w:rPr>
            </w:pPr>
            <w:r>
              <w:rPr>
                <w:b/>
                <w:w w:val="105"/>
                <w:sz w:val="13"/>
              </w:rPr>
              <w:t>Net Cash Inflow (Outflow) before Financing</w:t>
            </w:r>
          </w:p>
        </w:tc>
        <w:tc>
          <w:tcPr>
            <w:tcW w:w="706" w:type="dxa"/>
          </w:tcPr>
          <w:p>
            <w:pPr>
              <w:pStyle w:val="TableParagraph"/>
              <w:rPr>
                <w:rFonts w:ascii="Times New Roman"/>
                <w:sz w:val="12"/>
              </w:rPr>
            </w:pPr>
          </w:p>
        </w:tc>
        <w:tc>
          <w:tcPr>
            <w:tcW w:w="972" w:type="dxa"/>
          </w:tcPr>
          <w:p>
            <w:pPr>
              <w:pStyle w:val="TableParagraph"/>
              <w:spacing w:before="91"/>
              <w:ind w:right="41"/>
              <w:jc w:val="right"/>
              <w:rPr>
                <w:b/>
                <w:sz w:val="13"/>
              </w:rPr>
            </w:pPr>
            <w:r>
              <w:rPr>
                <w:b/>
                <w:sz w:val="13"/>
              </w:rPr>
              <w:t>(317,529)</w:t>
            </w:r>
          </w:p>
        </w:tc>
        <w:tc>
          <w:tcPr>
            <w:tcW w:w="109" w:type="dxa"/>
          </w:tcPr>
          <w:p>
            <w:pPr>
              <w:pStyle w:val="TableParagraph"/>
              <w:rPr>
                <w:rFonts w:ascii="Times New Roman"/>
                <w:sz w:val="12"/>
              </w:rPr>
            </w:pPr>
          </w:p>
        </w:tc>
        <w:tc>
          <w:tcPr>
            <w:tcW w:w="972" w:type="dxa"/>
          </w:tcPr>
          <w:p>
            <w:pPr>
              <w:pStyle w:val="TableParagraph"/>
              <w:spacing w:before="91"/>
              <w:ind w:right="38"/>
              <w:jc w:val="right"/>
              <w:rPr>
                <w:sz w:val="13"/>
              </w:rPr>
            </w:pPr>
            <w:r>
              <w:rPr>
                <w:w w:val="105"/>
                <w:sz w:val="13"/>
              </w:rPr>
              <w:t>(296,584)</w:t>
            </w:r>
          </w:p>
        </w:tc>
      </w:tr>
      <w:tr>
        <w:trPr>
          <w:trHeight w:val="247" w:hRule="atLeast"/>
        </w:trPr>
        <w:tc>
          <w:tcPr>
            <w:tcW w:w="7046" w:type="dxa"/>
          </w:tcPr>
          <w:p>
            <w:pPr>
              <w:pStyle w:val="TableParagraph"/>
              <w:spacing w:line="141" w:lineRule="exact" w:before="86"/>
              <w:ind w:left="134"/>
              <w:rPr>
                <w:b/>
                <w:sz w:val="13"/>
              </w:rPr>
            </w:pPr>
            <w:r>
              <w:rPr>
                <w:b/>
                <w:w w:val="105"/>
                <w:sz w:val="13"/>
              </w:rPr>
              <w:t>Cash Flows from Financing Activities</w:t>
            </w:r>
          </w:p>
        </w:tc>
        <w:tc>
          <w:tcPr>
            <w:tcW w:w="706" w:type="dxa"/>
          </w:tcPr>
          <w:p>
            <w:pPr>
              <w:pStyle w:val="TableParagraph"/>
              <w:rPr>
                <w:rFonts w:ascii="Times New Roman"/>
                <w:sz w:val="12"/>
              </w:rPr>
            </w:pPr>
          </w:p>
        </w:tc>
        <w:tc>
          <w:tcPr>
            <w:tcW w:w="972" w:type="dxa"/>
          </w:tcPr>
          <w:p>
            <w:pPr>
              <w:pStyle w:val="TableParagraph"/>
              <w:rPr>
                <w:rFonts w:ascii="Times New Roman"/>
                <w:sz w:val="12"/>
              </w:rPr>
            </w:pPr>
          </w:p>
        </w:tc>
        <w:tc>
          <w:tcPr>
            <w:tcW w:w="109" w:type="dxa"/>
          </w:tcPr>
          <w:p>
            <w:pPr>
              <w:pStyle w:val="TableParagraph"/>
              <w:rPr>
                <w:rFonts w:ascii="Times New Roman"/>
                <w:sz w:val="12"/>
              </w:rPr>
            </w:pPr>
          </w:p>
        </w:tc>
        <w:tc>
          <w:tcPr>
            <w:tcW w:w="972" w:type="dxa"/>
          </w:tcPr>
          <w:p>
            <w:pPr>
              <w:pStyle w:val="TableParagraph"/>
              <w:rPr>
                <w:rFonts w:ascii="Times New Roman"/>
                <w:sz w:val="12"/>
              </w:rPr>
            </w:pPr>
          </w:p>
        </w:tc>
      </w:tr>
      <w:tr>
        <w:trPr>
          <w:trHeight w:val="167" w:hRule="atLeast"/>
        </w:trPr>
        <w:tc>
          <w:tcPr>
            <w:tcW w:w="7046" w:type="dxa"/>
          </w:tcPr>
          <w:p>
            <w:pPr>
              <w:pStyle w:val="TableParagraph"/>
              <w:spacing w:line="141" w:lineRule="exact" w:before="7"/>
              <w:ind w:left="134"/>
              <w:rPr>
                <w:sz w:val="13"/>
              </w:rPr>
            </w:pPr>
            <w:r>
              <w:rPr>
                <w:w w:val="105"/>
                <w:sz w:val="13"/>
              </w:rPr>
              <w:t>Grant in Aid Funding Received</w:t>
            </w:r>
          </w:p>
        </w:tc>
        <w:tc>
          <w:tcPr>
            <w:tcW w:w="706" w:type="dxa"/>
          </w:tcPr>
          <w:p>
            <w:pPr>
              <w:pStyle w:val="TableParagraph"/>
              <w:rPr>
                <w:rFonts w:ascii="Times New Roman"/>
                <w:sz w:val="10"/>
              </w:rPr>
            </w:pPr>
          </w:p>
        </w:tc>
        <w:tc>
          <w:tcPr>
            <w:tcW w:w="972" w:type="dxa"/>
          </w:tcPr>
          <w:p>
            <w:pPr>
              <w:pStyle w:val="TableParagraph"/>
              <w:spacing w:line="141" w:lineRule="exact" w:before="7"/>
              <w:ind w:right="40"/>
              <w:jc w:val="right"/>
              <w:rPr>
                <w:sz w:val="13"/>
              </w:rPr>
            </w:pPr>
            <w:r>
              <w:rPr>
                <w:sz w:val="13"/>
              </w:rPr>
              <w:t>317,525</w:t>
            </w:r>
          </w:p>
        </w:tc>
        <w:tc>
          <w:tcPr>
            <w:tcW w:w="109" w:type="dxa"/>
          </w:tcPr>
          <w:p>
            <w:pPr>
              <w:pStyle w:val="TableParagraph"/>
              <w:rPr>
                <w:rFonts w:ascii="Times New Roman"/>
                <w:sz w:val="10"/>
              </w:rPr>
            </w:pPr>
          </w:p>
        </w:tc>
        <w:tc>
          <w:tcPr>
            <w:tcW w:w="972" w:type="dxa"/>
          </w:tcPr>
          <w:p>
            <w:pPr>
              <w:pStyle w:val="TableParagraph"/>
              <w:spacing w:line="141" w:lineRule="exact" w:before="7"/>
              <w:ind w:right="36"/>
              <w:jc w:val="right"/>
              <w:rPr>
                <w:sz w:val="13"/>
              </w:rPr>
            </w:pPr>
            <w:r>
              <w:rPr>
                <w:sz w:val="13"/>
              </w:rPr>
              <w:t>296,584</w:t>
            </w:r>
          </w:p>
        </w:tc>
      </w:tr>
      <w:tr>
        <w:trPr>
          <w:trHeight w:val="167" w:hRule="atLeast"/>
        </w:trPr>
        <w:tc>
          <w:tcPr>
            <w:tcW w:w="7046" w:type="dxa"/>
          </w:tcPr>
          <w:p>
            <w:pPr>
              <w:pStyle w:val="TableParagraph"/>
              <w:spacing w:line="141" w:lineRule="exact" w:before="7"/>
              <w:ind w:left="134"/>
              <w:rPr>
                <w:sz w:val="13"/>
              </w:rPr>
            </w:pPr>
            <w:r>
              <w:rPr>
                <w:w w:val="105"/>
                <w:sz w:val="13"/>
              </w:rPr>
              <w:t>Other loans received</w:t>
            </w:r>
          </w:p>
        </w:tc>
        <w:tc>
          <w:tcPr>
            <w:tcW w:w="706" w:type="dxa"/>
          </w:tcPr>
          <w:p>
            <w:pPr>
              <w:pStyle w:val="TableParagraph"/>
              <w:rPr>
                <w:rFonts w:ascii="Times New Roman"/>
                <w:sz w:val="10"/>
              </w:rPr>
            </w:pPr>
          </w:p>
        </w:tc>
        <w:tc>
          <w:tcPr>
            <w:tcW w:w="972" w:type="dxa"/>
          </w:tcPr>
          <w:p>
            <w:pPr>
              <w:pStyle w:val="TableParagraph"/>
              <w:spacing w:line="141"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7"/>
              <w:ind w:right="38"/>
              <w:jc w:val="right"/>
              <w:rPr>
                <w:sz w:val="13"/>
              </w:rPr>
            </w:pPr>
            <w:r>
              <w:rPr>
                <w:w w:val="103"/>
                <w:sz w:val="13"/>
              </w:rPr>
              <w:t>0</w:t>
            </w:r>
          </w:p>
        </w:tc>
      </w:tr>
      <w:tr>
        <w:trPr>
          <w:trHeight w:val="166" w:hRule="atLeast"/>
        </w:trPr>
        <w:tc>
          <w:tcPr>
            <w:tcW w:w="7046" w:type="dxa"/>
          </w:tcPr>
          <w:p>
            <w:pPr>
              <w:pStyle w:val="TableParagraph"/>
              <w:spacing w:line="140" w:lineRule="exact" w:before="7"/>
              <w:ind w:left="134"/>
              <w:rPr>
                <w:sz w:val="13"/>
              </w:rPr>
            </w:pPr>
            <w:r>
              <w:rPr>
                <w:w w:val="105"/>
                <w:sz w:val="13"/>
              </w:rPr>
              <w:t>Other loans repaid</w:t>
            </w:r>
          </w:p>
        </w:tc>
        <w:tc>
          <w:tcPr>
            <w:tcW w:w="706" w:type="dxa"/>
          </w:tcPr>
          <w:p>
            <w:pPr>
              <w:pStyle w:val="TableParagraph"/>
              <w:rPr>
                <w:rFonts w:ascii="Times New Roman"/>
                <w:sz w:val="10"/>
              </w:rPr>
            </w:pPr>
          </w:p>
        </w:tc>
        <w:tc>
          <w:tcPr>
            <w:tcW w:w="972" w:type="dxa"/>
          </w:tcPr>
          <w:p>
            <w:pPr>
              <w:pStyle w:val="TableParagraph"/>
              <w:spacing w:line="140"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0" w:lineRule="exact" w:before="7"/>
              <w:ind w:right="38"/>
              <w:jc w:val="right"/>
              <w:rPr>
                <w:sz w:val="13"/>
              </w:rPr>
            </w:pPr>
            <w:r>
              <w:rPr>
                <w:w w:val="103"/>
                <w:sz w:val="13"/>
              </w:rPr>
              <w:t>0</w:t>
            </w:r>
          </w:p>
        </w:tc>
      </w:tr>
      <w:tr>
        <w:trPr>
          <w:trHeight w:val="166" w:hRule="atLeast"/>
        </w:trPr>
        <w:tc>
          <w:tcPr>
            <w:tcW w:w="7046" w:type="dxa"/>
          </w:tcPr>
          <w:p>
            <w:pPr>
              <w:pStyle w:val="TableParagraph"/>
              <w:spacing w:line="141" w:lineRule="exact" w:before="5"/>
              <w:ind w:left="134"/>
              <w:rPr>
                <w:sz w:val="13"/>
              </w:rPr>
            </w:pPr>
            <w:r>
              <w:rPr>
                <w:w w:val="105"/>
                <w:sz w:val="13"/>
              </w:rPr>
              <w:t>Capital element of payments in respect of finance leases and on Statement of Financial Position PFI and LIFT</w:t>
            </w:r>
          </w:p>
        </w:tc>
        <w:tc>
          <w:tcPr>
            <w:tcW w:w="706" w:type="dxa"/>
          </w:tcPr>
          <w:p>
            <w:pPr>
              <w:pStyle w:val="TableParagraph"/>
              <w:rPr>
                <w:rFonts w:ascii="Times New Roman"/>
                <w:sz w:val="10"/>
              </w:rPr>
            </w:pPr>
          </w:p>
        </w:tc>
        <w:tc>
          <w:tcPr>
            <w:tcW w:w="972" w:type="dxa"/>
          </w:tcPr>
          <w:p>
            <w:pPr>
              <w:pStyle w:val="TableParagraph"/>
              <w:spacing w:line="141" w:lineRule="exact" w:before="5"/>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5"/>
              <w:ind w:right="38"/>
              <w:jc w:val="right"/>
              <w:rPr>
                <w:sz w:val="13"/>
              </w:rPr>
            </w:pPr>
            <w:r>
              <w:rPr>
                <w:w w:val="103"/>
                <w:sz w:val="13"/>
              </w:rPr>
              <w:t>0</w:t>
            </w:r>
          </w:p>
        </w:tc>
      </w:tr>
      <w:tr>
        <w:trPr>
          <w:trHeight w:val="168" w:hRule="atLeast"/>
        </w:trPr>
        <w:tc>
          <w:tcPr>
            <w:tcW w:w="7046" w:type="dxa"/>
          </w:tcPr>
          <w:p>
            <w:pPr>
              <w:pStyle w:val="TableParagraph"/>
              <w:spacing w:line="141" w:lineRule="exact" w:before="7"/>
              <w:ind w:left="134"/>
              <w:rPr>
                <w:sz w:val="13"/>
              </w:rPr>
            </w:pPr>
            <w:r>
              <w:rPr>
                <w:w w:val="105"/>
                <w:sz w:val="13"/>
              </w:rPr>
              <w:t>Capital grants and other capital receipts</w:t>
            </w:r>
          </w:p>
        </w:tc>
        <w:tc>
          <w:tcPr>
            <w:tcW w:w="706" w:type="dxa"/>
          </w:tcPr>
          <w:p>
            <w:pPr>
              <w:pStyle w:val="TableParagraph"/>
              <w:rPr>
                <w:rFonts w:ascii="Times New Roman"/>
                <w:sz w:val="10"/>
              </w:rPr>
            </w:pPr>
          </w:p>
        </w:tc>
        <w:tc>
          <w:tcPr>
            <w:tcW w:w="972" w:type="dxa"/>
          </w:tcPr>
          <w:p>
            <w:pPr>
              <w:pStyle w:val="TableParagraph"/>
              <w:spacing w:line="141"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7"/>
              <w:ind w:right="38"/>
              <w:jc w:val="right"/>
              <w:rPr>
                <w:sz w:val="13"/>
              </w:rPr>
            </w:pPr>
            <w:r>
              <w:rPr>
                <w:w w:val="103"/>
                <w:sz w:val="13"/>
              </w:rPr>
              <w:t>0</w:t>
            </w:r>
          </w:p>
        </w:tc>
      </w:tr>
      <w:tr>
        <w:trPr>
          <w:trHeight w:val="167" w:hRule="atLeast"/>
        </w:trPr>
        <w:tc>
          <w:tcPr>
            <w:tcW w:w="7046" w:type="dxa"/>
          </w:tcPr>
          <w:p>
            <w:pPr>
              <w:pStyle w:val="TableParagraph"/>
              <w:spacing w:line="141" w:lineRule="exact" w:before="7"/>
              <w:ind w:left="134"/>
              <w:rPr>
                <w:sz w:val="13"/>
              </w:rPr>
            </w:pPr>
            <w:r>
              <w:rPr>
                <w:w w:val="105"/>
                <w:sz w:val="13"/>
              </w:rPr>
              <w:t>Capital receipts surrendered</w:t>
            </w:r>
          </w:p>
        </w:tc>
        <w:tc>
          <w:tcPr>
            <w:tcW w:w="706" w:type="dxa"/>
          </w:tcPr>
          <w:p>
            <w:pPr>
              <w:pStyle w:val="TableParagraph"/>
              <w:rPr>
                <w:rFonts w:ascii="Times New Roman"/>
                <w:sz w:val="10"/>
              </w:rPr>
            </w:pPr>
          </w:p>
        </w:tc>
        <w:tc>
          <w:tcPr>
            <w:tcW w:w="972" w:type="dxa"/>
          </w:tcPr>
          <w:p>
            <w:pPr>
              <w:pStyle w:val="TableParagraph"/>
              <w:spacing w:line="141" w:lineRule="exact" w:before="7"/>
              <w:ind w:right="42"/>
              <w:jc w:val="right"/>
              <w:rPr>
                <w:sz w:val="13"/>
              </w:rPr>
            </w:pPr>
            <w:r>
              <w:rPr>
                <w:w w:val="103"/>
                <w:sz w:val="13"/>
              </w:rPr>
              <w:t>0</w:t>
            </w:r>
          </w:p>
        </w:tc>
        <w:tc>
          <w:tcPr>
            <w:tcW w:w="109" w:type="dxa"/>
          </w:tcPr>
          <w:p>
            <w:pPr>
              <w:pStyle w:val="TableParagraph"/>
              <w:rPr>
                <w:rFonts w:ascii="Times New Roman"/>
                <w:sz w:val="10"/>
              </w:rPr>
            </w:pPr>
          </w:p>
        </w:tc>
        <w:tc>
          <w:tcPr>
            <w:tcW w:w="972" w:type="dxa"/>
          </w:tcPr>
          <w:p>
            <w:pPr>
              <w:pStyle w:val="TableParagraph"/>
              <w:spacing w:line="141" w:lineRule="exact" w:before="7"/>
              <w:ind w:right="38"/>
              <w:jc w:val="right"/>
              <w:rPr>
                <w:sz w:val="13"/>
              </w:rPr>
            </w:pPr>
            <w:r>
              <w:rPr>
                <w:w w:val="103"/>
                <w:sz w:val="13"/>
              </w:rPr>
              <w:t>0</w:t>
            </w:r>
          </w:p>
        </w:tc>
      </w:tr>
      <w:tr>
        <w:trPr>
          <w:trHeight w:val="171" w:hRule="atLeast"/>
        </w:trPr>
        <w:tc>
          <w:tcPr>
            <w:tcW w:w="7046" w:type="dxa"/>
          </w:tcPr>
          <w:p>
            <w:pPr>
              <w:pStyle w:val="TableParagraph"/>
              <w:spacing w:line="145" w:lineRule="exact" w:before="7"/>
              <w:ind w:left="134"/>
              <w:rPr>
                <w:sz w:val="13"/>
              </w:rPr>
            </w:pPr>
            <w:r>
              <w:rPr>
                <w:w w:val="105"/>
                <w:sz w:val="13"/>
              </w:rPr>
              <w:t>Non-cash movements arising on application of new accounting standards</w:t>
            </w:r>
          </w:p>
        </w:tc>
        <w:tc>
          <w:tcPr>
            <w:tcW w:w="1787" w:type="dxa"/>
            <w:gridSpan w:val="3"/>
          </w:tcPr>
          <w:p>
            <w:pPr>
              <w:pStyle w:val="TableParagraph"/>
              <w:tabs>
                <w:tab w:pos="1603" w:val="left" w:leader="none"/>
              </w:tabs>
              <w:spacing w:line="145" w:lineRule="exact" w:before="7"/>
              <w:ind w:left="754"/>
              <w:rPr>
                <w:sz w:val="13"/>
              </w:rPr>
            </w:pPr>
            <w:r>
              <w:rPr>
                <w:w w:val="103"/>
                <w:sz w:val="13"/>
                <w:u w:val="single"/>
              </w:rPr>
              <w:t> </w:t>
            </w:r>
            <w:r>
              <w:rPr>
                <w:sz w:val="13"/>
                <w:u w:val="single"/>
              </w:rPr>
              <w:tab/>
            </w:r>
            <w:r>
              <w:rPr>
                <w:w w:val="105"/>
                <w:sz w:val="13"/>
                <w:u w:val="single"/>
              </w:rPr>
              <w:t>0</w:t>
            </w:r>
          </w:p>
        </w:tc>
        <w:tc>
          <w:tcPr>
            <w:tcW w:w="972" w:type="dxa"/>
          </w:tcPr>
          <w:p>
            <w:pPr>
              <w:pStyle w:val="TableParagraph"/>
              <w:tabs>
                <w:tab w:pos="849" w:val="left" w:leader="none"/>
              </w:tabs>
              <w:spacing w:line="145" w:lineRule="exact" w:before="7"/>
              <w:ind w:right="-15"/>
              <w:jc w:val="right"/>
              <w:rPr>
                <w:sz w:val="13"/>
              </w:rPr>
            </w:pPr>
            <w:r>
              <w:rPr>
                <w:w w:val="103"/>
                <w:sz w:val="13"/>
                <w:u w:val="single"/>
              </w:rPr>
              <w:t> </w:t>
            </w:r>
            <w:r>
              <w:rPr>
                <w:sz w:val="13"/>
                <w:u w:val="single"/>
              </w:rPr>
              <w:tab/>
              <w:t>0</w:t>
            </w:r>
          </w:p>
        </w:tc>
      </w:tr>
      <w:tr>
        <w:trPr>
          <w:trHeight w:val="333" w:hRule="atLeast"/>
        </w:trPr>
        <w:tc>
          <w:tcPr>
            <w:tcW w:w="7046" w:type="dxa"/>
          </w:tcPr>
          <w:p>
            <w:pPr>
              <w:pStyle w:val="TableParagraph"/>
              <w:spacing w:before="10"/>
              <w:ind w:left="134"/>
              <w:rPr>
                <w:b/>
                <w:sz w:val="13"/>
              </w:rPr>
            </w:pPr>
            <w:r>
              <w:rPr>
                <w:b/>
                <w:w w:val="105"/>
                <w:sz w:val="13"/>
              </w:rPr>
              <w:t>Net Cash Inflow (Outflow) from Financing Activities</w:t>
            </w:r>
          </w:p>
        </w:tc>
        <w:tc>
          <w:tcPr>
            <w:tcW w:w="1787" w:type="dxa"/>
            <w:gridSpan w:val="3"/>
          </w:tcPr>
          <w:p>
            <w:pPr>
              <w:pStyle w:val="TableParagraph"/>
              <w:spacing w:before="10"/>
              <w:ind w:left="1140"/>
              <w:rPr>
                <w:b/>
                <w:sz w:val="13"/>
              </w:rPr>
            </w:pPr>
            <w:r>
              <w:rPr>
                <w:b/>
                <w:w w:val="105"/>
                <w:sz w:val="13"/>
              </w:rPr>
              <w:t>317,525</w:t>
            </w:r>
          </w:p>
        </w:tc>
        <w:tc>
          <w:tcPr>
            <w:tcW w:w="972" w:type="dxa"/>
            <w:tcBorders>
              <w:bottom w:val="single" w:sz="6" w:space="0" w:color="000000"/>
            </w:tcBorders>
          </w:tcPr>
          <w:p>
            <w:pPr>
              <w:pStyle w:val="TableParagraph"/>
              <w:spacing w:before="10"/>
              <w:ind w:right="36"/>
              <w:jc w:val="right"/>
              <w:rPr>
                <w:sz w:val="13"/>
              </w:rPr>
            </w:pPr>
            <w:r>
              <w:rPr>
                <w:sz w:val="13"/>
              </w:rPr>
              <w:t>296,584</w:t>
            </w:r>
          </w:p>
        </w:tc>
      </w:tr>
      <w:tr>
        <w:trPr>
          <w:trHeight w:val="235" w:hRule="atLeast"/>
        </w:trPr>
        <w:tc>
          <w:tcPr>
            <w:tcW w:w="7046" w:type="dxa"/>
          </w:tcPr>
          <w:p>
            <w:pPr>
              <w:pStyle w:val="TableParagraph"/>
              <w:spacing w:line="142" w:lineRule="exact"/>
              <w:ind w:left="134"/>
              <w:rPr>
                <w:b/>
                <w:sz w:val="13"/>
              </w:rPr>
            </w:pPr>
            <w:r>
              <w:rPr>
                <w:b/>
                <w:w w:val="105"/>
                <w:sz w:val="13"/>
              </w:rPr>
              <w:t>Net Increase (Decrease) in Cash &amp; Cash Equivalents</w:t>
            </w:r>
          </w:p>
        </w:tc>
        <w:tc>
          <w:tcPr>
            <w:tcW w:w="706" w:type="dxa"/>
          </w:tcPr>
          <w:p>
            <w:pPr>
              <w:pStyle w:val="TableParagraph"/>
              <w:spacing w:line="142" w:lineRule="exact"/>
              <w:ind w:left="281"/>
              <w:rPr>
                <w:sz w:val="13"/>
              </w:rPr>
            </w:pPr>
            <w:r>
              <w:rPr>
                <w:w w:val="103"/>
                <w:sz w:val="13"/>
              </w:rPr>
              <w:t>9</w:t>
            </w:r>
          </w:p>
        </w:tc>
        <w:tc>
          <w:tcPr>
            <w:tcW w:w="972" w:type="dxa"/>
            <w:tcBorders>
              <w:top w:val="single" w:sz="6" w:space="0" w:color="000000"/>
            </w:tcBorders>
          </w:tcPr>
          <w:p>
            <w:pPr>
              <w:pStyle w:val="TableParagraph"/>
              <w:tabs>
                <w:tab w:pos="758" w:val="left" w:leader="none"/>
              </w:tabs>
              <w:spacing w:line="142" w:lineRule="exact"/>
              <w:jc w:val="right"/>
              <w:rPr>
                <w:b/>
                <w:sz w:val="13"/>
              </w:rPr>
            </w:pPr>
            <w:r>
              <w:rPr>
                <w:b/>
                <w:w w:val="103"/>
                <w:sz w:val="13"/>
                <w:u w:val="single"/>
              </w:rPr>
              <w:t> </w:t>
            </w:r>
            <w:r>
              <w:rPr>
                <w:b/>
                <w:sz w:val="13"/>
                <w:u w:val="single"/>
              </w:rPr>
              <w:tab/>
            </w:r>
            <w:r>
              <w:rPr>
                <w:b/>
                <w:spacing w:val="-1"/>
                <w:sz w:val="13"/>
                <w:u w:val="single"/>
              </w:rPr>
              <w:t>(4</w:t>
            </w:r>
            <w:r>
              <w:rPr>
                <w:b/>
                <w:spacing w:val="-1"/>
                <w:sz w:val="13"/>
              </w:rPr>
              <w:t>)</w:t>
            </w:r>
          </w:p>
        </w:tc>
        <w:tc>
          <w:tcPr>
            <w:tcW w:w="109" w:type="dxa"/>
          </w:tcPr>
          <w:p>
            <w:pPr>
              <w:pStyle w:val="TableParagraph"/>
              <w:rPr>
                <w:rFonts w:ascii="Times New Roman"/>
                <w:sz w:val="12"/>
              </w:rPr>
            </w:pPr>
          </w:p>
        </w:tc>
        <w:tc>
          <w:tcPr>
            <w:tcW w:w="972" w:type="dxa"/>
            <w:tcBorders>
              <w:top w:val="single" w:sz="6" w:space="0" w:color="000000"/>
            </w:tcBorders>
          </w:tcPr>
          <w:p>
            <w:pPr>
              <w:pStyle w:val="TableParagraph"/>
              <w:tabs>
                <w:tab w:pos="758" w:val="left" w:leader="none"/>
              </w:tabs>
              <w:spacing w:line="142" w:lineRule="exact"/>
              <w:ind w:right="-15"/>
              <w:jc w:val="right"/>
              <w:rPr>
                <w:sz w:val="13"/>
              </w:rPr>
            </w:pPr>
            <w:r>
              <w:rPr>
                <w:w w:val="103"/>
                <w:sz w:val="13"/>
                <w:u w:val="single"/>
              </w:rPr>
              <w:t> </w:t>
            </w:r>
            <w:r>
              <w:rPr>
                <w:sz w:val="13"/>
                <w:u w:val="single"/>
              </w:rPr>
              <w:tab/>
            </w:r>
            <w:r>
              <w:rPr>
                <w:spacing w:val="-1"/>
                <w:w w:val="105"/>
                <w:sz w:val="13"/>
                <w:u w:val="single"/>
              </w:rPr>
              <w:t>(0</w:t>
            </w:r>
            <w:r>
              <w:rPr>
                <w:spacing w:val="-1"/>
                <w:w w:val="105"/>
                <w:sz w:val="13"/>
              </w:rPr>
              <w:t>)</w:t>
            </w:r>
          </w:p>
        </w:tc>
      </w:tr>
      <w:tr>
        <w:trPr>
          <w:trHeight w:val="249" w:hRule="atLeast"/>
        </w:trPr>
        <w:tc>
          <w:tcPr>
            <w:tcW w:w="7046" w:type="dxa"/>
          </w:tcPr>
          <w:p>
            <w:pPr>
              <w:pStyle w:val="TableParagraph"/>
              <w:spacing w:line="141" w:lineRule="exact" w:before="88"/>
              <w:ind w:left="134"/>
              <w:rPr>
                <w:b/>
                <w:sz w:val="13"/>
              </w:rPr>
            </w:pPr>
            <w:r>
              <w:rPr>
                <w:b/>
                <w:w w:val="105"/>
                <w:sz w:val="13"/>
              </w:rPr>
              <w:t>Cash &amp; Cash Equivalents at the Beginning of the Financial Year</w:t>
            </w:r>
          </w:p>
        </w:tc>
        <w:tc>
          <w:tcPr>
            <w:tcW w:w="706" w:type="dxa"/>
          </w:tcPr>
          <w:p>
            <w:pPr>
              <w:pStyle w:val="TableParagraph"/>
              <w:rPr>
                <w:rFonts w:ascii="Times New Roman"/>
                <w:sz w:val="12"/>
              </w:rPr>
            </w:pPr>
          </w:p>
        </w:tc>
        <w:tc>
          <w:tcPr>
            <w:tcW w:w="972" w:type="dxa"/>
          </w:tcPr>
          <w:p>
            <w:pPr>
              <w:pStyle w:val="TableParagraph"/>
              <w:spacing w:line="141" w:lineRule="exact" w:before="88"/>
              <w:ind w:right="43"/>
              <w:jc w:val="right"/>
              <w:rPr>
                <w:b/>
                <w:sz w:val="13"/>
              </w:rPr>
            </w:pPr>
            <w:r>
              <w:rPr>
                <w:b/>
                <w:sz w:val="13"/>
              </w:rPr>
              <w:t>16</w:t>
            </w:r>
          </w:p>
        </w:tc>
        <w:tc>
          <w:tcPr>
            <w:tcW w:w="109" w:type="dxa"/>
          </w:tcPr>
          <w:p>
            <w:pPr>
              <w:pStyle w:val="TableParagraph"/>
              <w:rPr>
                <w:rFonts w:ascii="Times New Roman"/>
                <w:sz w:val="12"/>
              </w:rPr>
            </w:pPr>
          </w:p>
        </w:tc>
        <w:tc>
          <w:tcPr>
            <w:tcW w:w="972" w:type="dxa"/>
          </w:tcPr>
          <w:p>
            <w:pPr>
              <w:pStyle w:val="TableParagraph"/>
              <w:spacing w:line="141" w:lineRule="exact" w:before="88"/>
              <w:ind w:right="41"/>
              <w:jc w:val="right"/>
              <w:rPr>
                <w:sz w:val="13"/>
              </w:rPr>
            </w:pPr>
            <w:r>
              <w:rPr>
                <w:sz w:val="13"/>
              </w:rPr>
              <w:t>16</w:t>
            </w:r>
          </w:p>
        </w:tc>
      </w:tr>
      <w:tr>
        <w:trPr>
          <w:trHeight w:val="165" w:hRule="atLeast"/>
        </w:trPr>
        <w:tc>
          <w:tcPr>
            <w:tcW w:w="7046" w:type="dxa"/>
          </w:tcPr>
          <w:p>
            <w:pPr>
              <w:pStyle w:val="TableParagraph"/>
              <w:spacing w:line="139" w:lineRule="exact" w:before="7"/>
              <w:ind w:left="134"/>
              <w:rPr>
                <w:sz w:val="13"/>
              </w:rPr>
            </w:pPr>
            <w:r>
              <w:rPr>
                <w:w w:val="105"/>
                <w:sz w:val="13"/>
              </w:rPr>
              <w:t>Effect of exchange rate changes on the balance of cash and cash equivalents held in foreign currencies</w:t>
            </w:r>
          </w:p>
        </w:tc>
        <w:tc>
          <w:tcPr>
            <w:tcW w:w="706" w:type="dxa"/>
          </w:tcPr>
          <w:p>
            <w:pPr>
              <w:pStyle w:val="TableParagraph"/>
              <w:rPr>
                <w:rFonts w:ascii="Times New Roman"/>
                <w:sz w:val="10"/>
              </w:rPr>
            </w:pPr>
          </w:p>
        </w:tc>
        <w:tc>
          <w:tcPr>
            <w:tcW w:w="972" w:type="dxa"/>
          </w:tcPr>
          <w:p>
            <w:pPr>
              <w:pStyle w:val="TableParagraph"/>
              <w:tabs>
                <w:tab w:pos="849" w:val="left" w:leader="none"/>
              </w:tabs>
              <w:spacing w:line="139" w:lineRule="exact" w:before="7"/>
              <w:ind w:right="-15"/>
              <w:jc w:val="right"/>
              <w:rPr>
                <w:sz w:val="13"/>
              </w:rPr>
            </w:pPr>
            <w:r>
              <w:rPr>
                <w:w w:val="103"/>
                <w:sz w:val="13"/>
                <w:u w:val="single"/>
              </w:rPr>
              <w:t> </w:t>
            </w:r>
            <w:r>
              <w:rPr>
                <w:sz w:val="13"/>
                <w:u w:val="single"/>
              </w:rPr>
              <w:tab/>
              <w:t>0</w:t>
            </w:r>
          </w:p>
        </w:tc>
        <w:tc>
          <w:tcPr>
            <w:tcW w:w="109" w:type="dxa"/>
          </w:tcPr>
          <w:p>
            <w:pPr>
              <w:pStyle w:val="TableParagraph"/>
              <w:rPr>
                <w:rFonts w:ascii="Times New Roman"/>
                <w:sz w:val="10"/>
              </w:rPr>
            </w:pPr>
          </w:p>
        </w:tc>
        <w:tc>
          <w:tcPr>
            <w:tcW w:w="972" w:type="dxa"/>
          </w:tcPr>
          <w:p>
            <w:pPr>
              <w:pStyle w:val="TableParagraph"/>
              <w:tabs>
                <w:tab w:pos="849" w:val="left" w:leader="none"/>
              </w:tabs>
              <w:spacing w:line="139" w:lineRule="exact" w:before="7"/>
              <w:ind w:right="-15"/>
              <w:jc w:val="right"/>
              <w:rPr>
                <w:sz w:val="13"/>
              </w:rPr>
            </w:pPr>
            <w:r>
              <w:rPr>
                <w:w w:val="103"/>
                <w:sz w:val="13"/>
                <w:u w:val="single"/>
              </w:rPr>
              <w:t> </w:t>
            </w:r>
            <w:r>
              <w:rPr>
                <w:sz w:val="13"/>
                <w:u w:val="single"/>
              </w:rPr>
              <w:tab/>
              <w:t>0</w:t>
            </w:r>
          </w:p>
        </w:tc>
      </w:tr>
      <w:tr>
        <w:trPr>
          <w:trHeight w:val="153" w:hRule="atLeast"/>
        </w:trPr>
        <w:tc>
          <w:tcPr>
            <w:tcW w:w="7046" w:type="dxa"/>
          </w:tcPr>
          <w:p>
            <w:pPr>
              <w:pStyle w:val="TableParagraph"/>
              <w:spacing w:line="129" w:lineRule="exact" w:before="4"/>
              <w:ind w:left="134"/>
              <w:rPr>
                <w:b/>
                <w:sz w:val="13"/>
              </w:rPr>
            </w:pPr>
            <w:r>
              <w:rPr>
                <w:b/>
                <w:w w:val="105"/>
                <w:sz w:val="13"/>
              </w:rPr>
              <w:t>Cash &amp; Cash Equivalents (including bank overdrafts) at the End of the Financial Year</w:t>
            </w:r>
          </w:p>
        </w:tc>
        <w:tc>
          <w:tcPr>
            <w:tcW w:w="706" w:type="dxa"/>
          </w:tcPr>
          <w:p>
            <w:pPr>
              <w:pStyle w:val="TableParagraph"/>
              <w:rPr>
                <w:rFonts w:ascii="Times New Roman"/>
                <w:sz w:val="8"/>
              </w:rPr>
            </w:pPr>
          </w:p>
        </w:tc>
        <w:tc>
          <w:tcPr>
            <w:tcW w:w="972" w:type="dxa"/>
          </w:tcPr>
          <w:p>
            <w:pPr>
              <w:pStyle w:val="TableParagraph"/>
              <w:tabs>
                <w:tab w:pos="772" w:val="left" w:leader="none"/>
              </w:tabs>
              <w:spacing w:line="129" w:lineRule="exact" w:before="4"/>
              <w:ind w:right="1"/>
              <w:jc w:val="right"/>
              <w:rPr>
                <w:b/>
                <w:sz w:val="13"/>
              </w:rPr>
            </w:pPr>
            <w:r>
              <w:rPr>
                <w:b/>
                <w:w w:val="103"/>
                <w:sz w:val="13"/>
                <w:u w:val="single"/>
              </w:rPr>
              <w:t> </w:t>
            </w:r>
            <w:r>
              <w:rPr>
                <w:b/>
                <w:sz w:val="13"/>
                <w:u w:val="single"/>
              </w:rPr>
              <w:tab/>
            </w:r>
            <w:r>
              <w:rPr>
                <w:b/>
                <w:spacing w:val="-1"/>
                <w:sz w:val="13"/>
                <w:u w:val="single"/>
              </w:rPr>
              <w:t>12</w:t>
            </w:r>
          </w:p>
        </w:tc>
        <w:tc>
          <w:tcPr>
            <w:tcW w:w="109" w:type="dxa"/>
          </w:tcPr>
          <w:p>
            <w:pPr>
              <w:pStyle w:val="TableParagraph"/>
              <w:rPr>
                <w:rFonts w:ascii="Times New Roman"/>
                <w:sz w:val="8"/>
              </w:rPr>
            </w:pPr>
          </w:p>
        </w:tc>
        <w:tc>
          <w:tcPr>
            <w:tcW w:w="972" w:type="dxa"/>
          </w:tcPr>
          <w:p>
            <w:pPr>
              <w:pStyle w:val="TableParagraph"/>
              <w:tabs>
                <w:tab w:pos="772" w:val="left" w:leader="none"/>
              </w:tabs>
              <w:spacing w:line="129" w:lineRule="exact" w:before="4"/>
              <w:jc w:val="right"/>
              <w:rPr>
                <w:sz w:val="13"/>
              </w:rPr>
            </w:pPr>
            <w:r>
              <w:rPr>
                <w:w w:val="103"/>
                <w:sz w:val="13"/>
                <w:u w:val="single"/>
              </w:rPr>
              <w:t> </w:t>
            </w:r>
            <w:r>
              <w:rPr>
                <w:sz w:val="13"/>
                <w:u w:val="single"/>
              </w:rPr>
              <w:tab/>
            </w:r>
            <w:r>
              <w:rPr>
                <w:spacing w:val="-1"/>
                <w:sz w:val="13"/>
                <w:u w:val="single"/>
              </w:rPr>
              <w:t>16</w:t>
            </w:r>
          </w:p>
        </w:tc>
      </w:tr>
    </w:tbl>
    <w:p>
      <w:pPr>
        <w:pStyle w:val="BodyText"/>
        <w:rPr>
          <w:sz w:val="20"/>
        </w:rPr>
      </w:pPr>
    </w:p>
    <w:p>
      <w:pPr>
        <w:pStyle w:val="BodyText"/>
        <w:spacing w:before="1"/>
        <w:rPr>
          <w:sz w:val="18"/>
        </w:rPr>
      </w:pPr>
    </w:p>
    <w:p>
      <w:pPr>
        <w:spacing w:before="96"/>
        <w:ind w:left="318" w:right="0" w:firstLine="0"/>
        <w:jc w:val="left"/>
        <w:rPr>
          <w:sz w:val="13"/>
        </w:rPr>
      </w:pPr>
      <w:r>
        <w:rPr>
          <w:w w:val="105"/>
          <w:sz w:val="13"/>
        </w:rPr>
        <w:t>The notes on pages 5 to 27 form part of this statement</w:t>
      </w:r>
    </w:p>
    <w:p>
      <w:pPr>
        <w:spacing w:after="0"/>
        <w:jc w:val="left"/>
        <w:rPr>
          <w:sz w:val="13"/>
        </w:rPr>
        <w:sectPr>
          <w:pgSz w:w="11920" w:h="16850"/>
          <w:pgMar w:header="0" w:footer="407" w:top="1080" w:bottom="640" w:left="740" w:right="520"/>
        </w:sectPr>
      </w:pPr>
    </w:p>
    <w:p>
      <w:pPr>
        <w:spacing w:before="75"/>
        <w:ind w:left="318" w:right="0" w:firstLine="0"/>
        <w:jc w:val="left"/>
        <w:rPr>
          <w:sz w:val="14"/>
        </w:rPr>
      </w:pPr>
      <w:r>
        <w:rPr>
          <w:sz w:val="14"/>
        </w:rPr>
        <w:t>NHS North Lincolnshire CCG - Annual Accounts 2021-22</w:t>
      </w:r>
    </w:p>
    <w:p>
      <w:pPr>
        <w:pStyle w:val="BodyText"/>
        <w:rPr>
          <w:sz w:val="16"/>
        </w:rPr>
      </w:pPr>
    </w:p>
    <w:p>
      <w:pPr>
        <w:spacing w:before="0"/>
        <w:ind w:left="318" w:right="0" w:firstLine="0"/>
        <w:jc w:val="left"/>
        <w:rPr>
          <w:b/>
          <w:sz w:val="14"/>
        </w:rPr>
      </w:pPr>
      <w:r>
        <w:rPr>
          <w:b/>
          <w:sz w:val="14"/>
        </w:rPr>
        <w:t>Notes to the financial statements</w:t>
      </w:r>
    </w:p>
    <w:p>
      <w:pPr>
        <w:pStyle w:val="BodyText"/>
        <w:spacing w:before="3"/>
        <w:rPr>
          <w:b/>
          <w:sz w:val="16"/>
        </w:rPr>
      </w:pPr>
    </w:p>
    <w:p>
      <w:pPr>
        <w:pStyle w:val="ListParagraph"/>
        <w:numPr>
          <w:ilvl w:val="0"/>
          <w:numId w:val="17"/>
        </w:numPr>
        <w:tabs>
          <w:tab w:pos="704" w:val="left" w:leader="none"/>
          <w:tab w:pos="705" w:val="left" w:leader="none"/>
        </w:tabs>
        <w:spacing w:line="240" w:lineRule="auto" w:before="0" w:after="0"/>
        <w:ind w:left="704" w:right="0" w:hanging="390"/>
        <w:jc w:val="left"/>
        <w:rPr>
          <w:b/>
          <w:sz w:val="14"/>
        </w:rPr>
      </w:pPr>
      <w:r>
        <w:rPr>
          <w:b/>
          <w:sz w:val="14"/>
        </w:rPr>
        <w:t>Accounting</w:t>
      </w:r>
      <w:r>
        <w:rPr>
          <w:b/>
          <w:spacing w:val="-5"/>
          <w:sz w:val="14"/>
        </w:rPr>
        <w:t> </w:t>
      </w:r>
      <w:r>
        <w:rPr>
          <w:b/>
          <w:sz w:val="14"/>
        </w:rPr>
        <w:t>Policies</w:t>
      </w:r>
    </w:p>
    <w:p>
      <w:pPr>
        <w:spacing w:line="256" w:lineRule="auto" w:before="10"/>
        <w:ind w:left="704" w:right="604" w:firstLine="0"/>
        <w:jc w:val="left"/>
        <w:rPr>
          <w:sz w:val="14"/>
        </w:rPr>
      </w:pPr>
      <w:r>
        <w:rPr>
          <w:sz w:val="14"/>
        </w:rPr>
        <w:t>NHS England has directed that the financial statements of clinical commissioning groups shall meet the accounting requirements of the Group Accounting Manual issued by the Department of Health and Social Care. Consequently, the following financial statements have been prepared in accordance with the Group Accounting Manual 2021-22 issued by the Department of Health and Social Care. The accounting policies contained in the Group Accounting Manual follow International Financial Reporting Standards to the extent that they are meaningful and appropriate to clinical commissioning groups, as determined by HM Treasury, which is advised by the Financial Reporting Advisory Board. Where the Group Accounting Manual</w:t>
      </w:r>
      <w:r>
        <w:rPr>
          <w:spacing w:val="-5"/>
          <w:sz w:val="14"/>
        </w:rPr>
        <w:t> </w:t>
      </w:r>
      <w:r>
        <w:rPr>
          <w:sz w:val="14"/>
        </w:rPr>
        <w:t>permits</w:t>
      </w:r>
      <w:r>
        <w:rPr>
          <w:spacing w:val="-8"/>
          <w:sz w:val="14"/>
        </w:rPr>
        <w:t> </w:t>
      </w:r>
      <w:r>
        <w:rPr>
          <w:sz w:val="14"/>
        </w:rPr>
        <w:t>a</w:t>
      </w:r>
      <w:r>
        <w:rPr>
          <w:spacing w:val="-8"/>
          <w:sz w:val="14"/>
        </w:rPr>
        <w:t> </w:t>
      </w:r>
      <w:r>
        <w:rPr>
          <w:sz w:val="14"/>
        </w:rPr>
        <w:t>choice</w:t>
      </w:r>
      <w:r>
        <w:rPr>
          <w:spacing w:val="-9"/>
          <w:sz w:val="14"/>
        </w:rPr>
        <w:t> </w:t>
      </w:r>
      <w:r>
        <w:rPr>
          <w:sz w:val="14"/>
        </w:rPr>
        <w:t>of</w:t>
      </w:r>
      <w:r>
        <w:rPr>
          <w:spacing w:val="-7"/>
          <w:sz w:val="14"/>
        </w:rPr>
        <w:t> </w:t>
      </w:r>
      <w:r>
        <w:rPr>
          <w:sz w:val="14"/>
        </w:rPr>
        <w:t>accounting</w:t>
      </w:r>
      <w:r>
        <w:rPr>
          <w:spacing w:val="-6"/>
          <w:sz w:val="14"/>
        </w:rPr>
        <w:t> </w:t>
      </w:r>
      <w:r>
        <w:rPr>
          <w:sz w:val="14"/>
        </w:rPr>
        <w:t>policy,</w:t>
      </w:r>
      <w:r>
        <w:rPr>
          <w:spacing w:val="-8"/>
          <w:sz w:val="14"/>
        </w:rPr>
        <w:t> </w:t>
      </w:r>
      <w:r>
        <w:rPr>
          <w:sz w:val="14"/>
        </w:rPr>
        <w:t>the</w:t>
      </w:r>
      <w:r>
        <w:rPr>
          <w:spacing w:val="-8"/>
          <w:sz w:val="14"/>
        </w:rPr>
        <w:t> </w:t>
      </w:r>
      <w:r>
        <w:rPr>
          <w:sz w:val="14"/>
        </w:rPr>
        <w:t>accounting</w:t>
      </w:r>
      <w:r>
        <w:rPr>
          <w:spacing w:val="-8"/>
          <w:sz w:val="14"/>
        </w:rPr>
        <w:t> </w:t>
      </w:r>
      <w:r>
        <w:rPr>
          <w:sz w:val="14"/>
        </w:rPr>
        <w:t>policy</w:t>
      </w:r>
      <w:r>
        <w:rPr>
          <w:spacing w:val="-13"/>
          <w:sz w:val="14"/>
        </w:rPr>
        <w:t> </w:t>
      </w:r>
      <w:r>
        <w:rPr>
          <w:sz w:val="14"/>
        </w:rPr>
        <w:t>which</w:t>
      </w:r>
      <w:r>
        <w:rPr>
          <w:spacing w:val="-10"/>
          <w:sz w:val="14"/>
        </w:rPr>
        <w:t> </w:t>
      </w:r>
      <w:r>
        <w:rPr>
          <w:sz w:val="14"/>
        </w:rPr>
        <w:t>is</w:t>
      </w:r>
      <w:r>
        <w:rPr>
          <w:spacing w:val="-8"/>
          <w:sz w:val="14"/>
        </w:rPr>
        <w:t> </w:t>
      </w:r>
      <w:r>
        <w:rPr>
          <w:sz w:val="14"/>
        </w:rPr>
        <w:t>judged</w:t>
      </w:r>
      <w:r>
        <w:rPr>
          <w:spacing w:val="-8"/>
          <w:sz w:val="14"/>
        </w:rPr>
        <w:t> </w:t>
      </w:r>
      <w:r>
        <w:rPr>
          <w:sz w:val="14"/>
        </w:rPr>
        <w:t>to</w:t>
      </w:r>
      <w:r>
        <w:rPr>
          <w:spacing w:val="-8"/>
          <w:sz w:val="14"/>
        </w:rPr>
        <w:t> </w:t>
      </w:r>
      <w:r>
        <w:rPr>
          <w:sz w:val="14"/>
        </w:rPr>
        <w:t>be</w:t>
      </w:r>
      <w:r>
        <w:rPr>
          <w:spacing w:val="-10"/>
          <w:sz w:val="14"/>
        </w:rPr>
        <w:t> </w:t>
      </w:r>
      <w:r>
        <w:rPr>
          <w:sz w:val="14"/>
        </w:rPr>
        <w:t>most</w:t>
      </w:r>
      <w:r>
        <w:rPr>
          <w:spacing w:val="-8"/>
          <w:sz w:val="14"/>
        </w:rPr>
        <w:t> </w:t>
      </w:r>
      <w:r>
        <w:rPr>
          <w:sz w:val="14"/>
        </w:rPr>
        <w:t>appropriate</w:t>
      </w:r>
      <w:r>
        <w:rPr>
          <w:spacing w:val="-8"/>
          <w:sz w:val="14"/>
        </w:rPr>
        <w:t> </w:t>
      </w:r>
      <w:r>
        <w:rPr>
          <w:sz w:val="14"/>
        </w:rPr>
        <w:t>to</w:t>
      </w:r>
      <w:r>
        <w:rPr>
          <w:spacing w:val="-7"/>
          <w:sz w:val="14"/>
        </w:rPr>
        <w:t> </w:t>
      </w:r>
      <w:r>
        <w:rPr>
          <w:sz w:val="14"/>
        </w:rPr>
        <w:t>the</w:t>
      </w:r>
      <w:r>
        <w:rPr>
          <w:spacing w:val="-8"/>
          <w:sz w:val="14"/>
        </w:rPr>
        <w:t> </w:t>
      </w:r>
      <w:r>
        <w:rPr>
          <w:sz w:val="14"/>
        </w:rPr>
        <w:t>particular</w:t>
      </w:r>
      <w:r>
        <w:rPr>
          <w:spacing w:val="-9"/>
          <w:sz w:val="14"/>
        </w:rPr>
        <w:t> </w:t>
      </w:r>
      <w:r>
        <w:rPr>
          <w:sz w:val="14"/>
        </w:rPr>
        <w:t>circumstances</w:t>
      </w:r>
      <w:r>
        <w:rPr>
          <w:spacing w:val="-6"/>
          <w:sz w:val="14"/>
        </w:rPr>
        <w:t> </w:t>
      </w:r>
      <w:r>
        <w:rPr>
          <w:sz w:val="14"/>
        </w:rPr>
        <w:t>of</w:t>
      </w:r>
      <w:r>
        <w:rPr>
          <w:spacing w:val="-8"/>
          <w:sz w:val="14"/>
        </w:rPr>
        <w:t> </w:t>
      </w:r>
      <w:r>
        <w:rPr>
          <w:sz w:val="14"/>
        </w:rPr>
        <w:t>the</w:t>
      </w:r>
      <w:r>
        <w:rPr>
          <w:spacing w:val="-7"/>
          <w:sz w:val="14"/>
        </w:rPr>
        <w:t> </w:t>
      </w:r>
      <w:r>
        <w:rPr>
          <w:sz w:val="14"/>
        </w:rPr>
        <w:t>clinical commissioning</w:t>
      </w:r>
      <w:r>
        <w:rPr>
          <w:spacing w:val="-10"/>
          <w:sz w:val="14"/>
        </w:rPr>
        <w:t> </w:t>
      </w:r>
      <w:r>
        <w:rPr>
          <w:sz w:val="14"/>
        </w:rPr>
        <w:t>group</w:t>
      </w:r>
      <w:r>
        <w:rPr>
          <w:spacing w:val="-8"/>
          <w:sz w:val="14"/>
        </w:rPr>
        <w:t> </w:t>
      </w:r>
      <w:r>
        <w:rPr>
          <w:sz w:val="14"/>
        </w:rPr>
        <w:t>for</w:t>
      </w:r>
      <w:r>
        <w:rPr>
          <w:spacing w:val="-10"/>
          <w:sz w:val="14"/>
        </w:rPr>
        <w:t> </w:t>
      </w:r>
      <w:r>
        <w:rPr>
          <w:sz w:val="14"/>
        </w:rPr>
        <w:t>the</w:t>
      </w:r>
      <w:r>
        <w:rPr>
          <w:spacing w:val="-8"/>
          <w:sz w:val="14"/>
        </w:rPr>
        <w:t> </w:t>
      </w:r>
      <w:r>
        <w:rPr>
          <w:sz w:val="14"/>
        </w:rPr>
        <w:t>purpose</w:t>
      </w:r>
      <w:r>
        <w:rPr>
          <w:spacing w:val="-8"/>
          <w:sz w:val="14"/>
        </w:rPr>
        <w:t> </w:t>
      </w:r>
      <w:r>
        <w:rPr>
          <w:sz w:val="14"/>
        </w:rPr>
        <w:t>of</w:t>
      </w:r>
      <w:r>
        <w:rPr>
          <w:spacing w:val="-7"/>
          <w:sz w:val="14"/>
        </w:rPr>
        <w:t> </w:t>
      </w:r>
      <w:r>
        <w:rPr>
          <w:sz w:val="14"/>
        </w:rPr>
        <w:t>giving</w:t>
      </w:r>
      <w:r>
        <w:rPr>
          <w:spacing w:val="-11"/>
          <w:sz w:val="14"/>
        </w:rPr>
        <w:t> </w:t>
      </w:r>
      <w:r>
        <w:rPr>
          <w:sz w:val="14"/>
        </w:rPr>
        <w:t>a</w:t>
      </w:r>
      <w:r>
        <w:rPr>
          <w:spacing w:val="-7"/>
          <w:sz w:val="14"/>
        </w:rPr>
        <w:t> </w:t>
      </w:r>
      <w:r>
        <w:rPr>
          <w:sz w:val="14"/>
        </w:rPr>
        <w:t>true</w:t>
      </w:r>
      <w:r>
        <w:rPr>
          <w:spacing w:val="-9"/>
          <w:sz w:val="14"/>
        </w:rPr>
        <w:t> </w:t>
      </w:r>
      <w:r>
        <w:rPr>
          <w:sz w:val="14"/>
        </w:rPr>
        <w:t>and</w:t>
      </w:r>
      <w:r>
        <w:rPr>
          <w:spacing w:val="-8"/>
          <w:sz w:val="14"/>
        </w:rPr>
        <w:t> </w:t>
      </w:r>
      <w:r>
        <w:rPr>
          <w:sz w:val="14"/>
        </w:rPr>
        <w:t>fair</w:t>
      </w:r>
      <w:r>
        <w:rPr>
          <w:spacing w:val="-10"/>
          <w:sz w:val="14"/>
        </w:rPr>
        <w:t> </w:t>
      </w:r>
      <w:r>
        <w:rPr>
          <w:sz w:val="14"/>
        </w:rPr>
        <w:t>view</w:t>
      </w:r>
      <w:r>
        <w:rPr>
          <w:spacing w:val="-8"/>
          <w:sz w:val="14"/>
        </w:rPr>
        <w:t> </w:t>
      </w:r>
      <w:r>
        <w:rPr>
          <w:sz w:val="14"/>
        </w:rPr>
        <w:t>has</w:t>
      </w:r>
      <w:r>
        <w:rPr>
          <w:spacing w:val="-6"/>
          <w:sz w:val="14"/>
        </w:rPr>
        <w:t> </w:t>
      </w:r>
      <w:r>
        <w:rPr>
          <w:sz w:val="14"/>
        </w:rPr>
        <w:t>been</w:t>
      </w:r>
      <w:r>
        <w:rPr>
          <w:spacing w:val="-6"/>
          <w:sz w:val="14"/>
        </w:rPr>
        <w:t> </w:t>
      </w:r>
      <w:r>
        <w:rPr>
          <w:sz w:val="14"/>
        </w:rPr>
        <w:t>selected.</w:t>
      </w:r>
      <w:r>
        <w:rPr>
          <w:spacing w:val="-9"/>
          <w:sz w:val="14"/>
        </w:rPr>
        <w:t> </w:t>
      </w:r>
      <w:r>
        <w:rPr>
          <w:sz w:val="14"/>
        </w:rPr>
        <w:t>The</w:t>
      </w:r>
      <w:r>
        <w:rPr>
          <w:spacing w:val="-9"/>
          <w:sz w:val="14"/>
        </w:rPr>
        <w:t> </w:t>
      </w:r>
      <w:r>
        <w:rPr>
          <w:sz w:val="14"/>
        </w:rPr>
        <w:t>particular</w:t>
      </w:r>
      <w:r>
        <w:rPr>
          <w:spacing w:val="-9"/>
          <w:sz w:val="14"/>
        </w:rPr>
        <w:t> </w:t>
      </w:r>
      <w:r>
        <w:rPr>
          <w:sz w:val="14"/>
        </w:rPr>
        <w:t>policies</w:t>
      </w:r>
      <w:r>
        <w:rPr>
          <w:spacing w:val="-6"/>
          <w:sz w:val="14"/>
        </w:rPr>
        <w:t> </w:t>
      </w:r>
      <w:r>
        <w:rPr>
          <w:sz w:val="14"/>
        </w:rPr>
        <w:t>adopted</w:t>
      </w:r>
      <w:r>
        <w:rPr>
          <w:spacing w:val="-7"/>
          <w:sz w:val="14"/>
        </w:rPr>
        <w:t> </w:t>
      </w:r>
      <w:r>
        <w:rPr>
          <w:sz w:val="14"/>
        </w:rPr>
        <w:t>by</w:t>
      </w:r>
      <w:r>
        <w:rPr>
          <w:spacing w:val="-13"/>
          <w:sz w:val="14"/>
        </w:rPr>
        <w:t> </w:t>
      </w:r>
      <w:r>
        <w:rPr>
          <w:sz w:val="14"/>
        </w:rPr>
        <w:t>the</w:t>
      </w:r>
      <w:r>
        <w:rPr>
          <w:spacing w:val="-8"/>
          <w:sz w:val="14"/>
        </w:rPr>
        <w:t> </w:t>
      </w:r>
      <w:r>
        <w:rPr>
          <w:sz w:val="14"/>
        </w:rPr>
        <w:t>clinical</w:t>
      </w:r>
      <w:r>
        <w:rPr>
          <w:spacing w:val="-8"/>
          <w:sz w:val="14"/>
        </w:rPr>
        <w:t> </w:t>
      </w:r>
      <w:r>
        <w:rPr>
          <w:sz w:val="14"/>
        </w:rPr>
        <w:t>commissioning</w:t>
      </w:r>
      <w:r>
        <w:rPr>
          <w:spacing w:val="-6"/>
          <w:sz w:val="14"/>
        </w:rPr>
        <w:t> </w:t>
      </w:r>
      <w:r>
        <w:rPr>
          <w:sz w:val="14"/>
        </w:rPr>
        <w:t>group are</w:t>
      </w:r>
      <w:r>
        <w:rPr>
          <w:spacing w:val="-5"/>
          <w:sz w:val="14"/>
        </w:rPr>
        <w:t> </w:t>
      </w:r>
      <w:r>
        <w:rPr>
          <w:sz w:val="14"/>
        </w:rPr>
        <w:t>described</w:t>
      </w:r>
      <w:r>
        <w:rPr>
          <w:spacing w:val="-3"/>
          <w:sz w:val="14"/>
        </w:rPr>
        <w:t> </w:t>
      </w:r>
      <w:r>
        <w:rPr>
          <w:sz w:val="14"/>
        </w:rPr>
        <w:t>below.</w:t>
      </w:r>
      <w:r>
        <w:rPr>
          <w:spacing w:val="-5"/>
          <w:sz w:val="14"/>
        </w:rPr>
        <w:t> </w:t>
      </w:r>
      <w:r>
        <w:rPr>
          <w:sz w:val="14"/>
        </w:rPr>
        <w:t>They</w:t>
      </w:r>
      <w:r>
        <w:rPr>
          <w:spacing w:val="-7"/>
          <w:sz w:val="14"/>
        </w:rPr>
        <w:t> </w:t>
      </w:r>
      <w:r>
        <w:rPr>
          <w:sz w:val="14"/>
        </w:rPr>
        <w:t>have</w:t>
      </w:r>
      <w:r>
        <w:rPr>
          <w:spacing w:val="-4"/>
          <w:sz w:val="14"/>
        </w:rPr>
        <w:t> </w:t>
      </w:r>
      <w:r>
        <w:rPr>
          <w:sz w:val="14"/>
        </w:rPr>
        <w:t>been</w:t>
      </w:r>
      <w:r>
        <w:rPr>
          <w:spacing w:val="-3"/>
          <w:sz w:val="14"/>
        </w:rPr>
        <w:t> </w:t>
      </w:r>
      <w:r>
        <w:rPr>
          <w:sz w:val="14"/>
        </w:rPr>
        <w:t>applied</w:t>
      </w:r>
      <w:r>
        <w:rPr>
          <w:spacing w:val="-7"/>
          <w:sz w:val="14"/>
        </w:rPr>
        <w:t> </w:t>
      </w:r>
      <w:r>
        <w:rPr>
          <w:sz w:val="14"/>
        </w:rPr>
        <w:t>consistently</w:t>
      </w:r>
      <w:r>
        <w:rPr>
          <w:spacing w:val="-9"/>
          <w:sz w:val="14"/>
        </w:rPr>
        <w:t> </w:t>
      </w:r>
      <w:r>
        <w:rPr>
          <w:sz w:val="14"/>
        </w:rPr>
        <w:t>in</w:t>
      </w:r>
      <w:r>
        <w:rPr>
          <w:spacing w:val="-4"/>
          <w:sz w:val="14"/>
        </w:rPr>
        <w:t> </w:t>
      </w:r>
      <w:r>
        <w:rPr>
          <w:sz w:val="14"/>
        </w:rPr>
        <w:t>dealing</w:t>
      </w:r>
      <w:r>
        <w:rPr>
          <w:spacing w:val="-5"/>
          <w:sz w:val="14"/>
        </w:rPr>
        <w:t> </w:t>
      </w:r>
      <w:r>
        <w:rPr>
          <w:sz w:val="14"/>
        </w:rPr>
        <w:t>with</w:t>
      </w:r>
      <w:r>
        <w:rPr>
          <w:spacing w:val="-5"/>
          <w:sz w:val="14"/>
        </w:rPr>
        <w:t> </w:t>
      </w:r>
      <w:r>
        <w:rPr>
          <w:sz w:val="14"/>
        </w:rPr>
        <w:t>items</w:t>
      </w:r>
      <w:r>
        <w:rPr>
          <w:spacing w:val="-2"/>
          <w:sz w:val="14"/>
        </w:rPr>
        <w:t> </w:t>
      </w:r>
      <w:r>
        <w:rPr>
          <w:sz w:val="14"/>
        </w:rPr>
        <w:t>considered</w:t>
      </w:r>
      <w:r>
        <w:rPr>
          <w:spacing w:val="-5"/>
          <w:sz w:val="14"/>
        </w:rPr>
        <w:t> </w:t>
      </w:r>
      <w:r>
        <w:rPr>
          <w:sz w:val="14"/>
        </w:rPr>
        <w:t>material</w:t>
      </w:r>
      <w:r>
        <w:rPr>
          <w:spacing w:val="-3"/>
          <w:sz w:val="14"/>
        </w:rPr>
        <w:t> </w:t>
      </w:r>
      <w:r>
        <w:rPr>
          <w:sz w:val="14"/>
        </w:rPr>
        <w:t>in</w:t>
      </w:r>
      <w:r>
        <w:rPr>
          <w:spacing w:val="-5"/>
          <w:sz w:val="14"/>
        </w:rPr>
        <w:t> </w:t>
      </w:r>
      <w:r>
        <w:rPr>
          <w:sz w:val="14"/>
        </w:rPr>
        <w:t>relation</w:t>
      </w:r>
      <w:r>
        <w:rPr>
          <w:spacing w:val="-3"/>
          <w:sz w:val="14"/>
        </w:rPr>
        <w:t> </w:t>
      </w:r>
      <w:r>
        <w:rPr>
          <w:sz w:val="14"/>
        </w:rPr>
        <w:t>to</w:t>
      </w:r>
      <w:r>
        <w:rPr>
          <w:spacing w:val="-3"/>
          <w:sz w:val="14"/>
        </w:rPr>
        <w:t> </w:t>
      </w:r>
      <w:r>
        <w:rPr>
          <w:sz w:val="14"/>
        </w:rPr>
        <w:t>the</w:t>
      </w:r>
      <w:r>
        <w:rPr>
          <w:spacing w:val="-5"/>
          <w:sz w:val="14"/>
        </w:rPr>
        <w:t> </w:t>
      </w:r>
      <w:r>
        <w:rPr>
          <w:sz w:val="14"/>
        </w:rPr>
        <w:t>accounts.</w:t>
      </w:r>
    </w:p>
    <w:p>
      <w:pPr>
        <w:pStyle w:val="BodyText"/>
        <w:rPr>
          <w:sz w:val="16"/>
        </w:rPr>
      </w:pPr>
    </w:p>
    <w:p>
      <w:pPr>
        <w:pStyle w:val="ListParagraph"/>
        <w:numPr>
          <w:ilvl w:val="1"/>
          <w:numId w:val="17"/>
        </w:numPr>
        <w:tabs>
          <w:tab w:pos="705" w:val="left" w:leader="none"/>
        </w:tabs>
        <w:spacing w:line="240" w:lineRule="auto" w:before="115" w:after="0"/>
        <w:ind w:left="704" w:right="0" w:hanging="390"/>
        <w:jc w:val="left"/>
        <w:rPr>
          <w:b/>
          <w:sz w:val="14"/>
        </w:rPr>
      </w:pPr>
      <w:r>
        <w:rPr>
          <w:b/>
          <w:sz w:val="14"/>
        </w:rPr>
        <w:t>Going</w:t>
      </w:r>
      <w:r>
        <w:rPr>
          <w:b/>
          <w:spacing w:val="-3"/>
          <w:sz w:val="14"/>
        </w:rPr>
        <w:t> </w:t>
      </w:r>
      <w:r>
        <w:rPr>
          <w:b/>
          <w:sz w:val="14"/>
        </w:rPr>
        <w:t>Concern</w:t>
      </w:r>
    </w:p>
    <w:p>
      <w:pPr>
        <w:spacing w:before="12"/>
        <w:ind w:left="704" w:right="0" w:firstLine="0"/>
        <w:jc w:val="left"/>
        <w:rPr>
          <w:b/>
          <w:i/>
          <w:sz w:val="14"/>
        </w:rPr>
      </w:pPr>
      <w:r>
        <w:rPr>
          <w:sz w:val="14"/>
        </w:rPr>
        <w:t>These accounts have been prepared on a going concern basis</w:t>
      </w:r>
      <w:r>
        <w:rPr>
          <w:b/>
          <w:i/>
          <w:sz w:val="14"/>
        </w:rPr>
        <w:t>.</w:t>
      </w:r>
    </w:p>
    <w:p>
      <w:pPr>
        <w:spacing w:line="256" w:lineRule="auto" w:before="7"/>
        <w:ind w:left="704" w:right="644" w:firstLine="0"/>
        <w:jc w:val="left"/>
        <w:rPr>
          <w:sz w:val="14"/>
        </w:rPr>
      </w:pPr>
      <w:r>
        <w:rPr>
          <w:sz w:val="14"/>
        </w:rPr>
        <w:t>The Health and Social Care Bill was introduced into the House of Commons on 6 July 2021. The Bill will allow for the establishment of Integrated Care Boards (ICB) across England and will abolish clinical commissioning groups (CCG). ICBs will take on the commissioning functions of CCGs. The Bill was given Royal Assent and became an Act of Parliament on the 28th April 2022. The intention is that all the CCG functions, assets and liabilities will therefore transfer to an ICB on the 1st July 2022.</w:t>
      </w:r>
    </w:p>
    <w:p>
      <w:pPr>
        <w:spacing w:line="256" w:lineRule="auto" w:before="0"/>
        <w:ind w:left="704" w:right="604" w:firstLine="0"/>
        <w:jc w:val="left"/>
        <w:rPr>
          <w:sz w:val="14"/>
        </w:rPr>
      </w:pPr>
      <w:r>
        <w:rPr>
          <w:sz w:val="14"/>
        </w:rPr>
        <w:t>Public</w:t>
      </w:r>
      <w:r>
        <w:rPr>
          <w:spacing w:val="-9"/>
          <w:sz w:val="14"/>
        </w:rPr>
        <w:t> </w:t>
      </w:r>
      <w:r>
        <w:rPr>
          <w:sz w:val="14"/>
        </w:rPr>
        <w:t>sector</w:t>
      </w:r>
      <w:r>
        <w:rPr>
          <w:spacing w:val="-6"/>
          <w:sz w:val="14"/>
        </w:rPr>
        <w:t> </w:t>
      </w:r>
      <w:r>
        <w:rPr>
          <w:sz w:val="14"/>
        </w:rPr>
        <w:t>bodies</w:t>
      </w:r>
      <w:r>
        <w:rPr>
          <w:spacing w:val="-5"/>
          <w:sz w:val="14"/>
        </w:rPr>
        <w:t> </w:t>
      </w:r>
      <w:r>
        <w:rPr>
          <w:sz w:val="14"/>
        </w:rPr>
        <w:t>are</w:t>
      </w:r>
      <w:r>
        <w:rPr>
          <w:spacing w:val="-8"/>
          <w:sz w:val="14"/>
        </w:rPr>
        <w:t> </w:t>
      </w:r>
      <w:r>
        <w:rPr>
          <w:sz w:val="14"/>
        </w:rPr>
        <w:t>assumed</w:t>
      </w:r>
      <w:r>
        <w:rPr>
          <w:spacing w:val="-8"/>
          <w:sz w:val="14"/>
        </w:rPr>
        <w:t> </w:t>
      </w:r>
      <w:r>
        <w:rPr>
          <w:sz w:val="14"/>
        </w:rPr>
        <w:t>to</w:t>
      </w:r>
      <w:r>
        <w:rPr>
          <w:spacing w:val="-8"/>
          <w:sz w:val="14"/>
        </w:rPr>
        <w:t> </w:t>
      </w:r>
      <w:r>
        <w:rPr>
          <w:sz w:val="14"/>
        </w:rPr>
        <w:t>be</w:t>
      </w:r>
      <w:r>
        <w:rPr>
          <w:spacing w:val="-6"/>
          <w:sz w:val="14"/>
        </w:rPr>
        <w:t> </w:t>
      </w:r>
      <w:r>
        <w:rPr>
          <w:sz w:val="14"/>
        </w:rPr>
        <w:t>going</w:t>
      </w:r>
      <w:r>
        <w:rPr>
          <w:spacing w:val="-8"/>
          <w:sz w:val="14"/>
        </w:rPr>
        <w:t> </w:t>
      </w:r>
      <w:r>
        <w:rPr>
          <w:sz w:val="14"/>
        </w:rPr>
        <w:t>concerns</w:t>
      </w:r>
      <w:r>
        <w:rPr>
          <w:spacing w:val="-7"/>
          <w:sz w:val="14"/>
        </w:rPr>
        <w:t> </w:t>
      </w:r>
      <w:r>
        <w:rPr>
          <w:sz w:val="14"/>
        </w:rPr>
        <w:t>where</w:t>
      </w:r>
      <w:r>
        <w:rPr>
          <w:spacing w:val="-11"/>
          <w:sz w:val="14"/>
        </w:rPr>
        <w:t> </w:t>
      </w:r>
      <w:r>
        <w:rPr>
          <w:sz w:val="14"/>
        </w:rPr>
        <w:t>the</w:t>
      </w:r>
      <w:r>
        <w:rPr>
          <w:spacing w:val="-6"/>
          <w:sz w:val="14"/>
        </w:rPr>
        <w:t> </w:t>
      </w:r>
      <w:r>
        <w:rPr>
          <w:sz w:val="14"/>
        </w:rPr>
        <w:t>continuation</w:t>
      </w:r>
      <w:r>
        <w:rPr>
          <w:spacing w:val="-6"/>
          <w:sz w:val="14"/>
        </w:rPr>
        <w:t> </w:t>
      </w:r>
      <w:r>
        <w:rPr>
          <w:sz w:val="14"/>
        </w:rPr>
        <w:t>of</w:t>
      </w:r>
      <w:r>
        <w:rPr>
          <w:spacing w:val="-8"/>
          <w:sz w:val="14"/>
        </w:rPr>
        <w:t> </w:t>
      </w:r>
      <w:r>
        <w:rPr>
          <w:sz w:val="14"/>
        </w:rPr>
        <w:t>the</w:t>
      </w:r>
      <w:r>
        <w:rPr>
          <w:spacing w:val="-8"/>
          <w:sz w:val="14"/>
        </w:rPr>
        <w:t> </w:t>
      </w:r>
      <w:r>
        <w:rPr>
          <w:sz w:val="14"/>
        </w:rPr>
        <w:t>provision</w:t>
      </w:r>
      <w:r>
        <w:rPr>
          <w:spacing w:val="-6"/>
          <w:sz w:val="14"/>
        </w:rPr>
        <w:t> </w:t>
      </w:r>
      <w:r>
        <w:rPr>
          <w:sz w:val="14"/>
        </w:rPr>
        <w:t>of</w:t>
      </w:r>
      <w:r>
        <w:rPr>
          <w:spacing w:val="-8"/>
          <w:sz w:val="14"/>
        </w:rPr>
        <w:t> </w:t>
      </w:r>
      <w:r>
        <w:rPr>
          <w:sz w:val="14"/>
        </w:rPr>
        <w:t>a</w:t>
      </w:r>
      <w:r>
        <w:rPr>
          <w:spacing w:val="-8"/>
          <w:sz w:val="14"/>
        </w:rPr>
        <w:t> </w:t>
      </w:r>
      <w:r>
        <w:rPr>
          <w:sz w:val="14"/>
        </w:rPr>
        <w:t>service</w:t>
      </w:r>
      <w:r>
        <w:rPr>
          <w:spacing w:val="-9"/>
          <w:sz w:val="14"/>
        </w:rPr>
        <w:t> </w:t>
      </w:r>
      <w:r>
        <w:rPr>
          <w:sz w:val="14"/>
        </w:rPr>
        <w:t>in</w:t>
      </w:r>
      <w:r>
        <w:rPr>
          <w:spacing w:val="-9"/>
          <w:sz w:val="14"/>
        </w:rPr>
        <w:t> </w:t>
      </w:r>
      <w:r>
        <w:rPr>
          <w:sz w:val="14"/>
        </w:rPr>
        <w:t>the</w:t>
      </w:r>
      <w:r>
        <w:rPr>
          <w:spacing w:val="-8"/>
          <w:sz w:val="14"/>
        </w:rPr>
        <w:t> </w:t>
      </w:r>
      <w:r>
        <w:rPr>
          <w:sz w:val="14"/>
        </w:rPr>
        <w:t>future</w:t>
      </w:r>
      <w:r>
        <w:rPr>
          <w:spacing w:val="-9"/>
          <w:sz w:val="14"/>
        </w:rPr>
        <w:t> </w:t>
      </w:r>
      <w:r>
        <w:rPr>
          <w:sz w:val="14"/>
        </w:rPr>
        <w:t>is</w:t>
      </w:r>
      <w:r>
        <w:rPr>
          <w:spacing w:val="-8"/>
          <w:sz w:val="14"/>
        </w:rPr>
        <w:t> </w:t>
      </w:r>
      <w:r>
        <w:rPr>
          <w:sz w:val="14"/>
        </w:rPr>
        <w:t>anticipated,</w:t>
      </w:r>
      <w:r>
        <w:rPr>
          <w:spacing w:val="-8"/>
          <w:sz w:val="14"/>
        </w:rPr>
        <w:t> </w:t>
      </w:r>
      <w:r>
        <w:rPr>
          <w:sz w:val="14"/>
        </w:rPr>
        <w:t>as</w:t>
      </w:r>
      <w:r>
        <w:rPr>
          <w:spacing w:val="-8"/>
          <w:sz w:val="14"/>
        </w:rPr>
        <w:t> </w:t>
      </w:r>
      <w:r>
        <w:rPr>
          <w:sz w:val="14"/>
        </w:rPr>
        <w:t>evidenced</w:t>
      </w:r>
      <w:r>
        <w:rPr>
          <w:spacing w:val="-8"/>
          <w:sz w:val="14"/>
        </w:rPr>
        <w:t> </w:t>
      </w:r>
      <w:r>
        <w:rPr>
          <w:sz w:val="14"/>
        </w:rPr>
        <w:t>by inclusion of financial provision for that service in published</w:t>
      </w:r>
      <w:r>
        <w:rPr>
          <w:spacing w:val="-25"/>
          <w:sz w:val="14"/>
        </w:rPr>
        <w:t> </w:t>
      </w:r>
      <w:r>
        <w:rPr>
          <w:sz w:val="14"/>
        </w:rPr>
        <w:t>documents.</w:t>
      </w:r>
    </w:p>
    <w:p>
      <w:pPr>
        <w:spacing w:line="256" w:lineRule="auto" w:before="1"/>
        <w:ind w:left="704" w:right="604" w:firstLine="0"/>
        <w:jc w:val="left"/>
        <w:rPr>
          <w:sz w:val="14"/>
        </w:rPr>
      </w:pPr>
      <w:r>
        <w:rPr>
          <w:sz w:val="14"/>
        </w:rPr>
        <w:t>Where a clinical commissioning group ceases to exist, it considers whether or not its services will continue to be provided (using the same assets, by another public sector entity) in determining whether to use the concept of going concern for the final set of financial statements. If services will continue to be provided the financial statements are prepared on the going concern basis. The statement of financial position has therefore been drawn up at 31 March 2022 on a going concern</w:t>
      </w:r>
      <w:r>
        <w:rPr>
          <w:spacing w:val="-4"/>
          <w:sz w:val="14"/>
        </w:rPr>
        <w:t> </w:t>
      </w:r>
      <w:r>
        <w:rPr>
          <w:sz w:val="14"/>
        </w:rPr>
        <w:t>basis.</w:t>
      </w:r>
    </w:p>
    <w:p>
      <w:pPr>
        <w:pStyle w:val="ListParagraph"/>
        <w:numPr>
          <w:ilvl w:val="1"/>
          <w:numId w:val="17"/>
        </w:numPr>
        <w:tabs>
          <w:tab w:pos="740" w:val="left" w:leader="none"/>
          <w:tab w:pos="741" w:val="left" w:leader="none"/>
        </w:tabs>
        <w:spacing w:line="240" w:lineRule="auto" w:before="74" w:after="0"/>
        <w:ind w:left="740" w:right="0" w:hanging="426"/>
        <w:jc w:val="left"/>
        <w:rPr>
          <w:b/>
          <w:sz w:val="14"/>
        </w:rPr>
      </w:pPr>
      <w:r>
        <w:rPr>
          <w:b/>
          <w:sz w:val="14"/>
        </w:rPr>
        <w:t>Accounting</w:t>
      </w:r>
      <w:r>
        <w:rPr>
          <w:b/>
          <w:spacing w:val="-14"/>
          <w:sz w:val="14"/>
        </w:rPr>
        <w:t> </w:t>
      </w:r>
      <w:r>
        <w:rPr>
          <w:b/>
          <w:sz w:val="14"/>
        </w:rPr>
        <w:t>Convention</w:t>
      </w:r>
    </w:p>
    <w:p>
      <w:pPr>
        <w:spacing w:line="256" w:lineRule="auto" w:before="10"/>
        <w:ind w:left="704" w:right="1081" w:firstLine="0"/>
        <w:jc w:val="left"/>
        <w:rPr>
          <w:sz w:val="14"/>
        </w:rPr>
      </w:pPr>
      <w:r>
        <w:rPr>
          <w:sz w:val="14"/>
        </w:rPr>
        <w:t>These</w:t>
      </w:r>
      <w:r>
        <w:rPr>
          <w:spacing w:val="-9"/>
          <w:sz w:val="14"/>
        </w:rPr>
        <w:t> </w:t>
      </w:r>
      <w:r>
        <w:rPr>
          <w:sz w:val="14"/>
        </w:rPr>
        <w:t>accounts</w:t>
      </w:r>
      <w:r>
        <w:rPr>
          <w:spacing w:val="-9"/>
          <w:sz w:val="14"/>
        </w:rPr>
        <w:t> </w:t>
      </w:r>
      <w:r>
        <w:rPr>
          <w:sz w:val="14"/>
        </w:rPr>
        <w:t>have</w:t>
      </w:r>
      <w:r>
        <w:rPr>
          <w:spacing w:val="-9"/>
          <w:sz w:val="14"/>
        </w:rPr>
        <w:t> </w:t>
      </w:r>
      <w:r>
        <w:rPr>
          <w:sz w:val="14"/>
        </w:rPr>
        <w:t>been</w:t>
      </w:r>
      <w:r>
        <w:rPr>
          <w:spacing w:val="-11"/>
          <w:sz w:val="14"/>
        </w:rPr>
        <w:t> </w:t>
      </w:r>
      <w:r>
        <w:rPr>
          <w:sz w:val="14"/>
        </w:rPr>
        <w:t>prepared</w:t>
      </w:r>
      <w:r>
        <w:rPr>
          <w:spacing w:val="-9"/>
          <w:sz w:val="14"/>
        </w:rPr>
        <w:t> </w:t>
      </w:r>
      <w:r>
        <w:rPr>
          <w:sz w:val="14"/>
        </w:rPr>
        <w:t>under</w:t>
      </w:r>
      <w:r>
        <w:rPr>
          <w:spacing w:val="-10"/>
          <w:sz w:val="14"/>
        </w:rPr>
        <w:t> </w:t>
      </w:r>
      <w:r>
        <w:rPr>
          <w:sz w:val="14"/>
        </w:rPr>
        <w:t>the</w:t>
      </w:r>
      <w:r>
        <w:rPr>
          <w:spacing w:val="-11"/>
          <w:sz w:val="14"/>
        </w:rPr>
        <w:t> </w:t>
      </w:r>
      <w:r>
        <w:rPr>
          <w:sz w:val="14"/>
        </w:rPr>
        <w:t>historical</w:t>
      </w:r>
      <w:r>
        <w:rPr>
          <w:spacing w:val="-9"/>
          <w:sz w:val="14"/>
        </w:rPr>
        <w:t> </w:t>
      </w:r>
      <w:r>
        <w:rPr>
          <w:sz w:val="14"/>
        </w:rPr>
        <w:t>cost</w:t>
      </w:r>
      <w:r>
        <w:rPr>
          <w:spacing w:val="-9"/>
          <w:sz w:val="14"/>
        </w:rPr>
        <w:t> </w:t>
      </w:r>
      <w:r>
        <w:rPr>
          <w:sz w:val="14"/>
        </w:rPr>
        <w:t>convention</w:t>
      </w:r>
      <w:r>
        <w:rPr>
          <w:spacing w:val="-12"/>
          <w:sz w:val="14"/>
        </w:rPr>
        <w:t> </w:t>
      </w:r>
      <w:r>
        <w:rPr>
          <w:sz w:val="14"/>
        </w:rPr>
        <w:t>modified</w:t>
      </w:r>
      <w:r>
        <w:rPr>
          <w:spacing w:val="-8"/>
          <w:sz w:val="14"/>
        </w:rPr>
        <w:t> </w:t>
      </w:r>
      <w:r>
        <w:rPr>
          <w:sz w:val="14"/>
        </w:rPr>
        <w:t>to</w:t>
      </w:r>
      <w:r>
        <w:rPr>
          <w:spacing w:val="-9"/>
          <w:sz w:val="14"/>
        </w:rPr>
        <w:t> </w:t>
      </w:r>
      <w:r>
        <w:rPr>
          <w:sz w:val="14"/>
        </w:rPr>
        <w:t>account</w:t>
      </w:r>
      <w:r>
        <w:rPr>
          <w:spacing w:val="-9"/>
          <w:sz w:val="14"/>
        </w:rPr>
        <w:t> </w:t>
      </w:r>
      <w:r>
        <w:rPr>
          <w:sz w:val="14"/>
        </w:rPr>
        <w:t>for</w:t>
      </w:r>
      <w:r>
        <w:rPr>
          <w:spacing w:val="-12"/>
          <w:sz w:val="14"/>
        </w:rPr>
        <w:t> </w:t>
      </w:r>
      <w:r>
        <w:rPr>
          <w:sz w:val="14"/>
        </w:rPr>
        <w:t>the</w:t>
      </w:r>
      <w:r>
        <w:rPr>
          <w:spacing w:val="-8"/>
          <w:sz w:val="14"/>
        </w:rPr>
        <w:t> </w:t>
      </w:r>
      <w:r>
        <w:rPr>
          <w:sz w:val="14"/>
        </w:rPr>
        <w:t>revaluation</w:t>
      </w:r>
      <w:r>
        <w:rPr>
          <w:spacing w:val="-9"/>
          <w:sz w:val="14"/>
        </w:rPr>
        <w:t> </w:t>
      </w:r>
      <w:r>
        <w:rPr>
          <w:sz w:val="14"/>
        </w:rPr>
        <w:t>of</w:t>
      </w:r>
      <w:r>
        <w:rPr>
          <w:spacing w:val="-9"/>
          <w:sz w:val="14"/>
        </w:rPr>
        <w:t> </w:t>
      </w:r>
      <w:r>
        <w:rPr>
          <w:sz w:val="14"/>
        </w:rPr>
        <w:t>property,</w:t>
      </w:r>
      <w:r>
        <w:rPr>
          <w:spacing w:val="-7"/>
          <w:sz w:val="14"/>
        </w:rPr>
        <w:t> </w:t>
      </w:r>
      <w:r>
        <w:rPr>
          <w:sz w:val="14"/>
        </w:rPr>
        <w:t>plant</w:t>
      </w:r>
      <w:r>
        <w:rPr>
          <w:spacing w:val="-11"/>
          <w:sz w:val="14"/>
        </w:rPr>
        <w:t> </w:t>
      </w:r>
      <w:r>
        <w:rPr>
          <w:sz w:val="14"/>
        </w:rPr>
        <w:t>and</w:t>
      </w:r>
      <w:r>
        <w:rPr>
          <w:spacing w:val="-9"/>
          <w:sz w:val="14"/>
        </w:rPr>
        <w:t> </w:t>
      </w:r>
      <w:r>
        <w:rPr>
          <w:sz w:val="14"/>
        </w:rPr>
        <w:t>equipment, intangible assets, inventories and certain financial assets and financial</w:t>
      </w:r>
      <w:r>
        <w:rPr>
          <w:spacing w:val="-30"/>
          <w:sz w:val="14"/>
        </w:rPr>
        <w:t> </w:t>
      </w:r>
      <w:r>
        <w:rPr>
          <w:sz w:val="14"/>
        </w:rPr>
        <w:t>liabilities.</w:t>
      </w:r>
    </w:p>
    <w:p>
      <w:pPr>
        <w:pStyle w:val="ListParagraph"/>
        <w:numPr>
          <w:ilvl w:val="1"/>
          <w:numId w:val="17"/>
        </w:numPr>
        <w:tabs>
          <w:tab w:pos="705" w:val="left" w:leader="none"/>
        </w:tabs>
        <w:spacing w:line="240" w:lineRule="auto" w:before="114" w:after="0"/>
        <w:ind w:left="704" w:right="0" w:hanging="390"/>
        <w:jc w:val="left"/>
        <w:rPr>
          <w:b/>
          <w:sz w:val="14"/>
        </w:rPr>
      </w:pPr>
      <w:r>
        <w:rPr>
          <w:b/>
          <w:sz w:val="14"/>
        </w:rPr>
        <w:t>Movement</w:t>
      </w:r>
      <w:r>
        <w:rPr>
          <w:b/>
          <w:spacing w:val="-3"/>
          <w:sz w:val="14"/>
        </w:rPr>
        <w:t> </w:t>
      </w:r>
      <w:r>
        <w:rPr>
          <w:b/>
          <w:sz w:val="14"/>
        </w:rPr>
        <w:t>of</w:t>
      </w:r>
      <w:r>
        <w:rPr>
          <w:b/>
          <w:spacing w:val="-2"/>
          <w:sz w:val="14"/>
        </w:rPr>
        <w:t> </w:t>
      </w:r>
      <w:r>
        <w:rPr>
          <w:b/>
          <w:sz w:val="14"/>
        </w:rPr>
        <w:t>Assets</w:t>
      </w:r>
      <w:r>
        <w:rPr>
          <w:b/>
          <w:spacing w:val="-4"/>
          <w:sz w:val="14"/>
        </w:rPr>
        <w:t> </w:t>
      </w:r>
      <w:r>
        <w:rPr>
          <w:b/>
          <w:sz w:val="14"/>
        </w:rPr>
        <w:t>within</w:t>
      </w:r>
      <w:r>
        <w:rPr>
          <w:b/>
          <w:spacing w:val="-2"/>
          <w:sz w:val="14"/>
        </w:rPr>
        <w:t> </w:t>
      </w:r>
      <w:r>
        <w:rPr>
          <w:b/>
          <w:sz w:val="14"/>
        </w:rPr>
        <w:t>the</w:t>
      </w:r>
      <w:r>
        <w:rPr>
          <w:b/>
          <w:spacing w:val="-4"/>
          <w:sz w:val="14"/>
        </w:rPr>
        <w:t> </w:t>
      </w:r>
      <w:r>
        <w:rPr>
          <w:b/>
          <w:sz w:val="14"/>
        </w:rPr>
        <w:t>Department</w:t>
      </w:r>
      <w:r>
        <w:rPr>
          <w:b/>
          <w:spacing w:val="-4"/>
          <w:sz w:val="14"/>
        </w:rPr>
        <w:t> </w:t>
      </w:r>
      <w:r>
        <w:rPr>
          <w:b/>
          <w:sz w:val="14"/>
        </w:rPr>
        <w:t>of</w:t>
      </w:r>
      <w:r>
        <w:rPr>
          <w:b/>
          <w:spacing w:val="-5"/>
          <w:sz w:val="14"/>
        </w:rPr>
        <w:t> </w:t>
      </w:r>
      <w:r>
        <w:rPr>
          <w:b/>
          <w:sz w:val="14"/>
        </w:rPr>
        <w:t>Health</w:t>
      </w:r>
      <w:r>
        <w:rPr>
          <w:b/>
          <w:spacing w:val="-4"/>
          <w:sz w:val="14"/>
        </w:rPr>
        <w:t> </w:t>
      </w:r>
      <w:r>
        <w:rPr>
          <w:b/>
          <w:sz w:val="14"/>
        </w:rPr>
        <w:t>and</w:t>
      </w:r>
      <w:r>
        <w:rPr>
          <w:b/>
          <w:spacing w:val="-4"/>
          <w:sz w:val="14"/>
        </w:rPr>
        <w:t> </w:t>
      </w:r>
      <w:r>
        <w:rPr>
          <w:b/>
          <w:sz w:val="14"/>
        </w:rPr>
        <w:t>Social</w:t>
      </w:r>
      <w:r>
        <w:rPr>
          <w:b/>
          <w:spacing w:val="-4"/>
          <w:sz w:val="14"/>
        </w:rPr>
        <w:t> </w:t>
      </w:r>
      <w:r>
        <w:rPr>
          <w:b/>
          <w:sz w:val="14"/>
        </w:rPr>
        <w:t>Care</w:t>
      </w:r>
      <w:r>
        <w:rPr>
          <w:b/>
          <w:spacing w:val="-4"/>
          <w:sz w:val="14"/>
        </w:rPr>
        <w:t> </w:t>
      </w:r>
      <w:r>
        <w:rPr>
          <w:b/>
          <w:sz w:val="14"/>
        </w:rPr>
        <w:t>Group</w:t>
      </w:r>
    </w:p>
    <w:p>
      <w:pPr>
        <w:spacing w:line="256" w:lineRule="auto" w:before="7"/>
        <w:ind w:left="705" w:right="482" w:firstLine="0"/>
        <w:jc w:val="left"/>
        <w:rPr>
          <w:sz w:val="14"/>
        </w:rPr>
      </w:pPr>
      <w:r>
        <w:rPr>
          <w:sz w:val="14"/>
        </w:rPr>
        <w:t>As Public Sector Bodies are deemed to operate under common control, business reconfigurations within the Department of Health and Social Care Group are outside the scope of IFRS 3 Business Combinations. Where functions transfer between two public sector bodies, the Department of Health and Social Care GAM requires the application of absorption accounting. Absorption accounting requires that entities account for their transactions in the period in which they took place, with no restatement of performance required when functions transfer within the public sector. Where assets and liabilities transfer,</w:t>
      </w:r>
      <w:r>
        <w:rPr>
          <w:spacing w:val="-4"/>
          <w:sz w:val="14"/>
        </w:rPr>
        <w:t> </w:t>
      </w:r>
      <w:r>
        <w:rPr>
          <w:sz w:val="14"/>
        </w:rPr>
        <w:t>the</w:t>
      </w:r>
      <w:r>
        <w:rPr>
          <w:spacing w:val="-1"/>
          <w:sz w:val="14"/>
        </w:rPr>
        <w:t> </w:t>
      </w:r>
      <w:r>
        <w:rPr>
          <w:sz w:val="14"/>
        </w:rPr>
        <w:t>gain</w:t>
      </w:r>
      <w:r>
        <w:rPr>
          <w:spacing w:val="-4"/>
          <w:sz w:val="14"/>
        </w:rPr>
        <w:t> </w:t>
      </w:r>
      <w:r>
        <w:rPr>
          <w:sz w:val="14"/>
        </w:rPr>
        <w:t>or</w:t>
      </w:r>
      <w:r>
        <w:rPr>
          <w:spacing w:val="-4"/>
          <w:sz w:val="14"/>
        </w:rPr>
        <w:t> </w:t>
      </w:r>
      <w:r>
        <w:rPr>
          <w:sz w:val="14"/>
        </w:rPr>
        <w:t>loss</w:t>
      </w:r>
      <w:r>
        <w:rPr>
          <w:spacing w:val="-3"/>
          <w:sz w:val="14"/>
        </w:rPr>
        <w:t> </w:t>
      </w:r>
      <w:r>
        <w:rPr>
          <w:sz w:val="14"/>
        </w:rPr>
        <w:t>resulting</w:t>
      </w:r>
      <w:r>
        <w:rPr>
          <w:spacing w:val="-4"/>
          <w:sz w:val="14"/>
        </w:rPr>
        <w:t> </w:t>
      </w:r>
      <w:r>
        <w:rPr>
          <w:sz w:val="14"/>
        </w:rPr>
        <w:t>is</w:t>
      </w:r>
      <w:r>
        <w:rPr>
          <w:spacing w:val="-1"/>
          <w:sz w:val="14"/>
        </w:rPr>
        <w:t> </w:t>
      </w:r>
      <w:r>
        <w:rPr>
          <w:sz w:val="14"/>
        </w:rPr>
        <w:t>recognised</w:t>
      </w:r>
      <w:r>
        <w:rPr>
          <w:spacing w:val="-2"/>
          <w:sz w:val="14"/>
        </w:rPr>
        <w:t> </w:t>
      </w:r>
      <w:r>
        <w:rPr>
          <w:sz w:val="14"/>
        </w:rPr>
        <w:t>in</w:t>
      </w:r>
      <w:r>
        <w:rPr>
          <w:spacing w:val="-4"/>
          <w:sz w:val="14"/>
        </w:rPr>
        <w:t> </w:t>
      </w:r>
      <w:r>
        <w:rPr>
          <w:sz w:val="14"/>
        </w:rPr>
        <w:t>the</w:t>
      </w:r>
      <w:r>
        <w:rPr>
          <w:spacing w:val="-4"/>
          <w:sz w:val="14"/>
        </w:rPr>
        <w:t> </w:t>
      </w:r>
      <w:r>
        <w:rPr>
          <w:sz w:val="14"/>
        </w:rPr>
        <w:t>Statement</w:t>
      </w:r>
      <w:r>
        <w:rPr>
          <w:spacing w:val="-1"/>
          <w:sz w:val="14"/>
        </w:rPr>
        <w:t> </w:t>
      </w:r>
      <w:r>
        <w:rPr>
          <w:sz w:val="14"/>
        </w:rPr>
        <w:t>of</w:t>
      </w:r>
      <w:r>
        <w:rPr>
          <w:spacing w:val="-1"/>
          <w:sz w:val="14"/>
        </w:rPr>
        <w:t> </w:t>
      </w:r>
      <w:r>
        <w:rPr>
          <w:sz w:val="14"/>
        </w:rPr>
        <w:t>Comprehensive</w:t>
      </w:r>
      <w:r>
        <w:rPr>
          <w:spacing w:val="-1"/>
          <w:sz w:val="14"/>
        </w:rPr>
        <w:t> </w:t>
      </w:r>
      <w:r>
        <w:rPr>
          <w:sz w:val="14"/>
        </w:rPr>
        <w:t>Net</w:t>
      </w:r>
      <w:r>
        <w:rPr>
          <w:spacing w:val="-3"/>
          <w:sz w:val="14"/>
        </w:rPr>
        <w:t> </w:t>
      </w:r>
      <w:r>
        <w:rPr>
          <w:sz w:val="14"/>
        </w:rPr>
        <w:t>Expenditure,</w:t>
      </w:r>
      <w:r>
        <w:rPr>
          <w:spacing w:val="-2"/>
          <w:sz w:val="14"/>
        </w:rPr>
        <w:t> </w:t>
      </w:r>
      <w:r>
        <w:rPr>
          <w:sz w:val="14"/>
        </w:rPr>
        <w:t>and</w:t>
      </w:r>
      <w:r>
        <w:rPr>
          <w:spacing w:val="-1"/>
          <w:sz w:val="14"/>
        </w:rPr>
        <w:t> </w:t>
      </w:r>
      <w:r>
        <w:rPr>
          <w:sz w:val="14"/>
        </w:rPr>
        <w:t>is</w:t>
      </w:r>
      <w:r>
        <w:rPr>
          <w:spacing w:val="-3"/>
          <w:sz w:val="14"/>
        </w:rPr>
        <w:t> </w:t>
      </w:r>
      <w:r>
        <w:rPr>
          <w:sz w:val="14"/>
        </w:rPr>
        <w:t>disclosed</w:t>
      </w:r>
      <w:r>
        <w:rPr>
          <w:spacing w:val="-1"/>
          <w:sz w:val="14"/>
        </w:rPr>
        <w:t> </w:t>
      </w:r>
      <w:r>
        <w:rPr>
          <w:sz w:val="14"/>
        </w:rPr>
        <w:t>separately</w:t>
      </w:r>
      <w:r>
        <w:rPr>
          <w:spacing w:val="-1"/>
          <w:sz w:val="14"/>
        </w:rPr>
        <w:t> </w:t>
      </w:r>
      <w:r>
        <w:rPr>
          <w:sz w:val="14"/>
        </w:rPr>
        <w:t>from</w:t>
      </w:r>
      <w:r>
        <w:rPr>
          <w:spacing w:val="-2"/>
          <w:sz w:val="14"/>
        </w:rPr>
        <w:t> </w:t>
      </w:r>
      <w:r>
        <w:rPr>
          <w:sz w:val="14"/>
        </w:rPr>
        <w:t>operating</w:t>
      </w:r>
      <w:r>
        <w:rPr>
          <w:spacing w:val="-4"/>
          <w:sz w:val="14"/>
        </w:rPr>
        <w:t> </w:t>
      </w:r>
      <w:r>
        <w:rPr>
          <w:sz w:val="14"/>
        </w:rPr>
        <w:t>costs.</w:t>
      </w:r>
    </w:p>
    <w:p>
      <w:pPr>
        <w:pStyle w:val="BodyText"/>
        <w:spacing w:before="5"/>
        <w:rPr>
          <w:sz w:val="15"/>
        </w:rPr>
      </w:pPr>
    </w:p>
    <w:p>
      <w:pPr>
        <w:spacing w:line="254" w:lineRule="auto" w:before="0"/>
        <w:ind w:left="704" w:right="604" w:firstLine="0"/>
        <w:jc w:val="left"/>
        <w:rPr>
          <w:sz w:val="14"/>
        </w:rPr>
      </w:pPr>
      <w:r>
        <w:rPr>
          <w:sz w:val="14"/>
        </w:rPr>
        <w:t>Other</w:t>
      </w:r>
      <w:r>
        <w:rPr>
          <w:spacing w:val="-9"/>
          <w:sz w:val="14"/>
        </w:rPr>
        <w:t> </w:t>
      </w:r>
      <w:r>
        <w:rPr>
          <w:sz w:val="14"/>
        </w:rPr>
        <w:t>transfers</w:t>
      </w:r>
      <w:r>
        <w:rPr>
          <w:spacing w:val="-8"/>
          <w:sz w:val="14"/>
        </w:rPr>
        <w:t> </w:t>
      </w:r>
      <w:r>
        <w:rPr>
          <w:sz w:val="14"/>
        </w:rPr>
        <w:t>of</w:t>
      </w:r>
      <w:r>
        <w:rPr>
          <w:spacing w:val="-6"/>
          <w:sz w:val="14"/>
        </w:rPr>
        <w:t> </w:t>
      </w:r>
      <w:r>
        <w:rPr>
          <w:sz w:val="14"/>
        </w:rPr>
        <w:t>assets</w:t>
      </w:r>
      <w:r>
        <w:rPr>
          <w:spacing w:val="-6"/>
          <w:sz w:val="14"/>
        </w:rPr>
        <w:t> </w:t>
      </w:r>
      <w:r>
        <w:rPr>
          <w:sz w:val="14"/>
        </w:rPr>
        <w:t>and</w:t>
      </w:r>
      <w:r>
        <w:rPr>
          <w:spacing w:val="-10"/>
          <w:sz w:val="14"/>
        </w:rPr>
        <w:t> </w:t>
      </w:r>
      <w:r>
        <w:rPr>
          <w:sz w:val="14"/>
        </w:rPr>
        <w:t>liabilities</w:t>
      </w:r>
      <w:r>
        <w:rPr>
          <w:spacing w:val="-5"/>
          <w:sz w:val="14"/>
        </w:rPr>
        <w:t> </w:t>
      </w:r>
      <w:r>
        <w:rPr>
          <w:sz w:val="14"/>
        </w:rPr>
        <w:t>within</w:t>
      </w:r>
      <w:r>
        <w:rPr>
          <w:spacing w:val="-8"/>
          <w:sz w:val="14"/>
        </w:rPr>
        <w:t> </w:t>
      </w:r>
      <w:r>
        <w:rPr>
          <w:sz w:val="14"/>
        </w:rPr>
        <w:t>the</w:t>
      </w:r>
      <w:r>
        <w:rPr>
          <w:spacing w:val="-8"/>
          <w:sz w:val="14"/>
        </w:rPr>
        <w:t> </w:t>
      </w:r>
      <w:r>
        <w:rPr>
          <w:sz w:val="14"/>
        </w:rPr>
        <w:t>Department</w:t>
      </w:r>
      <w:r>
        <w:rPr>
          <w:spacing w:val="-6"/>
          <w:sz w:val="14"/>
        </w:rPr>
        <w:t> </w:t>
      </w:r>
      <w:r>
        <w:rPr>
          <w:sz w:val="14"/>
        </w:rPr>
        <w:t>of</w:t>
      </w:r>
      <w:r>
        <w:rPr>
          <w:spacing w:val="-8"/>
          <w:sz w:val="14"/>
        </w:rPr>
        <w:t> </w:t>
      </w:r>
      <w:r>
        <w:rPr>
          <w:sz w:val="14"/>
        </w:rPr>
        <w:t>Health</w:t>
      </w:r>
      <w:r>
        <w:rPr>
          <w:spacing w:val="-9"/>
          <w:sz w:val="14"/>
        </w:rPr>
        <w:t> </w:t>
      </w:r>
      <w:r>
        <w:rPr>
          <w:sz w:val="14"/>
        </w:rPr>
        <w:t>and</w:t>
      </w:r>
      <w:r>
        <w:rPr>
          <w:spacing w:val="-8"/>
          <w:sz w:val="14"/>
        </w:rPr>
        <w:t> </w:t>
      </w:r>
      <w:r>
        <w:rPr>
          <w:sz w:val="14"/>
        </w:rPr>
        <w:t>Social</w:t>
      </w:r>
      <w:r>
        <w:rPr>
          <w:spacing w:val="-8"/>
          <w:sz w:val="14"/>
        </w:rPr>
        <w:t> </w:t>
      </w:r>
      <w:r>
        <w:rPr>
          <w:sz w:val="14"/>
        </w:rPr>
        <w:t>Care</w:t>
      </w:r>
      <w:r>
        <w:rPr>
          <w:spacing w:val="-6"/>
          <w:sz w:val="14"/>
        </w:rPr>
        <w:t> </w:t>
      </w:r>
      <w:r>
        <w:rPr>
          <w:sz w:val="14"/>
        </w:rPr>
        <w:t>Group</w:t>
      </w:r>
      <w:r>
        <w:rPr>
          <w:spacing w:val="-6"/>
          <w:sz w:val="14"/>
        </w:rPr>
        <w:t> </w:t>
      </w:r>
      <w:r>
        <w:rPr>
          <w:sz w:val="14"/>
        </w:rPr>
        <w:t>are</w:t>
      </w:r>
      <w:r>
        <w:rPr>
          <w:spacing w:val="-6"/>
          <w:sz w:val="14"/>
        </w:rPr>
        <w:t> </w:t>
      </w:r>
      <w:r>
        <w:rPr>
          <w:sz w:val="14"/>
        </w:rPr>
        <w:t>accounted</w:t>
      </w:r>
      <w:r>
        <w:rPr>
          <w:spacing w:val="-6"/>
          <w:sz w:val="14"/>
        </w:rPr>
        <w:t> </w:t>
      </w:r>
      <w:r>
        <w:rPr>
          <w:sz w:val="14"/>
        </w:rPr>
        <w:t>for</w:t>
      </w:r>
      <w:r>
        <w:rPr>
          <w:spacing w:val="-11"/>
          <w:sz w:val="14"/>
        </w:rPr>
        <w:t> </w:t>
      </w:r>
      <w:r>
        <w:rPr>
          <w:sz w:val="14"/>
        </w:rPr>
        <w:t>in</w:t>
      </w:r>
      <w:r>
        <w:rPr>
          <w:spacing w:val="-8"/>
          <w:sz w:val="14"/>
        </w:rPr>
        <w:t> </w:t>
      </w:r>
      <w:r>
        <w:rPr>
          <w:sz w:val="14"/>
        </w:rPr>
        <w:t>line</w:t>
      </w:r>
      <w:r>
        <w:rPr>
          <w:spacing w:val="-11"/>
          <w:sz w:val="14"/>
        </w:rPr>
        <w:t> </w:t>
      </w:r>
      <w:r>
        <w:rPr>
          <w:sz w:val="14"/>
        </w:rPr>
        <w:t>with</w:t>
      </w:r>
      <w:r>
        <w:rPr>
          <w:spacing w:val="-8"/>
          <w:sz w:val="14"/>
        </w:rPr>
        <w:t> </w:t>
      </w:r>
      <w:r>
        <w:rPr>
          <w:sz w:val="14"/>
        </w:rPr>
        <w:t>IAS</w:t>
      </w:r>
      <w:r>
        <w:rPr>
          <w:spacing w:val="-5"/>
          <w:sz w:val="14"/>
        </w:rPr>
        <w:t> </w:t>
      </w:r>
      <w:r>
        <w:rPr>
          <w:sz w:val="14"/>
        </w:rPr>
        <w:t>20</w:t>
      </w:r>
      <w:r>
        <w:rPr>
          <w:spacing w:val="-6"/>
          <w:sz w:val="14"/>
        </w:rPr>
        <w:t> </w:t>
      </w:r>
      <w:r>
        <w:rPr>
          <w:sz w:val="14"/>
        </w:rPr>
        <w:t>and</w:t>
      </w:r>
      <w:r>
        <w:rPr>
          <w:spacing w:val="-8"/>
          <w:sz w:val="14"/>
        </w:rPr>
        <w:t> </w:t>
      </w:r>
      <w:r>
        <w:rPr>
          <w:sz w:val="14"/>
        </w:rPr>
        <w:t>similarly</w:t>
      </w:r>
      <w:r>
        <w:rPr>
          <w:spacing w:val="-10"/>
          <w:sz w:val="14"/>
        </w:rPr>
        <w:t> </w:t>
      </w:r>
      <w:r>
        <w:rPr>
          <w:sz w:val="14"/>
        </w:rPr>
        <w:t>give</w:t>
      </w:r>
      <w:r>
        <w:rPr>
          <w:spacing w:val="-8"/>
          <w:sz w:val="14"/>
        </w:rPr>
        <w:t> </w:t>
      </w:r>
      <w:r>
        <w:rPr>
          <w:sz w:val="14"/>
        </w:rPr>
        <w:t>rise to income and expenditure</w:t>
      </w:r>
      <w:r>
        <w:rPr>
          <w:spacing w:val="-12"/>
          <w:sz w:val="14"/>
        </w:rPr>
        <w:t> </w:t>
      </w:r>
      <w:r>
        <w:rPr>
          <w:sz w:val="14"/>
        </w:rPr>
        <w:t>entries.</w:t>
      </w:r>
    </w:p>
    <w:p>
      <w:pPr>
        <w:pStyle w:val="BodyText"/>
        <w:spacing w:before="10"/>
        <w:rPr>
          <w:sz w:val="12"/>
        </w:rPr>
      </w:pPr>
    </w:p>
    <w:p>
      <w:pPr>
        <w:pStyle w:val="ListParagraph"/>
        <w:numPr>
          <w:ilvl w:val="1"/>
          <w:numId w:val="17"/>
        </w:numPr>
        <w:tabs>
          <w:tab w:pos="705" w:val="left" w:leader="none"/>
        </w:tabs>
        <w:spacing w:line="240" w:lineRule="auto" w:before="0" w:after="0"/>
        <w:ind w:left="704" w:right="0" w:hanging="390"/>
        <w:jc w:val="left"/>
        <w:rPr>
          <w:b/>
          <w:sz w:val="14"/>
        </w:rPr>
      </w:pPr>
      <w:r>
        <w:rPr>
          <w:b/>
          <w:sz w:val="14"/>
        </w:rPr>
        <w:t>Pooled</w:t>
      </w:r>
      <w:r>
        <w:rPr>
          <w:b/>
          <w:spacing w:val="-3"/>
          <w:sz w:val="14"/>
        </w:rPr>
        <w:t> </w:t>
      </w:r>
      <w:r>
        <w:rPr>
          <w:b/>
          <w:sz w:val="14"/>
        </w:rPr>
        <w:t>Budgets</w:t>
      </w:r>
    </w:p>
    <w:p>
      <w:pPr>
        <w:spacing w:line="256" w:lineRule="auto" w:before="7"/>
        <w:ind w:left="704" w:right="690" w:firstLine="0"/>
        <w:jc w:val="left"/>
        <w:rPr>
          <w:sz w:val="14"/>
        </w:rPr>
      </w:pPr>
      <w:r>
        <w:rPr>
          <w:sz w:val="14"/>
        </w:rPr>
        <w:t>The</w:t>
      </w:r>
      <w:r>
        <w:rPr>
          <w:spacing w:val="-12"/>
          <w:sz w:val="14"/>
        </w:rPr>
        <w:t> </w:t>
      </w:r>
      <w:r>
        <w:rPr>
          <w:sz w:val="14"/>
        </w:rPr>
        <w:t>clinical</w:t>
      </w:r>
      <w:r>
        <w:rPr>
          <w:spacing w:val="-7"/>
          <w:sz w:val="14"/>
        </w:rPr>
        <w:t> </w:t>
      </w:r>
      <w:r>
        <w:rPr>
          <w:sz w:val="14"/>
        </w:rPr>
        <w:t>commissioning</w:t>
      </w:r>
      <w:r>
        <w:rPr>
          <w:spacing w:val="-9"/>
          <w:sz w:val="14"/>
        </w:rPr>
        <w:t> </w:t>
      </w:r>
      <w:r>
        <w:rPr>
          <w:sz w:val="14"/>
        </w:rPr>
        <w:t>group</w:t>
      </w:r>
      <w:r>
        <w:rPr>
          <w:spacing w:val="-8"/>
          <w:sz w:val="14"/>
        </w:rPr>
        <w:t> </w:t>
      </w:r>
      <w:r>
        <w:rPr>
          <w:sz w:val="14"/>
        </w:rPr>
        <w:t>has</w:t>
      </w:r>
      <w:r>
        <w:rPr>
          <w:spacing w:val="-6"/>
          <w:sz w:val="14"/>
        </w:rPr>
        <w:t> </w:t>
      </w:r>
      <w:r>
        <w:rPr>
          <w:sz w:val="14"/>
        </w:rPr>
        <w:t>entered</w:t>
      </w:r>
      <w:r>
        <w:rPr>
          <w:spacing w:val="-8"/>
          <w:sz w:val="14"/>
        </w:rPr>
        <w:t> </w:t>
      </w:r>
      <w:r>
        <w:rPr>
          <w:sz w:val="14"/>
        </w:rPr>
        <w:t>into</w:t>
      </w:r>
      <w:r>
        <w:rPr>
          <w:spacing w:val="-8"/>
          <w:sz w:val="14"/>
        </w:rPr>
        <w:t> </w:t>
      </w:r>
      <w:r>
        <w:rPr>
          <w:sz w:val="14"/>
        </w:rPr>
        <w:t>a</w:t>
      </w:r>
      <w:r>
        <w:rPr>
          <w:spacing w:val="-9"/>
          <w:sz w:val="14"/>
        </w:rPr>
        <w:t> </w:t>
      </w:r>
      <w:r>
        <w:rPr>
          <w:sz w:val="14"/>
        </w:rPr>
        <w:t>pooled</w:t>
      </w:r>
      <w:r>
        <w:rPr>
          <w:spacing w:val="-9"/>
          <w:sz w:val="14"/>
        </w:rPr>
        <w:t> </w:t>
      </w:r>
      <w:r>
        <w:rPr>
          <w:sz w:val="14"/>
        </w:rPr>
        <w:t>budget</w:t>
      </w:r>
      <w:r>
        <w:rPr>
          <w:spacing w:val="-7"/>
          <w:sz w:val="14"/>
        </w:rPr>
        <w:t> </w:t>
      </w:r>
      <w:r>
        <w:rPr>
          <w:sz w:val="14"/>
        </w:rPr>
        <w:t>arrangement</w:t>
      </w:r>
      <w:r>
        <w:rPr>
          <w:spacing w:val="-8"/>
          <w:sz w:val="14"/>
        </w:rPr>
        <w:t> </w:t>
      </w:r>
      <w:r>
        <w:rPr>
          <w:sz w:val="14"/>
        </w:rPr>
        <w:t>with</w:t>
      </w:r>
      <w:r>
        <w:rPr>
          <w:spacing w:val="-8"/>
          <w:sz w:val="14"/>
        </w:rPr>
        <w:t> </w:t>
      </w:r>
      <w:r>
        <w:rPr>
          <w:sz w:val="14"/>
        </w:rPr>
        <w:t>North</w:t>
      </w:r>
      <w:r>
        <w:rPr>
          <w:spacing w:val="-9"/>
          <w:sz w:val="14"/>
        </w:rPr>
        <w:t> </w:t>
      </w:r>
      <w:r>
        <w:rPr>
          <w:sz w:val="14"/>
        </w:rPr>
        <w:t>Lincolnshire</w:t>
      </w:r>
      <w:r>
        <w:rPr>
          <w:spacing w:val="-11"/>
          <w:sz w:val="14"/>
        </w:rPr>
        <w:t> </w:t>
      </w:r>
      <w:r>
        <w:rPr>
          <w:sz w:val="14"/>
        </w:rPr>
        <w:t>Council</w:t>
      </w:r>
      <w:r>
        <w:rPr>
          <w:spacing w:val="-10"/>
          <w:sz w:val="14"/>
        </w:rPr>
        <w:t> </w:t>
      </w:r>
      <w:r>
        <w:rPr>
          <w:sz w:val="14"/>
        </w:rPr>
        <w:t>in</w:t>
      </w:r>
      <w:r>
        <w:rPr>
          <w:spacing w:val="-9"/>
          <w:sz w:val="14"/>
        </w:rPr>
        <w:t> </w:t>
      </w:r>
      <w:r>
        <w:rPr>
          <w:sz w:val="14"/>
        </w:rPr>
        <w:t>accordance</w:t>
      </w:r>
      <w:r>
        <w:rPr>
          <w:spacing w:val="-8"/>
          <w:sz w:val="14"/>
        </w:rPr>
        <w:t> </w:t>
      </w:r>
      <w:r>
        <w:rPr>
          <w:sz w:val="14"/>
        </w:rPr>
        <w:t>with</w:t>
      </w:r>
      <w:r>
        <w:rPr>
          <w:spacing w:val="-8"/>
          <w:sz w:val="14"/>
        </w:rPr>
        <w:t> </w:t>
      </w:r>
      <w:r>
        <w:rPr>
          <w:sz w:val="14"/>
        </w:rPr>
        <w:t>section</w:t>
      </w:r>
      <w:r>
        <w:rPr>
          <w:spacing w:val="-7"/>
          <w:sz w:val="14"/>
        </w:rPr>
        <w:t> </w:t>
      </w:r>
      <w:r>
        <w:rPr>
          <w:sz w:val="14"/>
        </w:rPr>
        <w:t>75</w:t>
      </w:r>
      <w:r>
        <w:rPr>
          <w:spacing w:val="-8"/>
          <w:sz w:val="14"/>
        </w:rPr>
        <w:t> </w:t>
      </w:r>
      <w:r>
        <w:rPr>
          <w:sz w:val="14"/>
        </w:rPr>
        <w:t>of</w:t>
      </w:r>
      <w:r>
        <w:rPr>
          <w:spacing w:val="-9"/>
          <w:sz w:val="14"/>
        </w:rPr>
        <w:t> </w:t>
      </w:r>
      <w:r>
        <w:rPr>
          <w:sz w:val="14"/>
        </w:rPr>
        <w:t>the NHS Act 2006. Under the arrangement, funds are pooled for the Better Care Fund and a note to the accounts provides details of the income and expenditure.</w:t>
      </w:r>
    </w:p>
    <w:p>
      <w:pPr>
        <w:spacing w:line="256" w:lineRule="auto" w:before="0"/>
        <w:ind w:left="704" w:right="604" w:firstLine="0"/>
        <w:jc w:val="left"/>
        <w:rPr>
          <w:sz w:val="14"/>
        </w:rPr>
      </w:pPr>
      <w:r>
        <w:rPr>
          <w:sz w:val="14"/>
        </w:rPr>
        <w:t>The</w:t>
      </w:r>
      <w:r>
        <w:rPr>
          <w:spacing w:val="-8"/>
          <w:sz w:val="14"/>
        </w:rPr>
        <w:t> </w:t>
      </w:r>
      <w:r>
        <w:rPr>
          <w:sz w:val="14"/>
        </w:rPr>
        <w:t>pool</w:t>
      </w:r>
      <w:r>
        <w:rPr>
          <w:spacing w:val="-8"/>
          <w:sz w:val="14"/>
        </w:rPr>
        <w:t> </w:t>
      </w:r>
      <w:r>
        <w:rPr>
          <w:sz w:val="14"/>
        </w:rPr>
        <w:t>is</w:t>
      </w:r>
      <w:r>
        <w:rPr>
          <w:spacing w:val="-8"/>
          <w:sz w:val="14"/>
        </w:rPr>
        <w:t> </w:t>
      </w:r>
      <w:r>
        <w:rPr>
          <w:sz w:val="14"/>
        </w:rPr>
        <w:t>hosted</w:t>
      </w:r>
      <w:r>
        <w:rPr>
          <w:spacing w:val="-6"/>
          <w:sz w:val="14"/>
        </w:rPr>
        <w:t> </w:t>
      </w:r>
      <w:r>
        <w:rPr>
          <w:sz w:val="14"/>
        </w:rPr>
        <w:t>by</w:t>
      </w:r>
      <w:r>
        <w:rPr>
          <w:spacing w:val="-13"/>
          <w:sz w:val="14"/>
        </w:rPr>
        <w:t> </w:t>
      </w:r>
      <w:r>
        <w:rPr>
          <w:sz w:val="14"/>
        </w:rPr>
        <w:t>North</w:t>
      </w:r>
      <w:r>
        <w:rPr>
          <w:spacing w:val="-8"/>
          <w:sz w:val="14"/>
        </w:rPr>
        <w:t> </w:t>
      </w:r>
      <w:r>
        <w:rPr>
          <w:sz w:val="14"/>
        </w:rPr>
        <w:t>Lincolnshire</w:t>
      </w:r>
      <w:r>
        <w:rPr>
          <w:spacing w:val="-11"/>
          <w:sz w:val="14"/>
        </w:rPr>
        <w:t> </w:t>
      </w:r>
      <w:r>
        <w:rPr>
          <w:sz w:val="14"/>
        </w:rPr>
        <w:t>Clinical</w:t>
      </w:r>
      <w:r>
        <w:rPr>
          <w:spacing w:val="-7"/>
          <w:sz w:val="14"/>
        </w:rPr>
        <w:t> </w:t>
      </w:r>
      <w:r>
        <w:rPr>
          <w:sz w:val="14"/>
        </w:rPr>
        <w:t>Commissioning</w:t>
      </w:r>
      <w:r>
        <w:rPr>
          <w:spacing w:val="-8"/>
          <w:sz w:val="14"/>
        </w:rPr>
        <w:t> </w:t>
      </w:r>
      <w:r>
        <w:rPr>
          <w:sz w:val="14"/>
        </w:rPr>
        <w:t>Group.</w:t>
      </w:r>
      <w:r>
        <w:rPr>
          <w:spacing w:val="-8"/>
          <w:sz w:val="14"/>
        </w:rPr>
        <w:t> </w:t>
      </w:r>
      <w:r>
        <w:rPr>
          <w:sz w:val="14"/>
        </w:rPr>
        <w:t>The</w:t>
      </w:r>
      <w:r>
        <w:rPr>
          <w:spacing w:val="-9"/>
          <w:sz w:val="14"/>
        </w:rPr>
        <w:t> </w:t>
      </w:r>
      <w:r>
        <w:rPr>
          <w:sz w:val="14"/>
        </w:rPr>
        <w:t>clinical</w:t>
      </w:r>
      <w:r>
        <w:rPr>
          <w:spacing w:val="-8"/>
          <w:sz w:val="14"/>
        </w:rPr>
        <w:t> </w:t>
      </w:r>
      <w:r>
        <w:rPr>
          <w:sz w:val="14"/>
        </w:rPr>
        <w:t>commissioning</w:t>
      </w:r>
      <w:r>
        <w:rPr>
          <w:spacing w:val="-8"/>
          <w:sz w:val="14"/>
        </w:rPr>
        <w:t> </w:t>
      </w:r>
      <w:r>
        <w:rPr>
          <w:sz w:val="14"/>
        </w:rPr>
        <w:t>group</w:t>
      </w:r>
      <w:r>
        <w:rPr>
          <w:spacing w:val="-8"/>
          <w:sz w:val="14"/>
        </w:rPr>
        <w:t> </w:t>
      </w:r>
      <w:r>
        <w:rPr>
          <w:sz w:val="14"/>
        </w:rPr>
        <w:t>accounts</w:t>
      </w:r>
      <w:r>
        <w:rPr>
          <w:spacing w:val="-6"/>
          <w:sz w:val="14"/>
        </w:rPr>
        <w:t> </w:t>
      </w:r>
      <w:r>
        <w:rPr>
          <w:sz w:val="14"/>
        </w:rPr>
        <w:t>for</w:t>
      </w:r>
      <w:r>
        <w:rPr>
          <w:spacing w:val="-6"/>
          <w:sz w:val="14"/>
        </w:rPr>
        <w:t> </w:t>
      </w:r>
      <w:r>
        <w:rPr>
          <w:sz w:val="14"/>
        </w:rPr>
        <w:t>its</w:t>
      </w:r>
      <w:r>
        <w:rPr>
          <w:spacing w:val="-8"/>
          <w:sz w:val="14"/>
        </w:rPr>
        <w:t> </w:t>
      </w:r>
      <w:r>
        <w:rPr>
          <w:sz w:val="14"/>
        </w:rPr>
        <w:t>share</w:t>
      </w:r>
      <w:r>
        <w:rPr>
          <w:spacing w:val="-11"/>
          <w:sz w:val="14"/>
        </w:rPr>
        <w:t> </w:t>
      </w:r>
      <w:r>
        <w:rPr>
          <w:sz w:val="14"/>
        </w:rPr>
        <w:t>of</w:t>
      </w:r>
      <w:r>
        <w:rPr>
          <w:spacing w:val="-6"/>
          <w:sz w:val="14"/>
        </w:rPr>
        <w:t> </w:t>
      </w:r>
      <w:r>
        <w:rPr>
          <w:sz w:val="14"/>
        </w:rPr>
        <w:t>the</w:t>
      </w:r>
      <w:r>
        <w:rPr>
          <w:spacing w:val="-8"/>
          <w:sz w:val="14"/>
        </w:rPr>
        <w:t> </w:t>
      </w:r>
      <w:r>
        <w:rPr>
          <w:sz w:val="14"/>
        </w:rPr>
        <w:t>assets,</w:t>
      </w:r>
      <w:r>
        <w:rPr>
          <w:spacing w:val="-9"/>
          <w:sz w:val="14"/>
        </w:rPr>
        <w:t> </w:t>
      </w:r>
      <w:r>
        <w:rPr>
          <w:sz w:val="14"/>
        </w:rPr>
        <w:t>liabilities, income</w:t>
      </w:r>
      <w:r>
        <w:rPr>
          <w:spacing w:val="-5"/>
          <w:sz w:val="14"/>
        </w:rPr>
        <w:t> </w:t>
      </w:r>
      <w:r>
        <w:rPr>
          <w:sz w:val="14"/>
        </w:rPr>
        <w:t>and</w:t>
      </w:r>
      <w:r>
        <w:rPr>
          <w:spacing w:val="-5"/>
          <w:sz w:val="14"/>
        </w:rPr>
        <w:t> </w:t>
      </w:r>
      <w:r>
        <w:rPr>
          <w:sz w:val="14"/>
        </w:rPr>
        <w:t>expenditure</w:t>
      </w:r>
      <w:r>
        <w:rPr>
          <w:spacing w:val="-5"/>
          <w:sz w:val="14"/>
        </w:rPr>
        <w:t> </w:t>
      </w:r>
      <w:r>
        <w:rPr>
          <w:sz w:val="14"/>
        </w:rPr>
        <w:t>arising</w:t>
      </w:r>
      <w:r>
        <w:rPr>
          <w:spacing w:val="-5"/>
          <w:sz w:val="14"/>
        </w:rPr>
        <w:t> </w:t>
      </w:r>
      <w:r>
        <w:rPr>
          <w:sz w:val="14"/>
        </w:rPr>
        <w:t>from the</w:t>
      </w:r>
      <w:r>
        <w:rPr>
          <w:spacing w:val="-5"/>
          <w:sz w:val="14"/>
        </w:rPr>
        <w:t> </w:t>
      </w:r>
      <w:r>
        <w:rPr>
          <w:sz w:val="14"/>
        </w:rPr>
        <w:t>activities</w:t>
      </w:r>
      <w:r>
        <w:rPr>
          <w:spacing w:val="-4"/>
          <w:sz w:val="14"/>
        </w:rPr>
        <w:t> </w:t>
      </w:r>
      <w:r>
        <w:rPr>
          <w:sz w:val="14"/>
        </w:rPr>
        <w:t>of</w:t>
      </w:r>
      <w:r>
        <w:rPr>
          <w:spacing w:val="-5"/>
          <w:sz w:val="14"/>
        </w:rPr>
        <w:t> </w:t>
      </w:r>
      <w:r>
        <w:rPr>
          <w:sz w:val="14"/>
        </w:rPr>
        <w:t>the</w:t>
      </w:r>
      <w:r>
        <w:rPr>
          <w:spacing w:val="-5"/>
          <w:sz w:val="14"/>
        </w:rPr>
        <w:t> </w:t>
      </w:r>
      <w:r>
        <w:rPr>
          <w:sz w:val="14"/>
        </w:rPr>
        <w:t>pooled</w:t>
      </w:r>
      <w:r>
        <w:rPr>
          <w:spacing w:val="-5"/>
          <w:sz w:val="14"/>
        </w:rPr>
        <w:t> </w:t>
      </w:r>
      <w:r>
        <w:rPr>
          <w:sz w:val="14"/>
        </w:rPr>
        <w:t>budget,</w:t>
      </w:r>
      <w:r>
        <w:rPr>
          <w:spacing w:val="-4"/>
          <w:sz w:val="14"/>
        </w:rPr>
        <w:t> </w:t>
      </w:r>
      <w:r>
        <w:rPr>
          <w:sz w:val="14"/>
        </w:rPr>
        <w:t>identified</w:t>
      </w:r>
      <w:r>
        <w:rPr>
          <w:spacing w:val="-5"/>
          <w:sz w:val="14"/>
        </w:rPr>
        <w:t> </w:t>
      </w:r>
      <w:r>
        <w:rPr>
          <w:sz w:val="14"/>
        </w:rPr>
        <w:t>in</w:t>
      </w:r>
      <w:r>
        <w:rPr>
          <w:spacing w:val="-5"/>
          <w:sz w:val="14"/>
        </w:rPr>
        <w:t> </w:t>
      </w:r>
      <w:r>
        <w:rPr>
          <w:sz w:val="14"/>
        </w:rPr>
        <w:t>accordance</w:t>
      </w:r>
      <w:r>
        <w:rPr>
          <w:spacing w:val="-5"/>
          <w:sz w:val="14"/>
        </w:rPr>
        <w:t> </w:t>
      </w:r>
      <w:r>
        <w:rPr>
          <w:sz w:val="14"/>
        </w:rPr>
        <w:t>with</w:t>
      </w:r>
      <w:r>
        <w:rPr>
          <w:spacing w:val="-7"/>
          <w:sz w:val="14"/>
        </w:rPr>
        <w:t> </w:t>
      </w:r>
      <w:r>
        <w:rPr>
          <w:sz w:val="14"/>
        </w:rPr>
        <w:t>the</w:t>
      </w:r>
      <w:r>
        <w:rPr>
          <w:spacing w:val="-5"/>
          <w:sz w:val="14"/>
        </w:rPr>
        <w:t> </w:t>
      </w:r>
      <w:r>
        <w:rPr>
          <w:sz w:val="14"/>
        </w:rPr>
        <w:t>pooled</w:t>
      </w:r>
      <w:r>
        <w:rPr>
          <w:spacing w:val="-5"/>
          <w:sz w:val="14"/>
        </w:rPr>
        <w:t> </w:t>
      </w:r>
      <w:r>
        <w:rPr>
          <w:sz w:val="14"/>
        </w:rPr>
        <w:t>budget</w:t>
      </w:r>
      <w:r>
        <w:rPr>
          <w:spacing w:val="-5"/>
          <w:sz w:val="14"/>
        </w:rPr>
        <w:t> </w:t>
      </w:r>
      <w:r>
        <w:rPr>
          <w:sz w:val="14"/>
        </w:rPr>
        <w:t>agreement.</w:t>
      </w:r>
    </w:p>
    <w:p>
      <w:pPr>
        <w:pStyle w:val="BodyText"/>
        <w:spacing w:before="10"/>
        <w:rPr>
          <w:sz w:val="18"/>
        </w:rPr>
      </w:pPr>
    </w:p>
    <w:p>
      <w:pPr>
        <w:pStyle w:val="ListParagraph"/>
        <w:numPr>
          <w:ilvl w:val="1"/>
          <w:numId w:val="17"/>
        </w:numPr>
        <w:tabs>
          <w:tab w:pos="705" w:val="left" w:leader="none"/>
        </w:tabs>
        <w:spacing w:line="240" w:lineRule="auto" w:before="0" w:after="0"/>
        <w:ind w:left="704" w:right="0" w:hanging="390"/>
        <w:jc w:val="left"/>
        <w:rPr>
          <w:b/>
          <w:sz w:val="14"/>
        </w:rPr>
      </w:pPr>
      <w:r>
        <w:rPr>
          <w:b/>
          <w:sz w:val="14"/>
        </w:rPr>
        <w:t>Operating</w:t>
      </w:r>
      <w:r>
        <w:rPr>
          <w:b/>
          <w:spacing w:val="-8"/>
          <w:sz w:val="14"/>
        </w:rPr>
        <w:t> </w:t>
      </w:r>
      <w:r>
        <w:rPr>
          <w:b/>
          <w:sz w:val="14"/>
        </w:rPr>
        <w:t>Segments</w:t>
      </w:r>
    </w:p>
    <w:p>
      <w:pPr>
        <w:spacing w:line="261" w:lineRule="auto" w:before="7"/>
        <w:ind w:left="704" w:right="604" w:firstLine="0"/>
        <w:jc w:val="left"/>
        <w:rPr>
          <w:sz w:val="14"/>
        </w:rPr>
      </w:pPr>
      <w:r>
        <w:rPr>
          <w:sz w:val="14"/>
        </w:rPr>
        <w:t>Income</w:t>
      </w:r>
      <w:r>
        <w:rPr>
          <w:spacing w:val="-9"/>
          <w:sz w:val="14"/>
        </w:rPr>
        <w:t> </w:t>
      </w:r>
      <w:r>
        <w:rPr>
          <w:sz w:val="14"/>
        </w:rPr>
        <w:t>and</w:t>
      </w:r>
      <w:r>
        <w:rPr>
          <w:spacing w:val="-11"/>
          <w:sz w:val="14"/>
        </w:rPr>
        <w:t> </w:t>
      </w:r>
      <w:r>
        <w:rPr>
          <w:sz w:val="14"/>
        </w:rPr>
        <w:t>expenditure</w:t>
      </w:r>
      <w:r>
        <w:rPr>
          <w:spacing w:val="-9"/>
          <w:sz w:val="14"/>
        </w:rPr>
        <w:t> </w:t>
      </w:r>
      <w:r>
        <w:rPr>
          <w:sz w:val="14"/>
        </w:rPr>
        <w:t>are</w:t>
      </w:r>
      <w:r>
        <w:rPr>
          <w:spacing w:val="-11"/>
          <w:sz w:val="14"/>
        </w:rPr>
        <w:t> </w:t>
      </w:r>
      <w:r>
        <w:rPr>
          <w:sz w:val="14"/>
        </w:rPr>
        <w:t>analysed</w:t>
      </w:r>
      <w:r>
        <w:rPr>
          <w:spacing w:val="-9"/>
          <w:sz w:val="14"/>
        </w:rPr>
        <w:t> </w:t>
      </w:r>
      <w:r>
        <w:rPr>
          <w:sz w:val="14"/>
        </w:rPr>
        <w:t>in</w:t>
      </w:r>
      <w:r>
        <w:rPr>
          <w:spacing w:val="-9"/>
          <w:sz w:val="14"/>
        </w:rPr>
        <w:t> </w:t>
      </w:r>
      <w:r>
        <w:rPr>
          <w:sz w:val="14"/>
        </w:rPr>
        <w:t>the</w:t>
      </w:r>
      <w:r>
        <w:rPr>
          <w:spacing w:val="-8"/>
          <w:sz w:val="14"/>
        </w:rPr>
        <w:t> </w:t>
      </w:r>
      <w:r>
        <w:rPr>
          <w:sz w:val="14"/>
        </w:rPr>
        <w:t>Operating</w:t>
      </w:r>
      <w:r>
        <w:rPr>
          <w:spacing w:val="-8"/>
          <w:sz w:val="14"/>
        </w:rPr>
        <w:t> </w:t>
      </w:r>
      <w:r>
        <w:rPr>
          <w:sz w:val="14"/>
        </w:rPr>
        <w:t>Segments</w:t>
      </w:r>
      <w:r>
        <w:rPr>
          <w:spacing w:val="-9"/>
          <w:sz w:val="14"/>
        </w:rPr>
        <w:t> </w:t>
      </w:r>
      <w:r>
        <w:rPr>
          <w:sz w:val="14"/>
        </w:rPr>
        <w:t>note</w:t>
      </w:r>
      <w:r>
        <w:rPr>
          <w:spacing w:val="-8"/>
          <w:sz w:val="14"/>
        </w:rPr>
        <w:t> </w:t>
      </w:r>
      <w:r>
        <w:rPr>
          <w:sz w:val="14"/>
        </w:rPr>
        <w:t>and</w:t>
      </w:r>
      <w:r>
        <w:rPr>
          <w:spacing w:val="-8"/>
          <w:sz w:val="14"/>
        </w:rPr>
        <w:t> </w:t>
      </w:r>
      <w:r>
        <w:rPr>
          <w:sz w:val="14"/>
        </w:rPr>
        <w:t>are</w:t>
      </w:r>
      <w:r>
        <w:rPr>
          <w:spacing w:val="-11"/>
          <w:sz w:val="14"/>
        </w:rPr>
        <w:t> </w:t>
      </w:r>
      <w:r>
        <w:rPr>
          <w:sz w:val="14"/>
        </w:rPr>
        <w:t>reported</w:t>
      </w:r>
      <w:r>
        <w:rPr>
          <w:spacing w:val="-9"/>
          <w:sz w:val="14"/>
        </w:rPr>
        <w:t> </w:t>
      </w:r>
      <w:r>
        <w:rPr>
          <w:sz w:val="14"/>
        </w:rPr>
        <w:t>in</w:t>
      </w:r>
      <w:r>
        <w:rPr>
          <w:spacing w:val="-11"/>
          <w:sz w:val="14"/>
        </w:rPr>
        <w:t> </w:t>
      </w:r>
      <w:r>
        <w:rPr>
          <w:sz w:val="14"/>
        </w:rPr>
        <w:t>line</w:t>
      </w:r>
      <w:r>
        <w:rPr>
          <w:spacing w:val="-11"/>
          <w:sz w:val="14"/>
        </w:rPr>
        <w:t> </w:t>
      </w:r>
      <w:r>
        <w:rPr>
          <w:sz w:val="14"/>
        </w:rPr>
        <w:t>with</w:t>
      </w:r>
      <w:r>
        <w:rPr>
          <w:spacing w:val="-8"/>
          <w:sz w:val="14"/>
        </w:rPr>
        <w:t> </w:t>
      </w:r>
      <w:r>
        <w:rPr>
          <w:sz w:val="14"/>
        </w:rPr>
        <w:t>management</w:t>
      </w:r>
      <w:r>
        <w:rPr>
          <w:spacing w:val="-9"/>
          <w:sz w:val="14"/>
        </w:rPr>
        <w:t> </w:t>
      </w:r>
      <w:r>
        <w:rPr>
          <w:sz w:val="14"/>
        </w:rPr>
        <w:t>information</w:t>
      </w:r>
      <w:r>
        <w:rPr>
          <w:spacing w:val="-11"/>
          <w:sz w:val="14"/>
        </w:rPr>
        <w:t> </w:t>
      </w:r>
      <w:r>
        <w:rPr>
          <w:sz w:val="14"/>
        </w:rPr>
        <w:t>used</w:t>
      </w:r>
      <w:r>
        <w:rPr>
          <w:spacing w:val="-8"/>
          <w:sz w:val="14"/>
        </w:rPr>
        <w:t> </w:t>
      </w:r>
      <w:r>
        <w:rPr>
          <w:sz w:val="14"/>
        </w:rPr>
        <w:t>within</w:t>
      </w:r>
      <w:r>
        <w:rPr>
          <w:spacing w:val="-8"/>
          <w:sz w:val="14"/>
        </w:rPr>
        <w:t> </w:t>
      </w:r>
      <w:r>
        <w:rPr>
          <w:sz w:val="14"/>
        </w:rPr>
        <w:t>the</w:t>
      </w:r>
      <w:r>
        <w:rPr>
          <w:spacing w:val="-11"/>
          <w:sz w:val="14"/>
        </w:rPr>
        <w:t> </w:t>
      </w:r>
      <w:r>
        <w:rPr>
          <w:sz w:val="14"/>
        </w:rPr>
        <w:t>clinical commissioning</w:t>
      </w:r>
      <w:r>
        <w:rPr>
          <w:spacing w:val="-3"/>
          <w:sz w:val="14"/>
        </w:rPr>
        <w:t> </w:t>
      </w:r>
      <w:r>
        <w:rPr>
          <w:sz w:val="14"/>
        </w:rPr>
        <w:t>group.</w:t>
      </w:r>
    </w:p>
    <w:p>
      <w:pPr>
        <w:pStyle w:val="ListParagraph"/>
        <w:numPr>
          <w:ilvl w:val="1"/>
          <w:numId w:val="17"/>
        </w:numPr>
        <w:tabs>
          <w:tab w:pos="740" w:val="left" w:leader="none"/>
          <w:tab w:pos="741" w:val="left" w:leader="none"/>
        </w:tabs>
        <w:spacing w:line="240" w:lineRule="auto" w:before="100" w:after="0"/>
        <w:ind w:left="740" w:right="0" w:hanging="426"/>
        <w:jc w:val="left"/>
        <w:rPr>
          <w:b/>
          <w:sz w:val="14"/>
        </w:rPr>
      </w:pPr>
      <w:r>
        <w:rPr>
          <w:b/>
          <w:sz w:val="14"/>
        </w:rPr>
        <w:t>Revenue</w:t>
      </w:r>
    </w:p>
    <w:p>
      <w:pPr>
        <w:spacing w:before="7"/>
        <w:ind w:left="704" w:right="0" w:firstLine="0"/>
        <w:jc w:val="left"/>
        <w:rPr>
          <w:sz w:val="14"/>
        </w:rPr>
      </w:pPr>
      <w:r>
        <w:rPr>
          <w:sz w:val="14"/>
        </w:rPr>
        <w:t>In the application of IFRS 15 a number of practical expedients offered in the Standard have been employed. These are as follows:</w:t>
      </w:r>
    </w:p>
    <w:p>
      <w:pPr>
        <w:pStyle w:val="ListParagraph"/>
        <w:numPr>
          <w:ilvl w:val="2"/>
          <w:numId w:val="17"/>
        </w:numPr>
        <w:tabs>
          <w:tab w:pos="792" w:val="left" w:leader="none"/>
        </w:tabs>
        <w:spacing w:line="254" w:lineRule="auto" w:before="14" w:after="0"/>
        <w:ind w:left="704" w:right="589" w:firstLine="0"/>
        <w:jc w:val="left"/>
        <w:rPr>
          <w:sz w:val="14"/>
        </w:rPr>
      </w:pPr>
      <w:r>
        <w:rPr>
          <w:sz w:val="14"/>
        </w:rPr>
        <w:t>As</w:t>
      </w:r>
      <w:r>
        <w:rPr>
          <w:spacing w:val="-11"/>
          <w:sz w:val="14"/>
        </w:rPr>
        <w:t> </w:t>
      </w:r>
      <w:r>
        <w:rPr>
          <w:sz w:val="14"/>
        </w:rPr>
        <w:t>per</w:t>
      </w:r>
      <w:r>
        <w:rPr>
          <w:spacing w:val="-9"/>
          <w:sz w:val="14"/>
        </w:rPr>
        <w:t> </w:t>
      </w:r>
      <w:r>
        <w:rPr>
          <w:sz w:val="14"/>
        </w:rPr>
        <w:t>paragraph</w:t>
      </w:r>
      <w:r>
        <w:rPr>
          <w:spacing w:val="-9"/>
          <w:sz w:val="14"/>
        </w:rPr>
        <w:t> </w:t>
      </w:r>
      <w:r>
        <w:rPr>
          <w:sz w:val="14"/>
        </w:rPr>
        <w:t>121</w:t>
      </w:r>
      <w:r>
        <w:rPr>
          <w:spacing w:val="-9"/>
          <w:sz w:val="14"/>
        </w:rPr>
        <w:t> </w:t>
      </w:r>
      <w:r>
        <w:rPr>
          <w:sz w:val="14"/>
        </w:rPr>
        <w:t>of</w:t>
      </w:r>
      <w:r>
        <w:rPr>
          <w:spacing w:val="-8"/>
          <w:sz w:val="14"/>
        </w:rPr>
        <w:t> </w:t>
      </w:r>
      <w:r>
        <w:rPr>
          <w:sz w:val="14"/>
        </w:rPr>
        <w:t>the</w:t>
      </w:r>
      <w:r>
        <w:rPr>
          <w:spacing w:val="-9"/>
          <w:sz w:val="14"/>
        </w:rPr>
        <w:t> </w:t>
      </w:r>
      <w:r>
        <w:rPr>
          <w:sz w:val="14"/>
        </w:rPr>
        <w:t>Standard</w:t>
      </w:r>
      <w:r>
        <w:rPr>
          <w:spacing w:val="-8"/>
          <w:sz w:val="14"/>
        </w:rPr>
        <w:t> </w:t>
      </w:r>
      <w:r>
        <w:rPr>
          <w:sz w:val="14"/>
        </w:rPr>
        <w:t>the</w:t>
      </w:r>
      <w:r>
        <w:rPr>
          <w:spacing w:val="-11"/>
          <w:sz w:val="14"/>
        </w:rPr>
        <w:t> </w:t>
      </w:r>
      <w:r>
        <w:rPr>
          <w:sz w:val="14"/>
        </w:rPr>
        <w:t>clinical</w:t>
      </w:r>
      <w:r>
        <w:rPr>
          <w:spacing w:val="-6"/>
          <w:sz w:val="14"/>
        </w:rPr>
        <w:t> </w:t>
      </w:r>
      <w:r>
        <w:rPr>
          <w:sz w:val="14"/>
        </w:rPr>
        <w:t>commissioning</w:t>
      </w:r>
      <w:r>
        <w:rPr>
          <w:spacing w:val="-9"/>
          <w:sz w:val="14"/>
        </w:rPr>
        <w:t> </w:t>
      </w:r>
      <w:r>
        <w:rPr>
          <w:sz w:val="14"/>
        </w:rPr>
        <w:t>group</w:t>
      </w:r>
      <w:r>
        <w:rPr>
          <w:spacing w:val="-11"/>
          <w:sz w:val="14"/>
        </w:rPr>
        <w:t> </w:t>
      </w:r>
      <w:r>
        <w:rPr>
          <w:sz w:val="14"/>
        </w:rPr>
        <w:t>will</w:t>
      </w:r>
      <w:r>
        <w:rPr>
          <w:spacing w:val="-8"/>
          <w:sz w:val="14"/>
        </w:rPr>
        <w:t> </w:t>
      </w:r>
      <w:r>
        <w:rPr>
          <w:sz w:val="14"/>
        </w:rPr>
        <w:t>not</w:t>
      </w:r>
      <w:r>
        <w:rPr>
          <w:spacing w:val="-8"/>
          <w:sz w:val="14"/>
        </w:rPr>
        <w:t> </w:t>
      </w:r>
      <w:r>
        <w:rPr>
          <w:sz w:val="14"/>
        </w:rPr>
        <w:t>disclose</w:t>
      </w:r>
      <w:r>
        <w:rPr>
          <w:spacing w:val="-11"/>
          <w:sz w:val="14"/>
        </w:rPr>
        <w:t> </w:t>
      </w:r>
      <w:r>
        <w:rPr>
          <w:sz w:val="14"/>
        </w:rPr>
        <w:t>information</w:t>
      </w:r>
      <w:r>
        <w:rPr>
          <w:spacing w:val="-9"/>
          <w:sz w:val="14"/>
        </w:rPr>
        <w:t> </w:t>
      </w:r>
      <w:r>
        <w:rPr>
          <w:sz w:val="14"/>
        </w:rPr>
        <w:t>regarding</w:t>
      </w:r>
      <w:r>
        <w:rPr>
          <w:spacing w:val="-9"/>
          <w:sz w:val="14"/>
        </w:rPr>
        <w:t> </w:t>
      </w:r>
      <w:r>
        <w:rPr>
          <w:sz w:val="14"/>
        </w:rPr>
        <w:t>performance</w:t>
      </w:r>
      <w:r>
        <w:rPr>
          <w:spacing w:val="-10"/>
          <w:sz w:val="14"/>
        </w:rPr>
        <w:t> </w:t>
      </w:r>
      <w:r>
        <w:rPr>
          <w:sz w:val="14"/>
        </w:rPr>
        <w:t>obligations</w:t>
      </w:r>
      <w:r>
        <w:rPr>
          <w:spacing w:val="-6"/>
          <w:sz w:val="14"/>
        </w:rPr>
        <w:t> </w:t>
      </w:r>
      <w:r>
        <w:rPr>
          <w:sz w:val="14"/>
        </w:rPr>
        <w:t>part</w:t>
      </w:r>
      <w:r>
        <w:rPr>
          <w:spacing w:val="-9"/>
          <w:sz w:val="14"/>
        </w:rPr>
        <w:t> </w:t>
      </w:r>
      <w:r>
        <w:rPr>
          <w:sz w:val="14"/>
        </w:rPr>
        <w:t>of</w:t>
      </w:r>
      <w:r>
        <w:rPr>
          <w:spacing w:val="-8"/>
          <w:sz w:val="14"/>
        </w:rPr>
        <w:t> </w:t>
      </w:r>
      <w:r>
        <w:rPr>
          <w:sz w:val="14"/>
        </w:rPr>
        <w:t>a</w:t>
      </w:r>
      <w:r>
        <w:rPr>
          <w:spacing w:val="-8"/>
          <w:sz w:val="14"/>
        </w:rPr>
        <w:t> </w:t>
      </w:r>
      <w:r>
        <w:rPr>
          <w:sz w:val="14"/>
        </w:rPr>
        <w:t>contract that has an original expected duration of one year or</w:t>
      </w:r>
      <w:r>
        <w:rPr>
          <w:spacing w:val="-23"/>
          <w:sz w:val="14"/>
        </w:rPr>
        <w:t> </w:t>
      </w:r>
      <w:r>
        <w:rPr>
          <w:sz w:val="14"/>
        </w:rPr>
        <w:t>less,</w:t>
      </w:r>
    </w:p>
    <w:p>
      <w:pPr>
        <w:pStyle w:val="ListParagraph"/>
        <w:numPr>
          <w:ilvl w:val="2"/>
          <w:numId w:val="17"/>
        </w:numPr>
        <w:tabs>
          <w:tab w:pos="792" w:val="left" w:leader="none"/>
        </w:tabs>
        <w:spacing w:line="256" w:lineRule="auto" w:before="2" w:after="0"/>
        <w:ind w:left="704" w:right="992" w:firstLine="0"/>
        <w:jc w:val="left"/>
        <w:rPr>
          <w:sz w:val="14"/>
        </w:rPr>
      </w:pPr>
      <w:r>
        <w:rPr>
          <w:sz w:val="14"/>
        </w:rPr>
        <w:t>The</w:t>
      </w:r>
      <w:r>
        <w:rPr>
          <w:spacing w:val="-11"/>
          <w:sz w:val="14"/>
        </w:rPr>
        <w:t> </w:t>
      </w:r>
      <w:r>
        <w:rPr>
          <w:sz w:val="14"/>
        </w:rPr>
        <w:t>clinical</w:t>
      </w:r>
      <w:r>
        <w:rPr>
          <w:spacing w:val="-7"/>
          <w:sz w:val="14"/>
        </w:rPr>
        <w:t> </w:t>
      </w:r>
      <w:r>
        <w:rPr>
          <w:sz w:val="14"/>
        </w:rPr>
        <w:t>commissioning</w:t>
      </w:r>
      <w:r>
        <w:rPr>
          <w:spacing w:val="-8"/>
          <w:sz w:val="14"/>
        </w:rPr>
        <w:t> </w:t>
      </w:r>
      <w:r>
        <w:rPr>
          <w:sz w:val="14"/>
        </w:rPr>
        <w:t>group</w:t>
      </w:r>
      <w:r>
        <w:rPr>
          <w:spacing w:val="-8"/>
          <w:sz w:val="14"/>
        </w:rPr>
        <w:t> </w:t>
      </w:r>
      <w:r>
        <w:rPr>
          <w:sz w:val="14"/>
        </w:rPr>
        <w:t>is</w:t>
      </w:r>
      <w:r>
        <w:rPr>
          <w:spacing w:val="-8"/>
          <w:sz w:val="14"/>
        </w:rPr>
        <w:t> </w:t>
      </w:r>
      <w:r>
        <w:rPr>
          <w:sz w:val="14"/>
        </w:rPr>
        <w:t>to</w:t>
      </w:r>
      <w:r>
        <w:rPr>
          <w:spacing w:val="-8"/>
          <w:sz w:val="14"/>
        </w:rPr>
        <w:t> </w:t>
      </w:r>
      <w:r>
        <w:rPr>
          <w:sz w:val="14"/>
        </w:rPr>
        <w:t>similarly</w:t>
      </w:r>
      <w:r>
        <w:rPr>
          <w:spacing w:val="-12"/>
          <w:sz w:val="14"/>
        </w:rPr>
        <w:t> </w:t>
      </w:r>
      <w:r>
        <w:rPr>
          <w:sz w:val="14"/>
        </w:rPr>
        <w:t>not</w:t>
      </w:r>
      <w:r>
        <w:rPr>
          <w:spacing w:val="-8"/>
          <w:sz w:val="14"/>
        </w:rPr>
        <w:t> </w:t>
      </w:r>
      <w:r>
        <w:rPr>
          <w:sz w:val="14"/>
        </w:rPr>
        <w:t>disclose</w:t>
      </w:r>
      <w:r>
        <w:rPr>
          <w:spacing w:val="-8"/>
          <w:sz w:val="14"/>
        </w:rPr>
        <w:t> </w:t>
      </w:r>
      <w:r>
        <w:rPr>
          <w:sz w:val="14"/>
        </w:rPr>
        <w:t>information</w:t>
      </w:r>
      <w:r>
        <w:rPr>
          <w:spacing w:val="-8"/>
          <w:sz w:val="14"/>
        </w:rPr>
        <w:t> </w:t>
      </w:r>
      <w:r>
        <w:rPr>
          <w:sz w:val="14"/>
        </w:rPr>
        <w:t>where</w:t>
      </w:r>
      <w:r>
        <w:rPr>
          <w:spacing w:val="-9"/>
          <w:sz w:val="14"/>
        </w:rPr>
        <w:t> </w:t>
      </w:r>
      <w:r>
        <w:rPr>
          <w:sz w:val="14"/>
        </w:rPr>
        <w:t>revenue</w:t>
      </w:r>
      <w:r>
        <w:rPr>
          <w:spacing w:val="-9"/>
          <w:sz w:val="14"/>
        </w:rPr>
        <w:t> </w:t>
      </w:r>
      <w:r>
        <w:rPr>
          <w:sz w:val="14"/>
        </w:rPr>
        <w:t>is</w:t>
      </w:r>
      <w:r>
        <w:rPr>
          <w:spacing w:val="-8"/>
          <w:sz w:val="14"/>
        </w:rPr>
        <w:t> </w:t>
      </w:r>
      <w:r>
        <w:rPr>
          <w:sz w:val="14"/>
        </w:rPr>
        <w:t>recognised</w:t>
      </w:r>
      <w:r>
        <w:rPr>
          <w:spacing w:val="-9"/>
          <w:sz w:val="14"/>
        </w:rPr>
        <w:t> </w:t>
      </w:r>
      <w:r>
        <w:rPr>
          <w:sz w:val="14"/>
        </w:rPr>
        <w:t>in</w:t>
      </w:r>
      <w:r>
        <w:rPr>
          <w:spacing w:val="-8"/>
          <w:sz w:val="14"/>
        </w:rPr>
        <w:t> </w:t>
      </w:r>
      <w:r>
        <w:rPr>
          <w:sz w:val="14"/>
        </w:rPr>
        <w:t>line</w:t>
      </w:r>
      <w:r>
        <w:rPr>
          <w:spacing w:val="-8"/>
          <w:sz w:val="14"/>
        </w:rPr>
        <w:t> </w:t>
      </w:r>
      <w:r>
        <w:rPr>
          <w:sz w:val="14"/>
        </w:rPr>
        <w:t>with</w:t>
      </w:r>
      <w:r>
        <w:rPr>
          <w:spacing w:val="-8"/>
          <w:sz w:val="14"/>
        </w:rPr>
        <w:t> </w:t>
      </w:r>
      <w:r>
        <w:rPr>
          <w:sz w:val="14"/>
        </w:rPr>
        <w:t>the</w:t>
      </w:r>
      <w:r>
        <w:rPr>
          <w:spacing w:val="-8"/>
          <w:sz w:val="14"/>
        </w:rPr>
        <w:t> </w:t>
      </w:r>
      <w:r>
        <w:rPr>
          <w:sz w:val="14"/>
        </w:rPr>
        <w:t>practical</w:t>
      </w:r>
      <w:r>
        <w:rPr>
          <w:spacing w:val="-8"/>
          <w:sz w:val="14"/>
        </w:rPr>
        <w:t> </w:t>
      </w:r>
      <w:r>
        <w:rPr>
          <w:sz w:val="14"/>
        </w:rPr>
        <w:t>expedient</w:t>
      </w:r>
      <w:r>
        <w:rPr>
          <w:spacing w:val="-8"/>
          <w:sz w:val="14"/>
        </w:rPr>
        <w:t> </w:t>
      </w:r>
      <w:r>
        <w:rPr>
          <w:sz w:val="14"/>
        </w:rPr>
        <w:t>offered</w:t>
      </w:r>
      <w:r>
        <w:rPr>
          <w:spacing w:val="-8"/>
          <w:sz w:val="14"/>
        </w:rPr>
        <w:t> </w:t>
      </w:r>
      <w:r>
        <w:rPr>
          <w:sz w:val="14"/>
        </w:rPr>
        <w:t>in paragraph</w:t>
      </w:r>
      <w:r>
        <w:rPr>
          <w:spacing w:val="-9"/>
          <w:sz w:val="14"/>
        </w:rPr>
        <w:t> </w:t>
      </w:r>
      <w:r>
        <w:rPr>
          <w:sz w:val="14"/>
        </w:rPr>
        <w:t>B16</w:t>
      </w:r>
      <w:r>
        <w:rPr>
          <w:spacing w:val="-5"/>
          <w:sz w:val="14"/>
        </w:rPr>
        <w:t> </w:t>
      </w:r>
      <w:r>
        <w:rPr>
          <w:sz w:val="14"/>
        </w:rPr>
        <w:t>of</w:t>
      </w:r>
      <w:r>
        <w:rPr>
          <w:spacing w:val="-5"/>
          <w:sz w:val="14"/>
        </w:rPr>
        <w:t> </w:t>
      </w:r>
      <w:r>
        <w:rPr>
          <w:sz w:val="14"/>
        </w:rPr>
        <w:t>the</w:t>
      </w:r>
      <w:r>
        <w:rPr>
          <w:spacing w:val="-7"/>
          <w:sz w:val="14"/>
        </w:rPr>
        <w:t> </w:t>
      </w:r>
      <w:r>
        <w:rPr>
          <w:sz w:val="14"/>
        </w:rPr>
        <w:t>Standard</w:t>
      </w:r>
      <w:r>
        <w:rPr>
          <w:spacing w:val="-5"/>
          <w:sz w:val="14"/>
        </w:rPr>
        <w:t> </w:t>
      </w:r>
      <w:r>
        <w:rPr>
          <w:sz w:val="14"/>
        </w:rPr>
        <w:t>where</w:t>
      </w:r>
      <w:r>
        <w:rPr>
          <w:spacing w:val="-8"/>
          <w:sz w:val="14"/>
        </w:rPr>
        <w:t> </w:t>
      </w:r>
      <w:r>
        <w:rPr>
          <w:sz w:val="14"/>
        </w:rPr>
        <w:t>the</w:t>
      </w:r>
      <w:r>
        <w:rPr>
          <w:spacing w:val="-5"/>
          <w:sz w:val="14"/>
        </w:rPr>
        <w:t> </w:t>
      </w:r>
      <w:r>
        <w:rPr>
          <w:sz w:val="14"/>
        </w:rPr>
        <w:t>right</w:t>
      </w:r>
      <w:r>
        <w:rPr>
          <w:spacing w:val="-5"/>
          <w:sz w:val="14"/>
        </w:rPr>
        <w:t> </w:t>
      </w:r>
      <w:r>
        <w:rPr>
          <w:sz w:val="14"/>
        </w:rPr>
        <w:t>to</w:t>
      </w:r>
      <w:r>
        <w:rPr>
          <w:spacing w:val="-7"/>
          <w:sz w:val="14"/>
        </w:rPr>
        <w:t> </w:t>
      </w:r>
      <w:r>
        <w:rPr>
          <w:sz w:val="14"/>
        </w:rPr>
        <w:t>consideration</w:t>
      </w:r>
      <w:r>
        <w:rPr>
          <w:spacing w:val="-8"/>
          <w:sz w:val="14"/>
        </w:rPr>
        <w:t> </w:t>
      </w:r>
      <w:r>
        <w:rPr>
          <w:sz w:val="14"/>
        </w:rPr>
        <w:t>corresponds</w:t>
      </w:r>
      <w:r>
        <w:rPr>
          <w:spacing w:val="-2"/>
          <w:sz w:val="14"/>
        </w:rPr>
        <w:t> </w:t>
      </w:r>
      <w:r>
        <w:rPr>
          <w:sz w:val="14"/>
        </w:rPr>
        <w:t>directly</w:t>
      </w:r>
      <w:r>
        <w:rPr>
          <w:spacing w:val="-9"/>
          <w:sz w:val="14"/>
        </w:rPr>
        <w:t> </w:t>
      </w:r>
      <w:r>
        <w:rPr>
          <w:sz w:val="14"/>
        </w:rPr>
        <w:t>with</w:t>
      </w:r>
      <w:r>
        <w:rPr>
          <w:spacing w:val="-7"/>
          <w:sz w:val="14"/>
        </w:rPr>
        <w:t> </w:t>
      </w:r>
      <w:r>
        <w:rPr>
          <w:sz w:val="14"/>
        </w:rPr>
        <w:t>value</w:t>
      </w:r>
      <w:r>
        <w:rPr>
          <w:spacing w:val="-6"/>
          <w:sz w:val="14"/>
        </w:rPr>
        <w:t> </w:t>
      </w:r>
      <w:r>
        <w:rPr>
          <w:sz w:val="14"/>
        </w:rPr>
        <w:t>of</w:t>
      </w:r>
      <w:r>
        <w:rPr>
          <w:spacing w:val="-5"/>
          <w:sz w:val="14"/>
        </w:rPr>
        <w:t> </w:t>
      </w:r>
      <w:r>
        <w:rPr>
          <w:sz w:val="14"/>
        </w:rPr>
        <w:t>the</w:t>
      </w:r>
      <w:r>
        <w:rPr>
          <w:spacing w:val="-5"/>
          <w:sz w:val="14"/>
        </w:rPr>
        <w:t> </w:t>
      </w:r>
      <w:r>
        <w:rPr>
          <w:sz w:val="14"/>
        </w:rPr>
        <w:t>performance</w:t>
      </w:r>
      <w:r>
        <w:rPr>
          <w:spacing w:val="-3"/>
          <w:sz w:val="14"/>
        </w:rPr>
        <w:t> </w:t>
      </w:r>
      <w:r>
        <w:rPr>
          <w:sz w:val="14"/>
        </w:rPr>
        <w:t>completed</w:t>
      </w:r>
      <w:r>
        <w:rPr>
          <w:spacing w:val="-7"/>
          <w:sz w:val="14"/>
        </w:rPr>
        <w:t> </w:t>
      </w:r>
      <w:r>
        <w:rPr>
          <w:sz w:val="14"/>
        </w:rPr>
        <w:t>to</w:t>
      </w:r>
      <w:r>
        <w:rPr>
          <w:spacing w:val="-5"/>
          <w:sz w:val="14"/>
        </w:rPr>
        <w:t> </w:t>
      </w:r>
      <w:r>
        <w:rPr>
          <w:sz w:val="14"/>
        </w:rPr>
        <w:t>date.</w:t>
      </w:r>
    </w:p>
    <w:p>
      <w:pPr>
        <w:pStyle w:val="ListParagraph"/>
        <w:numPr>
          <w:ilvl w:val="2"/>
          <w:numId w:val="17"/>
        </w:numPr>
        <w:tabs>
          <w:tab w:pos="792" w:val="left" w:leader="none"/>
        </w:tabs>
        <w:spacing w:line="256" w:lineRule="auto" w:before="1" w:after="0"/>
        <w:ind w:left="704" w:right="980" w:firstLine="0"/>
        <w:jc w:val="left"/>
        <w:rPr>
          <w:sz w:val="14"/>
        </w:rPr>
      </w:pPr>
      <w:r>
        <w:rPr>
          <w:sz w:val="14"/>
        </w:rPr>
        <w:t>The</w:t>
      </w:r>
      <w:r>
        <w:rPr>
          <w:spacing w:val="-11"/>
          <w:sz w:val="14"/>
        </w:rPr>
        <w:t> </w:t>
      </w:r>
      <w:r>
        <w:rPr>
          <w:sz w:val="14"/>
        </w:rPr>
        <w:t>FReM</w:t>
      </w:r>
      <w:r>
        <w:rPr>
          <w:spacing w:val="-11"/>
          <w:sz w:val="14"/>
        </w:rPr>
        <w:t> </w:t>
      </w:r>
      <w:r>
        <w:rPr>
          <w:sz w:val="14"/>
        </w:rPr>
        <w:t>has</w:t>
      </w:r>
      <w:r>
        <w:rPr>
          <w:spacing w:val="-8"/>
          <w:sz w:val="14"/>
        </w:rPr>
        <w:t> </w:t>
      </w:r>
      <w:r>
        <w:rPr>
          <w:sz w:val="14"/>
        </w:rPr>
        <w:t>mandated</w:t>
      </w:r>
      <w:r>
        <w:rPr>
          <w:spacing w:val="-8"/>
          <w:sz w:val="14"/>
        </w:rPr>
        <w:t> </w:t>
      </w:r>
      <w:r>
        <w:rPr>
          <w:sz w:val="14"/>
        </w:rPr>
        <w:t>the</w:t>
      </w:r>
      <w:r>
        <w:rPr>
          <w:spacing w:val="-8"/>
          <w:sz w:val="14"/>
        </w:rPr>
        <w:t> </w:t>
      </w:r>
      <w:r>
        <w:rPr>
          <w:sz w:val="14"/>
        </w:rPr>
        <w:t>exercise</w:t>
      </w:r>
      <w:r>
        <w:rPr>
          <w:spacing w:val="-6"/>
          <w:sz w:val="14"/>
        </w:rPr>
        <w:t> </w:t>
      </w:r>
      <w:r>
        <w:rPr>
          <w:sz w:val="14"/>
        </w:rPr>
        <w:t>of</w:t>
      </w:r>
      <w:r>
        <w:rPr>
          <w:spacing w:val="-8"/>
          <w:sz w:val="14"/>
        </w:rPr>
        <w:t> </w:t>
      </w:r>
      <w:r>
        <w:rPr>
          <w:sz w:val="14"/>
        </w:rPr>
        <w:t>the</w:t>
      </w:r>
      <w:r>
        <w:rPr>
          <w:spacing w:val="-6"/>
          <w:sz w:val="14"/>
        </w:rPr>
        <w:t> </w:t>
      </w:r>
      <w:r>
        <w:rPr>
          <w:sz w:val="14"/>
        </w:rPr>
        <w:t>practical</w:t>
      </w:r>
      <w:r>
        <w:rPr>
          <w:spacing w:val="-6"/>
          <w:sz w:val="14"/>
        </w:rPr>
        <w:t> </w:t>
      </w:r>
      <w:r>
        <w:rPr>
          <w:sz w:val="14"/>
        </w:rPr>
        <w:t>expedient</w:t>
      </w:r>
      <w:r>
        <w:rPr>
          <w:spacing w:val="-8"/>
          <w:sz w:val="14"/>
        </w:rPr>
        <w:t> </w:t>
      </w:r>
      <w:r>
        <w:rPr>
          <w:sz w:val="14"/>
        </w:rPr>
        <w:t>offered</w:t>
      </w:r>
      <w:r>
        <w:rPr>
          <w:spacing w:val="-8"/>
          <w:sz w:val="14"/>
        </w:rPr>
        <w:t> </w:t>
      </w:r>
      <w:r>
        <w:rPr>
          <w:sz w:val="14"/>
        </w:rPr>
        <w:t>in</w:t>
      </w:r>
      <w:r>
        <w:rPr>
          <w:spacing w:val="-8"/>
          <w:sz w:val="14"/>
        </w:rPr>
        <w:t> </w:t>
      </w:r>
      <w:r>
        <w:rPr>
          <w:sz w:val="14"/>
        </w:rPr>
        <w:t>C7(a)</w:t>
      </w:r>
      <w:r>
        <w:rPr>
          <w:spacing w:val="-9"/>
          <w:sz w:val="14"/>
        </w:rPr>
        <w:t> </w:t>
      </w:r>
      <w:r>
        <w:rPr>
          <w:sz w:val="14"/>
        </w:rPr>
        <w:t>of</w:t>
      </w:r>
      <w:r>
        <w:rPr>
          <w:spacing w:val="-8"/>
          <w:sz w:val="14"/>
        </w:rPr>
        <w:t> </w:t>
      </w:r>
      <w:r>
        <w:rPr>
          <w:sz w:val="14"/>
        </w:rPr>
        <w:t>the</w:t>
      </w:r>
      <w:r>
        <w:rPr>
          <w:spacing w:val="-8"/>
          <w:sz w:val="14"/>
        </w:rPr>
        <w:t> </w:t>
      </w:r>
      <w:r>
        <w:rPr>
          <w:sz w:val="14"/>
        </w:rPr>
        <w:t>Standard</w:t>
      </w:r>
      <w:r>
        <w:rPr>
          <w:spacing w:val="-10"/>
          <w:sz w:val="14"/>
        </w:rPr>
        <w:t> </w:t>
      </w:r>
      <w:r>
        <w:rPr>
          <w:sz w:val="14"/>
        </w:rPr>
        <w:t>that</w:t>
      </w:r>
      <w:r>
        <w:rPr>
          <w:spacing w:val="-8"/>
          <w:sz w:val="14"/>
        </w:rPr>
        <w:t> </w:t>
      </w:r>
      <w:r>
        <w:rPr>
          <w:sz w:val="14"/>
        </w:rPr>
        <w:t>requires</w:t>
      </w:r>
      <w:r>
        <w:rPr>
          <w:spacing w:val="-8"/>
          <w:sz w:val="14"/>
        </w:rPr>
        <w:t> </w:t>
      </w:r>
      <w:r>
        <w:rPr>
          <w:sz w:val="14"/>
        </w:rPr>
        <w:t>the</w:t>
      </w:r>
      <w:r>
        <w:rPr>
          <w:spacing w:val="-8"/>
          <w:sz w:val="14"/>
        </w:rPr>
        <w:t> </w:t>
      </w:r>
      <w:r>
        <w:rPr>
          <w:sz w:val="14"/>
        </w:rPr>
        <w:t>clinical</w:t>
      </w:r>
      <w:r>
        <w:rPr>
          <w:spacing w:val="-10"/>
          <w:sz w:val="14"/>
        </w:rPr>
        <w:t> </w:t>
      </w:r>
      <w:r>
        <w:rPr>
          <w:sz w:val="14"/>
        </w:rPr>
        <w:t>commissioning</w:t>
      </w:r>
      <w:r>
        <w:rPr>
          <w:spacing w:val="-9"/>
          <w:sz w:val="14"/>
        </w:rPr>
        <w:t> </w:t>
      </w:r>
      <w:r>
        <w:rPr>
          <w:sz w:val="14"/>
        </w:rPr>
        <w:t>group</w:t>
      </w:r>
      <w:r>
        <w:rPr>
          <w:spacing w:val="-8"/>
          <w:sz w:val="14"/>
        </w:rPr>
        <w:t> </w:t>
      </w:r>
      <w:r>
        <w:rPr>
          <w:sz w:val="14"/>
        </w:rPr>
        <w:t>to reflect</w:t>
      </w:r>
      <w:r>
        <w:rPr>
          <w:spacing w:val="-5"/>
          <w:sz w:val="14"/>
        </w:rPr>
        <w:t> </w:t>
      </w:r>
      <w:r>
        <w:rPr>
          <w:sz w:val="14"/>
        </w:rPr>
        <w:t>the</w:t>
      </w:r>
      <w:r>
        <w:rPr>
          <w:spacing w:val="-4"/>
          <w:sz w:val="14"/>
        </w:rPr>
        <w:t> </w:t>
      </w:r>
      <w:r>
        <w:rPr>
          <w:sz w:val="14"/>
        </w:rPr>
        <w:t>aggregate</w:t>
      </w:r>
      <w:r>
        <w:rPr>
          <w:spacing w:val="-4"/>
          <w:sz w:val="14"/>
        </w:rPr>
        <w:t> </w:t>
      </w:r>
      <w:r>
        <w:rPr>
          <w:sz w:val="14"/>
        </w:rPr>
        <w:t>effect</w:t>
      </w:r>
      <w:r>
        <w:rPr>
          <w:spacing w:val="-5"/>
          <w:sz w:val="14"/>
        </w:rPr>
        <w:t> </w:t>
      </w:r>
      <w:r>
        <w:rPr>
          <w:sz w:val="14"/>
        </w:rPr>
        <w:t>of</w:t>
      </w:r>
      <w:r>
        <w:rPr>
          <w:spacing w:val="1"/>
          <w:sz w:val="14"/>
        </w:rPr>
        <w:t> </w:t>
      </w:r>
      <w:r>
        <w:rPr>
          <w:sz w:val="14"/>
        </w:rPr>
        <w:t>all</w:t>
      </w:r>
      <w:r>
        <w:rPr>
          <w:spacing w:val="-3"/>
          <w:sz w:val="14"/>
        </w:rPr>
        <w:t> </w:t>
      </w:r>
      <w:r>
        <w:rPr>
          <w:sz w:val="14"/>
        </w:rPr>
        <w:t>contracts</w:t>
      </w:r>
      <w:r>
        <w:rPr>
          <w:spacing w:val="-2"/>
          <w:sz w:val="14"/>
        </w:rPr>
        <w:t> </w:t>
      </w:r>
      <w:r>
        <w:rPr>
          <w:sz w:val="14"/>
        </w:rPr>
        <w:t>modified</w:t>
      </w:r>
      <w:r>
        <w:rPr>
          <w:spacing w:val="-4"/>
          <w:sz w:val="14"/>
        </w:rPr>
        <w:t> </w:t>
      </w:r>
      <w:r>
        <w:rPr>
          <w:sz w:val="14"/>
        </w:rPr>
        <w:t>before</w:t>
      </w:r>
      <w:r>
        <w:rPr>
          <w:spacing w:val="-4"/>
          <w:sz w:val="14"/>
        </w:rPr>
        <w:t> </w:t>
      </w:r>
      <w:r>
        <w:rPr>
          <w:sz w:val="14"/>
        </w:rPr>
        <w:t>the</w:t>
      </w:r>
      <w:r>
        <w:rPr>
          <w:spacing w:val="-3"/>
          <w:sz w:val="14"/>
        </w:rPr>
        <w:t> </w:t>
      </w:r>
      <w:r>
        <w:rPr>
          <w:sz w:val="14"/>
        </w:rPr>
        <w:t>date</w:t>
      </w:r>
      <w:r>
        <w:rPr>
          <w:spacing w:val="-4"/>
          <w:sz w:val="14"/>
        </w:rPr>
        <w:t> </w:t>
      </w:r>
      <w:r>
        <w:rPr>
          <w:sz w:val="14"/>
        </w:rPr>
        <w:t>of</w:t>
      </w:r>
      <w:r>
        <w:rPr>
          <w:spacing w:val="-4"/>
          <w:sz w:val="14"/>
        </w:rPr>
        <w:t> </w:t>
      </w:r>
      <w:r>
        <w:rPr>
          <w:sz w:val="14"/>
        </w:rPr>
        <w:t>initial</w:t>
      </w:r>
      <w:r>
        <w:rPr>
          <w:spacing w:val="1"/>
          <w:sz w:val="14"/>
        </w:rPr>
        <w:t> </w:t>
      </w:r>
      <w:r>
        <w:rPr>
          <w:sz w:val="14"/>
        </w:rPr>
        <w:t>application.</w:t>
      </w:r>
    </w:p>
    <w:p>
      <w:pPr>
        <w:spacing w:line="256" w:lineRule="auto" w:before="0"/>
        <w:ind w:left="704" w:right="604" w:firstLine="0"/>
        <w:jc w:val="left"/>
        <w:rPr>
          <w:sz w:val="14"/>
        </w:rPr>
      </w:pPr>
      <w:r>
        <w:rPr>
          <w:sz w:val="14"/>
        </w:rPr>
        <w:t>The</w:t>
      </w:r>
      <w:r>
        <w:rPr>
          <w:spacing w:val="-11"/>
          <w:sz w:val="14"/>
        </w:rPr>
        <w:t> </w:t>
      </w:r>
      <w:r>
        <w:rPr>
          <w:sz w:val="14"/>
        </w:rPr>
        <w:t>main</w:t>
      </w:r>
      <w:r>
        <w:rPr>
          <w:spacing w:val="-8"/>
          <w:sz w:val="14"/>
        </w:rPr>
        <w:t> </w:t>
      </w:r>
      <w:r>
        <w:rPr>
          <w:sz w:val="14"/>
        </w:rPr>
        <w:t>source</w:t>
      </w:r>
      <w:r>
        <w:rPr>
          <w:spacing w:val="-9"/>
          <w:sz w:val="14"/>
        </w:rPr>
        <w:t> </w:t>
      </w:r>
      <w:r>
        <w:rPr>
          <w:sz w:val="14"/>
        </w:rPr>
        <w:t>of</w:t>
      </w:r>
      <w:r>
        <w:rPr>
          <w:spacing w:val="-8"/>
          <w:sz w:val="14"/>
        </w:rPr>
        <w:t> </w:t>
      </w:r>
      <w:r>
        <w:rPr>
          <w:sz w:val="14"/>
        </w:rPr>
        <w:t>funding</w:t>
      </w:r>
      <w:r>
        <w:rPr>
          <w:spacing w:val="-6"/>
          <w:sz w:val="14"/>
        </w:rPr>
        <w:t> </w:t>
      </w:r>
      <w:r>
        <w:rPr>
          <w:sz w:val="14"/>
        </w:rPr>
        <w:t>for</w:t>
      </w:r>
      <w:r>
        <w:rPr>
          <w:spacing w:val="-6"/>
          <w:sz w:val="14"/>
        </w:rPr>
        <w:t> </w:t>
      </w:r>
      <w:r>
        <w:rPr>
          <w:sz w:val="14"/>
        </w:rPr>
        <w:t>the</w:t>
      </w:r>
      <w:r>
        <w:rPr>
          <w:spacing w:val="-7"/>
          <w:sz w:val="14"/>
        </w:rPr>
        <w:t> </w:t>
      </w:r>
      <w:r>
        <w:rPr>
          <w:sz w:val="14"/>
        </w:rPr>
        <w:t>Clinical</w:t>
      </w:r>
      <w:r>
        <w:rPr>
          <w:spacing w:val="-7"/>
          <w:sz w:val="14"/>
        </w:rPr>
        <w:t> </w:t>
      </w:r>
      <w:r>
        <w:rPr>
          <w:sz w:val="14"/>
        </w:rPr>
        <w:t>Commissioning</w:t>
      </w:r>
      <w:r>
        <w:rPr>
          <w:spacing w:val="-6"/>
          <w:sz w:val="14"/>
        </w:rPr>
        <w:t> </w:t>
      </w:r>
      <w:r>
        <w:rPr>
          <w:sz w:val="14"/>
        </w:rPr>
        <w:t>Group</w:t>
      </w:r>
      <w:r>
        <w:rPr>
          <w:spacing w:val="-9"/>
          <w:sz w:val="14"/>
        </w:rPr>
        <w:t> </w:t>
      </w:r>
      <w:r>
        <w:rPr>
          <w:sz w:val="14"/>
        </w:rPr>
        <w:t>is</w:t>
      </w:r>
      <w:r>
        <w:rPr>
          <w:spacing w:val="-5"/>
          <w:sz w:val="14"/>
        </w:rPr>
        <w:t> </w:t>
      </w:r>
      <w:r>
        <w:rPr>
          <w:sz w:val="14"/>
        </w:rPr>
        <w:t>from</w:t>
      </w:r>
      <w:r>
        <w:rPr>
          <w:spacing w:val="-4"/>
          <w:sz w:val="14"/>
        </w:rPr>
        <w:t> </w:t>
      </w:r>
      <w:r>
        <w:rPr>
          <w:sz w:val="14"/>
        </w:rPr>
        <w:t>NHS</w:t>
      </w:r>
      <w:r>
        <w:rPr>
          <w:spacing w:val="-4"/>
          <w:sz w:val="14"/>
        </w:rPr>
        <w:t> </w:t>
      </w:r>
      <w:r>
        <w:rPr>
          <w:sz w:val="14"/>
        </w:rPr>
        <w:t>England.</w:t>
      </w:r>
      <w:r>
        <w:rPr>
          <w:spacing w:val="-6"/>
          <w:sz w:val="14"/>
        </w:rPr>
        <w:t> </w:t>
      </w:r>
      <w:r>
        <w:rPr>
          <w:sz w:val="14"/>
        </w:rPr>
        <w:t>This</w:t>
      </w:r>
      <w:r>
        <w:rPr>
          <w:spacing w:val="-8"/>
          <w:sz w:val="14"/>
        </w:rPr>
        <w:t> </w:t>
      </w:r>
      <w:r>
        <w:rPr>
          <w:sz w:val="14"/>
        </w:rPr>
        <w:t>is</w:t>
      </w:r>
      <w:r>
        <w:rPr>
          <w:spacing w:val="-8"/>
          <w:sz w:val="14"/>
        </w:rPr>
        <w:t> </w:t>
      </w:r>
      <w:r>
        <w:rPr>
          <w:sz w:val="14"/>
        </w:rPr>
        <w:t>drawn</w:t>
      </w:r>
      <w:r>
        <w:rPr>
          <w:spacing w:val="-8"/>
          <w:sz w:val="14"/>
        </w:rPr>
        <w:t> </w:t>
      </w:r>
      <w:r>
        <w:rPr>
          <w:sz w:val="14"/>
        </w:rPr>
        <w:t>down</w:t>
      </w:r>
      <w:r>
        <w:rPr>
          <w:spacing w:val="-6"/>
          <w:sz w:val="14"/>
        </w:rPr>
        <w:t> </w:t>
      </w:r>
      <w:r>
        <w:rPr>
          <w:sz w:val="14"/>
        </w:rPr>
        <w:t>and</w:t>
      </w:r>
      <w:r>
        <w:rPr>
          <w:spacing w:val="-10"/>
          <w:sz w:val="14"/>
        </w:rPr>
        <w:t> </w:t>
      </w:r>
      <w:r>
        <w:rPr>
          <w:sz w:val="14"/>
        </w:rPr>
        <w:t>credited</w:t>
      </w:r>
      <w:r>
        <w:rPr>
          <w:spacing w:val="-8"/>
          <w:sz w:val="14"/>
        </w:rPr>
        <w:t> </w:t>
      </w:r>
      <w:r>
        <w:rPr>
          <w:sz w:val="14"/>
        </w:rPr>
        <w:t>to</w:t>
      </w:r>
      <w:r>
        <w:rPr>
          <w:spacing w:val="-8"/>
          <w:sz w:val="14"/>
        </w:rPr>
        <w:t> </w:t>
      </w:r>
      <w:r>
        <w:rPr>
          <w:sz w:val="14"/>
        </w:rPr>
        <w:t>the</w:t>
      </w:r>
      <w:r>
        <w:rPr>
          <w:spacing w:val="-8"/>
          <w:sz w:val="14"/>
        </w:rPr>
        <w:t> </w:t>
      </w:r>
      <w:r>
        <w:rPr>
          <w:sz w:val="14"/>
        </w:rPr>
        <w:t>general</w:t>
      </w:r>
      <w:r>
        <w:rPr>
          <w:spacing w:val="-8"/>
          <w:sz w:val="14"/>
        </w:rPr>
        <w:t> </w:t>
      </w:r>
      <w:r>
        <w:rPr>
          <w:sz w:val="14"/>
        </w:rPr>
        <w:t>fund.</w:t>
      </w:r>
      <w:r>
        <w:rPr>
          <w:spacing w:val="-6"/>
          <w:sz w:val="14"/>
        </w:rPr>
        <w:t> </w:t>
      </w:r>
      <w:r>
        <w:rPr>
          <w:sz w:val="14"/>
        </w:rPr>
        <w:t>Funding</w:t>
      </w:r>
      <w:r>
        <w:rPr>
          <w:spacing w:val="-9"/>
          <w:sz w:val="14"/>
        </w:rPr>
        <w:t> </w:t>
      </w:r>
      <w:r>
        <w:rPr>
          <w:sz w:val="14"/>
        </w:rPr>
        <w:t>is recognised in the period in which it is</w:t>
      </w:r>
      <w:r>
        <w:rPr>
          <w:spacing w:val="-26"/>
          <w:sz w:val="14"/>
        </w:rPr>
        <w:t> </w:t>
      </w:r>
      <w:r>
        <w:rPr>
          <w:sz w:val="14"/>
        </w:rPr>
        <w:t>received.</w:t>
      </w:r>
    </w:p>
    <w:p>
      <w:pPr>
        <w:spacing w:line="256" w:lineRule="auto" w:before="0"/>
        <w:ind w:left="704" w:right="1081" w:firstLine="0"/>
        <w:jc w:val="left"/>
        <w:rPr>
          <w:sz w:val="14"/>
        </w:rPr>
      </w:pPr>
      <w:r>
        <w:rPr>
          <w:sz w:val="14"/>
        </w:rPr>
        <w:t>Revenue</w:t>
      </w:r>
      <w:r>
        <w:rPr>
          <w:spacing w:val="-12"/>
          <w:sz w:val="14"/>
        </w:rPr>
        <w:t> </w:t>
      </w:r>
      <w:r>
        <w:rPr>
          <w:sz w:val="14"/>
        </w:rPr>
        <w:t>in</w:t>
      </w:r>
      <w:r>
        <w:rPr>
          <w:spacing w:val="-8"/>
          <w:sz w:val="14"/>
        </w:rPr>
        <w:t> </w:t>
      </w:r>
      <w:r>
        <w:rPr>
          <w:sz w:val="14"/>
        </w:rPr>
        <w:t>respect</w:t>
      </w:r>
      <w:r>
        <w:rPr>
          <w:spacing w:val="-7"/>
          <w:sz w:val="14"/>
        </w:rPr>
        <w:t> </w:t>
      </w:r>
      <w:r>
        <w:rPr>
          <w:sz w:val="14"/>
        </w:rPr>
        <w:t>of</w:t>
      </w:r>
      <w:r>
        <w:rPr>
          <w:spacing w:val="-8"/>
          <w:sz w:val="14"/>
        </w:rPr>
        <w:t> </w:t>
      </w:r>
      <w:r>
        <w:rPr>
          <w:sz w:val="14"/>
        </w:rPr>
        <w:t>services</w:t>
      </w:r>
      <w:r>
        <w:rPr>
          <w:spacing w:val="-8"/>
          <w:sz w:val="14"/>
        </w:rPr>
        <w:t> </w:t>
      </w:r>
      <w:r>
        <w:rPr>
          <w:sz w:val="14"/>
        </w:rPr>
        <w:t>provided</w:t>
      </w:r>
      <w:r>
        <w:rPr>
          <w:spacing w:val="-12"/>
          <w:sz w:val="14"/>
        </w:rPr>
        <w:t> </w:t>
      </w:r>
      <w:r>
        <w:rPr>
          <w:sz w:val="14"/>
        </w:rPr>
        <w:t>is</w:t>
      </w:r>
      <w:r>
        <w:rPr>
          <w:spacing w:val="-8"/>
          <w:sz w:val="14"/>
        </w:rPr>
        <w:t> </w:t>
      </w:r>
      <w:r>
        <w:rPr>
          <w:sz w:val="14"/>
        </w:rPr>
        <w:t>recognised</w:t>
      </w:r>
      <w:r>
        <w:rPr>
          <w:spacing w:val="-9"/>
          <w:sz w:val="14"/>
        </w:rPr>
        <w:t> </w:t>
      </w:r>
      <w:r>
        <w:rPr>
          <w:sz w:val="14"/>
        </w:rPr>
        <w:t>when</w:t>
      </w:r>
      <w:r>
        <w:rPr>
          <w:spacing w:val="-9"/>
          <w:sz w:val="14"/>
        </w:rPr>
        <w:t> </w:t>
      </w:r>
      <w:r>
        <w:rPr>
          <w:sz w:val="14"/>
        </w:rPr>
        <w:t>(or</w:t>
      </w:r>
      <w:r>
        <w:rPr>
          <w:spacing w:val="-11"/>
          <w:sz w:val="14"/>
        </w:rPr>
        <w:t> </w:t>
      </w:r>
      <w:r>
        <w:rPr>
          <w:sz w:val="14"/>
        </w:rPr>
        <w:t>as)</w:t>
      </w:r>
      <w:r>
        <w:rPr>
          <w:spacing w:val="-9"/>
          <w:sz w:val="14"/>
        </w:rPr>
        <w:t> </w:t>
      </w:r>
      <w:r>
        <w:rPr>
          <w:sz w:val="14"/>
        </w:rPr>
        <w:t>performance</w:t>
      </w:r>
      <w:r>
        <w:rPr>
          <w:spacing w:val="-12"/>
          <w:sz w:val="14"/>
        </w:rPr>
        <w:t> </w:t>
      </w:r>
      <w:r>
        <w:rPr>
          <w:sz w:val="14"/>
        </w:rPr>
        <w:t>obligations</w:t>
      </w:r>
      <w:r>
        <w:rPr>
          <w:spacing w:val="-8"/>
          <w:sz w:val="14"/>
        </w:rPr>
        <w:t> </w:t>
      </w:r>
      <w:r>
        <w:rPr>
          <w:sz w:val="14"/>
        </w:rPr>
        <w:t>are</w:t>
      </w:r>
      <w:r>
        <w:rPr>
          <w:spacing w:val="-11"/>
          <w:sz w:val="14"/>
        </w:rPr>
        <w:t> </w:t>
      </w:r>
      <w:r>
        <w:rPr>
          <w:sz w:val="14"/>
        </w:rPr>
        <w:t>satisfied</w:t>
      </w:r>
      <w:r>
        <w:rPr>
          <w:spacing w:val="-9"/>
          <w:sz w:val="14"/>
        </w:rPr>
        <w:t> </w:t>
      </w:r>
      <w:r>
        <w:rPr>
          <w:sz w:val="14"/>
        </w:rPr>
        <w:t>by</w:t>
      </w:r>
      <w:r>
        <w:rPr>
          <w:spacing w:val="-13"/>
          <w:sz w:val="14"/>
        </w:rPr>
        <w:t> </w:t>
      </w:r>
      <w:r>
        <w:rPr>
          <w:sz w:val="14"/>
        </w:rPr>
        <w:t>transferring</w:t>
      </w:r>
      <w:r>
        <w:rPr>
          <w:spacing w:val="-9"/>
          <w:sz w:val="14"/>
        </w:rPr>
        <w:t> </w:t>
      </w:r>
      <w:r>
        <w:rPr>
          <w:sz w:val="14"/>
        </w:rPr>
        <w:t>promised</w:t>
      </w:r>
      <w:r>
        <w:rPr>
          <w:spacing w:val="-8"/>
          <w:sz w:val="14"/>
        </w:rPr>
        <w:t> </w:t>
      </w:r>
      <w:r>
        <w:rPr>
          <w:sz w:val="14"/>
        </w:rPr>
        <w:t>services</w:t>
      </w:r>
      <w:r>
        <w:rPr>
          <w:spacing w:val="-9"/>
          <w:sz w:val="14"/>
        </w:rPr>
        <w:t> </w:t>
      </w:r>
      <w:r>
        <w:rPr>
          <w:sz w:val="14"/>
        </w:rPr>
        <w:t>to</w:t>
      </w:r>
      <w:r>
        <w:rPr>
          <w:spacing w:val="-8"/>
          <w:sz w:val="14"/>
        </w:rPr>
        <w:t> </w:t>
      </w:r>
      <w:r>
        <w:rPr>
          <w:sz w:val="14"/>
        </w:rPr>
        <w:t>the customer,</w:t>
      </w:r>
      <w:r>
        <w:rPr>
          <w:spacing w:val="-5"/>
          <w:sz w:val="14"/>
        </w:rPr>
        <w:t> </w:t>
      </w:r>
      <w:r>
        <w:rPr>
          <w:sz w:val="14"/>
        </w:rPr>
        <w:t>and</w:t>
      </w:r>
      <w:r>
        <w:rPr>
          <w:spacing w:val="-4"/>
          <w:sz w:val="14"/>
        </w:rPr>
        <w:t> </w:t>
      </w:r>
      <w:r>
        <w:rPr>
          <w:sz w:val="14"/>
        </w:rPr>
        <w:t>is</w:t>
      </w:r>
      <w:r>
        <w:rPr>
          <w:spacing w:val="-4"/>
          <w:sz w:val="14"/>
        </w:rPr>
        <w:t> </w:t>
      </w:r>
      <w:r>
        <w:rPr>
          <w:sz w:val="14"/>
        </w:rPr>
        <w:t>measured</w:t>
      </w:r>
      <w:r>
        <w:rPr>
          <w:spacing w:val="-4"/>
          <w:sz w:val="14"/>
        </w:rPr>
        <w:t> </w:t>
      </w:r>
      <w:r>
        <w:rPr>
          <w:sz w:val="14"/>
        </w:rPr>
        <w:t>at</w:t>
      </w:r>
      <w:r>
        <w:rPr>
          <w:spacing w:val="-5"/>
          <w:sz w:val="14"/>
        </w:rPr>
        <w:t> </w:t>
      </w:r>
      <w:r>
        <w:rPr>
          <w:sz w:val="14"/>
        </w:rPr>
        <w:t>the</w:t>
      </w:r>
      <w:r>
        <w:rPr>
          <w:spacing w:val="-2"/>
          <w:sz w:val="14"/>
        </w:rPr>
        <w:t> </w:t>
      </w:r>
      <w:r>
        <w:rPr>
          <w:sz w:val="14"/>
        </w:rPr>
        <w:t>amount</w:t>
      </w:r>
      <w:r>
        <w:rPr>
          <w:spacing w:val="-5"/>
          <w:sz w:val="14"/>
        </w:rPr>
        <w:t> </w:t>
      </w:r>
      <w:r>
        <w:rPr>
          <w:sz w:val="14"/>
        </w:rPr>
        <w:t>of</w:t>
      </w:r>
      <w:r>
        <w:rPr>
          <w:spacing w:val="-4"/>
          <w:sz w:val="14"/>
        </w:rPr>
        <w:t> </w:t>
      </w:r>
      <w:r>
        <w:rPr>
          <w:sz w:val="14"/>
        </w:rPr>
        <w:t>the</w:t>
      </w:r>
      <w:r>
        <w:rPr>
          <w:spacing w:val="-5"/>
          <w:sz w:val="14"/>
        </w:rPr>
        <w:t> </w:t>
      </w:r>
      <w:r>
        <w:rPr>
          <w:sz w:val="14"/>
        </w:rPr>
        <w:t>transaction</w:t>
      </w:r>
      <w:r>
        <w:rPr>
          <w:spacing w:val="-2"/>
          <w:sz w:val="14"/>
        </w:rPr>
        <w:t> </w:t>
      </w:r>
      <w:r>
        <w:rPr>
          <w:sz w:val="14"/>
        </w:rPr>
        <w:t>price</w:t>
      </w:r>
      <w:r>
        <w:rPr>
          <w:spacing w:val="-5"/>
          <w:sz w:val="14"/>
        </w:rPr>
        <w:t> </w:t>
      </w:r>
      <w:r>
        <w:rPr>
          <w:sz w:val="14"/>
        </w:rPr>
        <w:t>allocated</w:t>
      </w:r>
      <w:r>
        <w:rPr>
          <w:spacing w:val="-2"/>
          <w:sz w:val="14"/>
        </w:rPr>
        <w:t> </w:t>
      </w:r>
      <w:r>
        <w:rPr>
          <w:sz w:val="14"/>
        </w:rPr>
        <w:t>to</w:t>
      </w:r>
      <w:r>
        <w:rPr>
          <w:spacing w:val="-3"/>
          <w:sz w:val="14"/>
        </w:rPr>
        <w:t> </w:t>
      </w:r>
      <w:r>
        <w:rPr>
          <w:sz w:val="14"/>
        </w:rPr>
        <w:t>that</w:t>
      </w:r>
      <w:r>
        <w:rPr>
          <w:spacing w:val="-2"/>
          <w:sz w:val="14"/>
        </w:rPr>
        <w:t> </w:t>
      </w:r>
      <w:r>
        <w:rPr>
          <w:sz w:val="14"/>
        </w:rPr>
        <w:t>performance</w:t>
      </w:r>
      <w:r>
        <w:rPr>
          <w:spacing w:val="-4"/>
          <w:sz w:val="14"/>
        </w:rPr>
        <w:t> </w:t>
      </w:r>
      <w:r>
        <w:rPr>
          <w:sz w:val="14"/>
        </w:rPr>
        <w:t>obligation.</w:t>
      </w:r>
    </w:p>
    <w:p>
      <w:pPr>
        <w:spacing w:line="256" w:lineRule="auto" w:before="0"/>
        <w:ind w:left="704" w:right="1905" w:firstLine="0"/>
        <w:jc w:val="left"/>
        <w:rPr>
          <w:sz w:val="14"/>
        </w:rPr>
      </w:pPr>
      <w:r>
        <w:rPr>
          <w:sz w:val="14"/>
        </w:rPr>
        <w:t>Where income is received for a specific performance obligation that is to be satisfied in the following year, that income is deferred. Payment terms are standard reflecting cross government principles.</w:t>
      </w:r>
    </w:p>
    <w:p>
      <w:pPr>
        <w:spacing w:line="256" w:lineRule="auto" w:before="0"/>
        <w:ind w:left="704" w:right="690" w:firstLine="0"/>
        <w:jc w:val="left"/>
        <w:rPr>
          <w:sz w:val="14"/>
        </w:rPr>
      </w:pPr>
      <w:r>
        <w:rPr>
          <w:sz w:val="14"/>
        </w:rPr>
        <w:t>The</w:t>
      </w:r>
      <w:r>
        <w:rPr>
          <w:spacing w:val="-12"/>
          <w:sz w:val="14"/>
        </w:rPr>
        <w:t> </w:t>
      </w:r>
      <w:r>
        <w:rPr>
          <w:sz w:val="14"/>
        </w:rPr>
        <w:t>value</w:t>
      </w:r>
      <w:r>
        <w:rPr>
          <w:spacing w:val="-8"/>
          <w:sz w:val="14"/>
        </w:rPr>
        <w:t> </w:t>
      </w:r>
      <w:r>
        <w:rPr>
          <w:sz w:val="14"/>
        </w:rPr>
        <w:t>of</w:t>
      </w:r>
      <w:r>
        <w:rPr>
          <w:spacing w:val="-9"/>
          <w:sz w:val="14"/>
        </w:rPr>
        <w:t> </w:t>
      </w:r>
      <w:r>
        <w:rPr>
          <w:sz w:val="14"/>
        </w:rPr>
        <w:t>the</w:t>
      </w:r>
      <w:r>
        <w:rPr>
          <w:spacing w:val="-8"/>
          <w:sz w:val="14"/>
        </w:rPr>
        <w:t> </w:t>
      </w:r>
      <w:r>
        <w:rPr>
          <w:sz w:val="14"/>
        </w:rPr>
        <w:t>benefit</w:t>
      </w:r>
      <w:r>
        <w:rPr>
          <w:spacing w:val="-9"/>
          <w:sz w:val="14"/>
        </w:rPr>
        <w:t> </w:t>
      </w:r>
      <w:r>
        <w:rPr>
          <w:sz w:val="14"/>
        </w:rPr>
        <w:t>received</w:t>
      </w:r>
      <w:r>
        <w:rPr>
          <w:spacing w:val="-9"/>
          <w:sz w:val="14"/>
        </w:rPr>
        <w:t> </w:t>
      </w:r>
      <w:r>
        <w:rPr>
          <w:sz w:val="14"/>
        </w:rPr>
        <w:t>when</w:t>
      </w:r>
      <w:r>
        <w:rPr>
          <w:spacing w:val="-9"/>
          <w:sz w:val="14"/>
        </w:rPr>
        <w:t> </w:t>
      </w:r>
      <w:r>
        <w:rPr>
          <w:sz w:val="14"/>
        </w:rPr>
        <w:t>the</w:t>
      </w:r>
      <w:r>
        <w:rPr>
          <w:spacing w:val="-11"/>
          <w:sz w:val="14"/>
        </w:rPr>
        <w:t> </w:t>
      </w:r>
      <w:r>
        <w:rPr>
          <w:sz w:val="14"/>
        </w:rPr>
        <w:t>clinical</w:t>
      </w:r>
      <w:r>
        <w:rPr>
          <w:spacing w:val="-9"/>
          <w:sz w:val="14"/>
        </w:rPr>
        <w:t> </w:t>
      </w:r>
      <w:r>
        <w:rPr>
          <w:sz w:val="14"/>
        </w:rPr>
        <w:t>commissioning</w:t>
      </w:r>
      <w:r>
        <w:rPr>
          <w:spacing w:val="-8"/>
          <w:sz w:val="14"/>
        </w:rPr>
        <w:t> </w:t>
      </w:r>
      <w:r>
        <w:rPr>
          <w:sz w:val="14"/>
        </w:rPr>
        <w:t>group</w:t>
      </w:r>
      <w:r>
        <w:rPr>
          <w:spacing w:val="-11"/>
          <w:sz w:val="14"/>
        </w:rPr>
        <w:t> </w:t>
      </w:r>
      <w:r>
        <w:rPr>
          <w:sz w:val="14"/>
        </w:rPr>
        <w:t>accesses</w:t>
      </w:r>
      <w:r>
        <w:rPr>
          <w:spacing w:val="-9"/>
          <w:sz w:val="14"/>
        </w:rPr>
        <w:t> </w:t>
      </w:r>
      <w:r>
        <w:rPr>
          <w:sz w:val="14"/>
        </w:rPr>
        <w:t>funds</w:t>
      </w:r>
      <w:r>
        <w:rPr>
          <w:spacing w:val="-8"/>
          <w:sz w:val="14"/>
        </w:rPr>
        <w:t> </w:t>
      </w:r>
      <w:r>
        <w:rPr>
          <w:sz w:val="14"/>
        </w:rPr>
        <w:t>from</w:t>
      </w:r>
      <w:r>
        <w:rPr>
          <w:spacing w:val="-7"/>
          <w:sz w:val="14"/>
        </w:rPr>
        <w:t> </w:t>
      </w:r>
      <w:r>
        <w:rPr>
          <w:sz w:val="14"/>
        </w:rPr>
        <w:t>the</w:t>
      </w:r>
      <w:r>
        <w:rPr>
          <w:spacing w:val="-9"/>
          <w:sz w:val="14"/>
        </w:rPr>
        <w:t> </w:t>
      </w:r>
      <w:r>
        <w:rPr>
          <w:sz w:val="14"/>
        </w:rPr>
        <w:t>Government’s</w:t>
      </w:r>
      <w:r>
        <w:rPr>
          <w:spacing w:val="-5"/>
          <w:sz w:val="14"/>
        </w:rPr>
        <w:t> </w:t>
      </w:r>
      <w:r>
        <w:rPr>
          <w:sz w:val="14"/>
        </w:rPr>
        <w:t>apprenticeship</w:t>
      </w:r>
      <w:r>
        <w:rPr>
          <w:spacing w:val="-12"/>
          <w:sz w:val="14"/>
        </w:rPr>
        <w:t> </w:t>
      </w:r>
      <w:r>
        <w:rPr>
          <w:sz w:val="14"/>
        </w:rPr>
        <w:t>service</w:t>
      </w:r>
      <w:r>
        <w:rPr>
          <w:spacing w:val="-8"/>
          <w:sz w:val="14"/>
        </w:rPr>
        <w:t> </w:t>
      </w:r>
      <w:r>
        <w:rPr>
          <w:sz w:val="14"/>
        </w:rPr>
        <w:t>are</w:t>
      </w:r>
      <w:r>
        <w:rPr>
          <w:spacing w:val="-11"/>
          <w:sz w:val="14"/>
        </w:rPr>
        <w:t> </w:t>
      </w:r>
      <w:r>
        <w:rPr>
          <w:sz w:val="14"/>
        </w:rPr>
        <w:t>recognised as</w:t>
      </w:r>
      <w:r>
        <w:rPr>
          <w:spacing w:val="-8"/>
          <w:sz w:val="14"/>
        </w:rPr>
        <w:t> </w:t>
      </w:r>
      <w:r>
        <w:rPr>
          <w:sz w:val="14"/>
        </w:rPr>
        <w:t>income</w:t>
      </w:r>
      <w:r>
        <w:rPr>
          <w:spacing w:val="-8"/>
          <w:sz w:val="14"/>
        </w:rPr>
        <w:t> </w:t>
      </w:r>
      <w:r>
        <w:rPr>
          <w:sz w:val="14"/>
        </w:rPr>
        <w:t>in</w:t>
      </w:r>
      <w:r>
        <w:rPr>
          <w:spacing w:val="-8"/>
          <w:sz w:val="14"/>
        </w:rPr>
        <w:t> </w:t>
      </w:r>
      <w:r>
        <w:rPr>
          <w:sz w:val="14"/>
        </w:rPr>
        <w:t>accordance</w:t>
      </w:r>
      <w:r>
        <w:rPr>
          <w:spacing w:val="-11"/>
          <w:sz w:val="14"/>
        </w:rPr>
        <w:t> </w:t>
      </w:r>
      <w:r>
        <w:rPr>
          <w:sz w:val="14"/>
        </w:rPr>
        <w:t>with</w:t>
      </w:r>
      <w:r>
        <w:rPr>
          <w:spacing w:val="-8"/>
          <w:sz w:val="14"/>
        </w:rPr>
        <w:t> </w:t>
      </w:r>
      <w:r>
        <w:rPr>
          <w:sz w:val="14"/>
        </w:rPr>
        <w:t>IAS</w:t>
      </w:r>
      <w:r>
        <w:rPr>
          <w:spacing w:val="-5"/>
          <w:sz w:val="14"/>
        </w:rPr>
        <w:t> </w:t>
      </w:r>
      <w:r>
        <w:rPr>
          <w:sz w:val="14"/>
        </w:rPr>
        <w:t>20,</w:t>
      </w:r>
      <w:r>
        <w:rPr>
          <w:spacing w:val="-6"/>
          <w:sz w:val="14"/>
        </w:rPr>
        <w:t> </w:t>
      </w:r>
      <w:r>
        <w:rPr>
          <w:sz w:val="14"/>
        </w:rPr>
        <w:t>Accounting</w:t>
      </w:r>
      <w:r>
        <w:rPr>
          <w:spacing w:val="-8"/>
          <w:sz w:val="14"/>
        </w:rPr>
        <w:t> </w:t>
      </w:r>
      <w:r>
        <w:rPr>
          <w:sz w:val="14"/>
        </w:rPr>
        <w:t>for</w:t>
      </w:r>
      <w:r>
        <w:rPr>
          <w:spacing w:val="-9"/>
          <w:sz w:val="14"/>
        </w:rPr>
        <w:t> </w:t>
      </w:r>
      <w:r>
        <w:rPr>
          <w:sz w:val="14"/>
        </w:rPr>
        <w:t>Government</w:t>
      </w:r>
      <w:r>
        <w:rPr>
          <w:spacing w:val="-8"/>
          <w:sz w:val="14"/>
        </w:rPr>
        <w:t> </w:t>
      </w:r>
      <w:r>
        <w:rPr>
          <w:sz w:val="14"/>
        </w:rPr>
        <w:t>Grants.</w:t>
      </w:r>
      <w:r>
        <w:rPr>
          <w:spacing w:val="-8"/>
          <w:sz w:val="14"/>
        </w:rPr>
        <w:t> </w:t>
      </w:r>
      <w:r>
        <w:rPr>
          <w:sz w:val="14"/>
        </w:rPr>
        <w:t>Where</w:t>
      </w:r>
      <w:r>
        <w:rPr>
          <w:spacing w:val="-8"/>
          <w:sz w:val="14"/>
        </w:rPr>
        <w:t> </w:t>
      </w:r>
      <w:r>
        <w:rPr>
          <w:sz w:val="14"/>
        </w:rPr>
        <w:t>these</w:t>
      </w:r>
      <w:r>
        <w:rPr>
          <w:spacing w:val="-6"/>
          <w:sz w:val="14"/>
        </w:rPr>
        <w:t> </w:t>
      </w:r>
      <w:r>
        <w:rPr>
          <w:sz w:val="14"/>
        </w:rPr>
        <w:t>funds</w:t>
      </w:r>
      <w:r>
        <w:rPr>
          <w:spacing w:val="-5"/>
          <w:sz w:val="14"/>
        </w:rPr>
        <w:t> </w:t>
      </w:r>
      <w:r>
        <w:rPr>
          <w:sz w:val="14"/>
        </w:rPr>
        <w:t>are</w:t>
      </w:r>
      <w:r>
        <w:rPr>
          <w:spacing w:val="-8"/>
          <w:sz w:val="14"/>
        </w:rPr>
        <w:t> </w:t>
      </w:r>
      <w:r>
        <w:rPr>
          <w:sz w:val="14"/>
        </w:rPr>
        <w:t>paid</w:t>
      </w:r>
      <w:r>
        <w:rPr>
          <w:spacing w:val="-11"/>
          <w:sz w:val="14"/>
        </w:rPr>
        <w:t> </w:t>
      </w:r>
      <w:r>
        <w:rPr>
          <w:sz w:val="14"/>
        </w:rPr>
        <w:t>directly</w:t>
      </w:r>
      <w:r>
        <w:rPr>
          <w:spacing w:val="-12"/>
          <w:sz w:val="14"/>
        </w:rPr>
        <w:t> </w:t>
      </w:r>
      <w:r>
        <w:rPr>
          <w:sz w:val="14"/>
        </w:rPr>
        <w:t>to</w:t>
      </w:r>
      <w:r>
        <w:rPr>
          <w:spacing w:val="-8"/>
          <w:sz w:val="14"/>
        </w:rPr>
        <w:t> </w:t>
      </w:r>
      <w:r>
        <w:rPr>
          <w:sz w:val="14"/>
        </w:rPr>
        <w:t>an</w:t>
      </w:r>
      <w:r>
        <w:rPr>
          <w:spacing w:val="-6"/>
          <w:sz w:val="14"/>
        </w:rPr>
        <w:t> </w:t>
      </w:r>
      <w:r>
        <w:rPr>
          <w:sz w:val="14"/>
        </w:rPr>
        <w:t>accredited</w:t>
      </w:r>
      <w:r>
        <w:rPr>
          <w:spacing w:val="-11"/>
          <w:sz w:val="14"/>
        </w:rPr>
        <w:t> </w:t>
      </w:r>
      <w:r>
        <w:rPr>
          <w:sz w:val="14"/>
        </w:rPr>
        <w:t>training</w:t>
      </w:r>
      <w:r>
        <w:rPr>
          <w:spacing w:val="-8"/>
          <w:sz w:val="14"/>
        </w:rPr>
        <w:t> </w:t>
      </w:r>
      <w:r>
        <w:rPr>
          <w:sz w:val="14"/>
        </w:rPr>
        <w:t>provider,</w:t>
      </w:r>
      <w:r>
        <w:rPr>
          <w:spacing w:val="-6"/>
          <w:sz w:val="14"/>
        </w:rPr>
        <w:t> </w:t>
      </w:r>
      <w:r>
        <w:rPr>
          <w:sz w:val="14"/>
        </w:rPr>
        <w:t>non- cash</w:t>
      </w:r>
      <w:r>
        <w:rPr>
          <w:spacing w:val="-5"/>
          <w:sz w:val="14"/>
        </w:rPr>
        <w:t> </w:t>
      </w:r>
      <w:r>
        <w:rPr>
          <w:sz w:val="14"/>
        </w:rPr>
        <w:t>income</w:t>
      </w:r>
      <w:r>
        <w:rPr>
          <w:spacing w:val="-3"/>
          <w:sz w:val="14"/>
        </w:rPr>
        <w:t> </w:t>
      </w:r>
      <w:r>
        <w:rPr>
          <w:sz w:val="14"/>
        </w:rPr>
        <w:t>and</w:t>
      </w:r>
      <w:r>
        <w:rPr>
          <w:spacing w:val="-4"/>
          <w:sz w:val="14"/>
        </w:rPr>
        <w:t> </w:t>
      </w:r>
      <w:r>
        <w:rPr>
          <w:sz w:val="14"/>
        </w:rPr>
        <w:t>a</w:t>
      </w:r>
      <w:r>
        <w:rPr>
          <w:spacing w:val="-5"/>
          <w:sz w:val="14"/>
        </w:rPr>
        <w:t> </w:t>
      </w:r>
      <w:r>
        <w:rPr>
          <w:sz w:val="14"/>
        </w:rPr>
        <w:t>corresponding</w:t>
      </w:r>
      <w:r>
        <w:rPr>
          <w:spacing w:val="-3"/>
          <w:sz w:val="14"/>
        </w:rPr>
        <w:t> </w:t>
      </w:r>
      <w:r>
        <w:rPr>
          <w:sz w:val="14"/>
        </w:rPr>
        <w:t>non-cash</w:t>
      </w:r>
      <w:r>
        <w:rPr>
          <w:spacing w:val="-4"/>
          <w:sz w:val="14"/>
        </w:rPr>
        <w:t> </w:t>
      </w:r>
      <w:r>
        <w:rPr>
          <w:sz w:val="14"/>
        </w:rPr>
        <w:t>training</w:t>
      </w:r>
      <w:r>
        <w:rPr>
          <w:spacing w:val="-5"/>
          <w:sz w:val="14"/>
        </w:rPr>
        <w:t> </w:t>
      </w:r>
      <w:r>
        <w:rPr>
          <w:sz w:val="14"/>
        </w:rPr>
        <w:t>expense</w:t>
      </w:r>
      <w:r>
        <w:rPr>
          <w:spacing w:val="-4"/>
          <w:sz w:val="14"/>
        </w:rPr>
        <w:t> </w:t>
      </w:r>
      <w:r>
        <w:rPr>
          <w:sz w:val="14"/>
        </w:rPr>
        <w:t>are</w:t>
      </w:r>
      <w:r>
        <w:rPr>
          <w:spacing w:val="-5"/>
          <w:sz w:val="14"/>
        </w:rPr>
        <w:t> </w:t>
      </w:r>
      <w:r>
        <w:rPr>
          <w:sz w:val="14"/>
        </w:rPr>
        <w:t>recognised,</w:t>
      </w:r>
      <w:r>
        <w:rPr>
          <w:spacing w:val="-2"/>
          <w:sz w:val="14"/>
        </w:rPr>
        <w:t> </w:t>
      </w:r>
      <w:r>
        <w:rPr>
          <w:sz w:val="14"/>
        </w:rPr>
        <w:t>both</w:t>
      </w:r>
      <w:r>
        <w:rPr>
          <w:spacing w:val="-4"/>
          <w:sz w:val="14"/>
        </w:rPr>
        <w:t> </w:t>
      </w:r>
      <w:r>
        <w:rPr>
          <w:sz w:val="14"/>
        </w:rPr>
        <w:t>equal</w:t>
      </w:r>
      <w:r>
        <w:rPr>
          <w:spacing w:val="-4"/>
          <w:sz w:val="14"/>
        </w:rPr>
        <w:t> </w:t>
      </w:r>
      <w:r>
        <w:rPr>
          <w:sz w:val="14"/>
        </w:rPr>
        <w:t>to</w:t>
      </w:r>
      <w:r>
        <w:rPr>
          <w:spacing w:val="-4"/>
          <w:sz w:val="14"/>
        </w:rPr>
        <w:t> </w:t>
      </w:r>
      <w:r>
        <w:rPr>
          <w:sz w:val="14"/>
        </w:rPr>
        <w:t>the</w:t>
      </w:r>
      <w:r>
        <w:rPr>
          <w:spacing w:val="-5"/>
          <w:sz w:val="14"/>
        </w:rPr>
        <w:t> </w:t>
      </w:r>
      <w:r>
        <w:rPr>
          <w:sz w:val="14"/>
        </w:rPr>
        <w:t>cost</w:t>
      </w:r>
      <w:r>
        <w:rPr>
          <w:spacing w:val="-5"/>
          <w:sz w:val="14"/>
        </w:rPr>
        <w:t> </w:t>
      </w:r>
      <w:r>
        <w:rPr>
          <w:sz w:val="14"/>
        </w:rPr>
        <w:t>of</w:t>
      </w:r>
      <w:r>
        <w:rPr>
          <w:spacing w:val="-1"/>
          <w:sz w:val="14"/>
        </w:rPr>
        <w:t> </w:t>
      </w:r>
      <w:r>
        <w:rPr>
          <w:sz w:val="14"/>
        </w:rPr>
        <w:t>the</w:t>
      </w:r>
      <w:r>
        <w:rPr>
          <w:spacing w:val="-5"/>
          <w:sz w:val="14"/>
        </w:rPr>
        <w:t> </w:t>
      </w:r>
      <w:r>
        <w:rPr>
          <w:sz w:val="14"/>
        </w:rPr>
        <w:t>training</w:t>
      </w:r>
      <w:r>
        <w:rPr>
          <w:spacing w:val="-7"/>
          <w:sz w:val="14"/>
        </w:rPr>
        <w:t> </w:t>
      </w:r>
      <w:r>
        <w:rPr>
          <w:sz w:val="14"/>
        </w:rPr>
        <w:t>funded.</w:t>
      </w:r>
    </w:p>
    <w:p>
      <w:pPr>
        <w:pStyle w:val="BodyText"/>
        <w:spacing w:before="5"/>
        <w:rPr>
          <w:sz w:val="21"/>
        </w:rPr>
      </w:pPr>
    </w:p>
    <w:p>
      <w:pPr>
        <w:spacing w:before="0"/>
        <w:ind w:left="318" w:right="0" w:firstLine="0"/>
        <w:jc w:val="left"/>
        <w:rPr>
          <w:b/>
          <w:sz w:val="14"/>
        </w:rPr>
      </w:pPr>
      <w:r>
        <w:rPr>
          <w:sz w:val="14"/>
        </w:rPr>
        <w:t>1.70 </w:t>
      </w:r>
      <w:r>
        <w:rPr>
          <w:b/>
          <w:sz w:val="14"/>
        </w:rPr>
        <w:t>Employee Benefits</w:t>
      </w:r>
    </w:p>
    <w:p>
      <w:pPr>
        <w:pStyle w:val="ListParagraph"/>
        <w:numPr>
          <w:ilvl w:val="2"/>
          <w:numId w:val="18"/>
        </w:numPr>
        <w:tabs>
          <w:tab w:pos="705" w:val="left" w:leader="none"/>
        </w:tabs>
        <w:spacing w:line="240" w:lineRule="auto" w:before="14" w:after="0"/>
        <w:ind w:left="704" w:right="0" w:hanging="390"/>
        <w:jc w:val="left"/>
        <w:rPr>
          <w:b/>
          <w:sz w:val="14"/>
        </w:rPr>
      </w:pPr>
      <w:r>
        <w:rPr>
          <w:b/>
          <w:sz w:val="14"/>
        </w:rPr>
        <w:t>Short-term Employee</w:t>
      </w:r>
      <w:r>
        <w:rPr>
          <w:b/>
          <w:spacing w:val="-5"/>
          <w:sz w:val="14"/>
        </w:rPr>
        <w:t> </w:t>
      </w:r>
      <w:r>
        <w:rPr>
          <w:b/>
          <w:sz w:val="14"/>
        </w:rPr>
        <w:t>Benefits</w:t>
      </w:r>
    </w:p>
    <w:p>
      <w:pPr>
        <w:spacing w:line="256" w:lineRule="auto" w:before="7"/>
        <w:ind w:left="705" w:right="604" w:hanging="1"/>
        <w:jc w:val="left"/>
        <w:rPr>
          <w:sz w:val="14"/>
        </w:rPr>
      </w:pPr>
      <w:r>
        <w:rPr>
          <w:sz w:val="14"/>
        </w:rPr>
        <w:t>Salaries,</w:t>
      </w:r>
      <w:r>
        <w:rPr>
          <w:spacing w:val="-12"/>
          <w:sz w:val="14"/>
        </w:rPr>
        <w:t> </w:t>
      </w:r>
      <w:r>
        <w:rPr>
          <w:sz w:val="14"/>
        </w:rPr>
        <w:t>wages</w:t>
      </w:r>
      <w:r>
        <w:rPr>
          <w:spacing w:val="-9"/>
          <w:sz w:val="14"/>
        </w:rPr>
        <w:t> </w:t>
      </w:r>
      <w:r>
        <w:rPr>
          <w:sz w:val="14"/>
        </w:rPr>
        <w:t>and</w:t>
      </w:r>
      <w:r>
        <w:rPr>
          <w:spacing w:val="-12"/>
          <w:sz w:val="14"/>
        </w:rPr>
        <w:t> </w:t>
      </w:r>
      <w:r>
        <w:rPr>
          <w:sz w:val="14"/>
        </w:rPr>
        <w:t>employment-related</w:t>
      </w:r>
      <w:r>
        <w:rPr>
          <w:spacing w:val="-12"/>
          <w:sz w:val="14"/>
        </w:rPr>
        <w:t> </w:t>
      </w:r>
      <w:r>
        <w:rPr>
          <w:sz w:val="14"/>
        </w:rPr>
        <w:t>payments,</w:t>
      </w:r>
      <w:r>
        <w:rPr>
          <w:spacing w:val="-11"/>
          <w:sz w:val="14"/>
        </w:rPr>
        <w:t> </w:t>
      </w:r>
      <w:r>
        <w:rPr>
          <w:sz w:val="14"/>
        </w:rPr>
        <w:t>including</w:t>
      </w:r>
      <w:r>
        <w:rPr>
          <w:spacing w:val="-12"/>
          <w:sz w:val="14"/>
        </w:rPr>
        <w:t> </w:t>
      </w:r>
      <w:r>
        <w:rPr>
          <w:sz w:val="14"/>
        </w:rPr>
        <w:t>payments</w:t>
      </w:r>
      <w:r>
        <w:rPr>
          <w:spacing w:val="-11"/>
          <w:sz w:val="14"/>
        </w:rPr>
        <w:t> </w:t>
      </w:r>
      <w:r>
        <w:rPr>
          <w:sz w:val="14"/>
        </w:rPr>
        <w:t>arising</w:t>
      </w:r>
      <w:r>
        <w:rPr>
          <w:spacing w:val="-12"/>
          <w:sz w:val="14"/>
        </w:rPr>
        <w:t> </w:t>
      </w:r>
      <w:r>
        <w:rPr>
          <w:sz w:val="14"/>
        </w:rPr>
        <w:t>from</w:t>
      </w:r>
      <w:r>
        <w:rPr>
          <w:spacing w:val="-7"/>
          <w:sz w:val="14"/>
        </w:rPr>
        <w:t> </w:t>
      </w:r>
      <w:r>
        <w:rPr>
          <w:sz w:val="14"/>
        </w:rPr>
        <w:t>the</w:t>
      </w:r>
      <w:r>
        <w:rPr>
          <w:spacing w:val="-9"/>
          <w:sz w:val="14"/>
        </w:rPr>
        <w:t> </w:t>
      </w:r>
      <w:r>
        <w:rPr>
          <w:sz w:val="14"/>
        </w:rPr>
        <w:t>apprenticeship</w:t>
      </w:r>
      <w:r>
        <w:rPr>
          <w:spacing w:val="-12"/>
          <w:sz w:val="14"/>
        </w:rPr>
        <w:t> </w:t>
      </w:r>
      <w:r>
        <w:rPr>
          <w:sz w:val="14"/>
        </w:rPr>
        <w:t>levy,</w:t>
      </w:r>
      <w:r>
        <w:rPr>
          <w:spacing w:val="-9"/>
          <w:sz w:val="14"/>
        </w:rPr>
        <w:t> </w:t>
      </w:r>
      <w:r>
        <w:rPr>
          <w:sz w:val="14"/>
        </w:rPr>
        <w:t>are</w:t>
      </w:r>
      <w:r>
        <w:rPr>
          <w:spacing w:val="-12"/>
          <w:sz w:val="14"/>
        </w:rPr>
        <w:t> </w:t>
      </w:r>
      <w:r>
        <w:rPr>
          <w:sz w:val="14"/>
        </w:rPr>
        <w:t>recognised</w:t>
      </w:r>
      <w:r>
        <w:rPr>
          <w:spacing w:val="-11"/>
          <w:sz w:val="14"/>
        </w:rPr>
        <w:t> </w:t>
      </w:r>
      <w:r>
        <w:rPr>
          <w:sz w:val="14"/>
        </w:rPr>
        <w:t>in</w:t>
      </w:r>
      <w:r>
        <w:rPr>
          <w:spacing w:val="-14"/>
          <w:sz w:val="14"/>
        </w:rPr>
        <w:t> </w:t>
      </w:r>
      <w:r>
        <w:rPr>
          <w:sz w:val="14"/>
        </w:rPr>
        <w:t>the</w:t>
      </w:r>
      <w:r>
        <w:rPr>
          <w:spacing w:val="-9"/>
          <w:sz w:val="14"/>
        </w:rPr>
        <w:t> </w:t>
      </w:r>
      <w:r>
        <w:rPr>
          <w:sz w:val="14"/>
        </w:rPr>
        <w:t>period</w:t>
      </w:r>
      <w:r>
        <w:rPr>
          <w:spacing w:val="-12"/>
          <w:sz w:val="14"/>
        </w:rPr>
        <w:t> </w:t>
      </w:r>
      <w:r>
        <w:rPr>
          <w:sz w:val="14"/>
        </w:rPr>
        <w:t>in</w:t>
      </w:r>
      <w:r>
        <w:rPr>
          <w:spacing w:val="-12"/>
          <w:sz w:val="14"/>
        </w:rPr>
        <w:t> </w:t>
      </w:r>
      <w:r>
        <w:rPr>
          <w:sz w:val="14"/>
        </w:rPr>
        <w:t>which</w:t>
      </w:r>
      <w:r>
        <w:rPr>
          <w:spacing w:val="-9"/>
          <w:sz w:val="14"/>
        </w:rPr>
        <w:t> </w:t>
      </w:r>
      <w:r>
        <w:rPr>
          <w:sz w:val="14"/>
        </w:rPr>
        <w:t>the service is received from employees, including bonuses earned but not yet</w:t>
      </w:r>
      <w:r>
        <w:rPr>
          <w:spacing w:val="-29"/>
          <w:sz w:val="14"/>
        </w:rPr>
        <w:t> </w:t>
      </w:r>
      <w:r>
        <w:rPr>
          <w:sz w:val="14"/>
        </w:rPr>
        <w:t>taken.</w:t>
      </w:r>
    </w:p>
    <w:p>
      <w:pPr>
        <w:spacing w:line="256" w:lineRule="auto" w:before="1"/>
        <w:ind w:left="704" w:right="604" w:firstLine="0"/>
        <w:jc w:val="left"/>
        <w:rPr>
          <w:sz w:val="14"/>
        </w:rPr>
      </w:pPr>
      <w:r>
        <w:rPr>
          <w:sz w:val="14"/>
        </w:rPr>
        <w:t>The</w:t>
      </w:r>
      <w:r>
        <w:rPr>
          <w:spacing w:val="-11"/>
          <w:sz w:val="14"/>
        </w:rPr>
        <w:t> </w:t>
      </w:r>
      <w:r>
        <w:rPr>
          <w:sz w:val="14"/>
        </w:rPr>
        <w:t>cost</w:t>
      </w:r>
      <w:r>
        <w:rPr>
          <w:spacing w:val="-6"/>
          <w:sz w:val="14"/>
        </w:rPr>
        <w:t> </w:t>
      </w:r>
      <w:r>
        <w:rPr>
          <w:sz w:val="14"/>
        </w:rPr>
        <w:t>of</w:t>
      </w:r>
      <w:r>
        <w:rPr>
          <w:spacing w:val="-8"/>
          <w:sz w:val="14"/>
        </w:rPr>
        <w:t> </w:t>
      </w:r>
      <w:r>
        <w:rPr>
          <w:sz w:val="14"/>
        </w:rPr>
        <w:t>leave</w:t>
      </w:r>
      <w:r>
        <w:rPr>
          <w:spacing w:val="-8"/>
          <w:sz w:val="14"/>
        </w:rPr>
        <w:t> </w:t>
      </w:r>
      <w:r>
        <w:rPr>
          <w:sz w:val="14"/>
        </w:rPr>
        <w:t>earned</w:t>
      </w:r>
      <w:r>
        <w:rPr>
          <w:spacing w:val="-8"/>
          <w:sz w:val="14"/>
        </w:rPr>
        <w:t> </w:t>
      </w:r>
      <w:r>
        <w:rPr>
          <w:sz w:val="14"/>
        </w:rPr>
        <w:t>but</w:t>
      </w:r>
      <w:r>
        <w:rPr>
          <w:spacing w:val="-8"/>
          <w:sz w:val="14"/>
        </w:rPr>
        <w:t> </w:t>
      </w:r>
      <w:r>
        <w:rPr>
          <w:sz w:val="14"/>
        </w:rPr>
        <w:t>not</w:t>
      </w:r>
      <w:r>
        <w:rPr>
          <w:spacing w:val="-8"/>
          <w:sz w:val="14"/>
        </w:rPr>
        <w:t> </w:t>
      </w:r>
      <w:r>
        <w:rPr>
          <w:sz w:val="14"/>
        </w:rPr>
        <w:t>taken</w:t>
      </w:r>
      <w:r>
        <w:rPr>
          <w:spacing w:val="-6"/>
          <w:sz w:val="14"/>
        </w:rPr>
        <w:t> </w:t>
      </w:r>
      <w:r>
        <w:rPr>
          <w:sz w:val="14"/>
        </w:rPr>
        <w:t>by</w:t>
      </w:r>
      <w:r>
        <w:rPr>
          <w:spacing w:val="-9"/>
          <w:sz w:val="14"/>
        </w:rPr>
        <w:t> </w:t>
      </w:r>
      <w:r>
        <w:rPr>
          <w:sz w:val="14"/>
        </w:rPr>
        <w:t>employees</w:t>
      </w:r>
      <w:r>
        <w:rPr>
          <w:spacing w:val="-8"/>
          <w:sz w:val="14"/>
        </w:rPr>
        <w:t> </w:t>
      </w:r>
      <w:r>
        <w:rPr>
          <w:sz w:val="14"/>
        </w:rPr>
        <w:t>at</w:t>
      </w:r>
      <w:r>
        <w:rPr>
          <w:spacing w:val="-6"/>
          <w:sz w:val="14"/>
        </w:rPr>
        <w:t> </w:t>
      </w:r>
      <w:r>
        <w:rPr>
          <w:sz w:val="14"/>
        </w:rPr>
        <w:t>the</w:t>
      </w:r>
      <w:r>
        <w:rPr>
          <w:spacing w:val="-8"/>
          <w:sz w:val="14"/>
        </w:rPr>
        <w:t> </w:t>
      </w:r>
      <w:r>
        <w:rPr>
          <w:sz w:val="14"/>
        </w:rPr>
        <w:t>end</w:t>
      </w:r>
      <w:r>
        <w:rPr>
          <w:spacing w:val="-8"/>
          <w:sz w:val="14"/>
        </w:rPr>
        <w:t> </w:t>
      </w:r>
      <w:r>
        <w:rPr>
          <w:sz w:val="14"/>
        </w:rPr>
        <w:t>of</w:t>
      </w:r>
      <w:r>
        <w:rPr>
          <w:spacing w:val="-8"/>
          <w:sz w:val="14"/>
        </w:rPr>
        <w:t> </w:t>
      </w:r>
      <w:r>
        <w:rPr>
          <w:sz w:val="14"/>
        </w:rPr>
        <w:t>the</w:t>
      </w:r>
      <w:r>
        <w:rPr>
          <w:spacing w:val="-8"/>
          <w:sz w:val="14"/>
        </w:rPr>
        <w:t> </w:t>
      </w:r>
      <w:r>
        <w:rPr>
          <w:sz w:val="14"/>
        </w:rPr>
        <w:t>period</w:t>
      </w:r>
      <w:r>
        <w:rPr>
          <w:spacing w:val="-9"/>
          <w:sz w:val="14"/>
        </w:rPr>
        <w:t> </w:t>
      </w:r>
      <w:r>
        <w:rPr>
          <w:sz w:val="14"/>
        </w:rPr>
        <w:t>is</w:t>
      </w:r>
      <w:r>
        <w:rPr>
          <w:spacing w:val="-5"/>
          <w:sz w:val="14"/>
        </w:rPr>
        <w:t> </w:t>
      </w:r>
      <w:r>
        <w:rPr>
          <w:sz w:val="14"/>
        </w:rPr>
        <w:t>recognised</w:t>
      </w:r>
      <w:r>
        <w:rPr>
          <w:spacing w:val="-10"/>
          <w:sz w:val="14"/>
        </w:rPr>
        <w:t> </w:t>
      </w:r>
      <w:r>
        <w:rPr>
          <w:sz w:val="14"/>
        </w:rPr>
        <w:t>in</w:t>
      </w:r>
      <w:r>
        <w:rPr>
          <w:spacing w:val="-8"/>
          <w:sz w:val="14"/>
        </w:rPr>
        <w:t> </w:t>
      </w:r>
      <w:r>
        <w:rPr>
          <w:sz w:val="14"/>
        </w:rPr>
        <w:t>the</w:t>
      </w:r>
      <w:r>
        <w:rPr>
          <w:spacing w:val="-8"/>
          <w:sz w:val="14"/>
        </w:rPr>
        <w:t> </w:t>
      </w:r>
      <w:r>
        <w:rPr>
          <w:sz w:val="14"/>
        </w:rPr>
        <w:t>financial</w:t>
      </w:r>
      <w:r>
        <w:rPr>
          <w:spacing w:val="-8"/>
          <w:sz w:val="14"/>
        </w:rPr>
        <w:t> </w:t>
      </w:r>
      <w:r>
        <w:rPr>
          <w:sz w:val="14"/>
        </w:rPr>
        <w:t>statements</w:t>
      </w:r>
      <w:r>
        <w:rPr>
          <w:spacing w:val="-8"/>
          <w:sz w:val="14"/>
        </w:rPr>
        <w:t> </w:t>
      </w:r>
      <w:r>
        <w:rPr>
          <w:sz w:val="14"/>
        </w:rPr>
        <w:t>to</w:t>
      </w:r>
      <w:r>
        <w:rPr>
          <w:spacing w:val="-8"/>
          <w:sz w:val="14"/>
        </w:rPr>
        <w:t> </w:t>
      </w:r>
      <w:r>
        <w:rPr>
          <w:sz w:val="14"/>
        </w:rPr>
        <w:t>the</w:t>
      </w:r>
      <w:r>
        <w:rPr>
          <w:spacing w:val="-8"/>
          <w:sz w:val="14"/>
        </w:rPr>
        <w:t> </w:t>
      </w:r>
      <w:r>
        <w:rPr>
          <w:sz w:val="14"/>
        </w:rPr>
        <w:t>extent</w:t>
      </w:r>
      <w:r>
        <w:rPr>
          <w:spacing w:val="-6"/>
          <w:sz w:val="14"/>
        </w:rPr>
        <w:t> </w:t>
      </w:r>
      <w:r>
        <w:rPr>
          <w:sz w:val="14"/>
        </w:rPr>
        <w:t>that</w:t>
      </w:r>
      <w:r>
        <w:rPr>
          <w:spacing w:val="-8"/>
          <w:sz w:val="14"/>
        </w:rPr>
        <w:t> </w:t>
      </w:r>
      <w:r>
        <w:rPr>
          <w:sz w:val="14"/>
        </w:rPr>
        <w:t>employees</w:t>
      </w:r>
      <w:r>
        <w:rPr>
          <w:spacing w:val="-5"/>
          <w:sz w:val="14"/>
        </w:rPr>
        <w:t> </w:t>
      </w:r>
      <w:r>
        <w:rPr>
          <w:sz w:val="14"/>
        </w:rPr>
        <w:t>are permitted to</w:t>
      </w:r>
      <w:r>
        <w:rPr>
          <w:spacing w:val="-2"/>
          <w:sz w:val="14"/>
        </w:rPr>
        <w:t> </w:t>
      </w:r>
      <w:r>
        <w:rPr>
          <w:sz w:val="14"/>
        </w:rPr>
        <w:t>carry</w:t>
      </w:r>
      <w:r>
        <w:rPr>
          <w:spacing w:val="-1"/>
          <w:sz w:val="14"/>
        </w:rPr>
        <w:t> </w:t>
      </w:r>
      <w:r>
        <w:rPr>
          <w:sz w:val="14"/>
        </w:rPr>
        <w:t>forward</w:t>
      </w:r>
      <w:r>
        <w:rPr>
          <w:spacing w:val="-2"/>
          <w:sz w:val="14"/>
        </w:rPr>
        <w:t> </w:t>
      </w:r>
      <w:r>
        <w:rPr>
          <w:sz w:val="14"/>
        </w:rPr>
        <w:t>leave</w:t>
      </w:r>
      <w:r>
        <w:rPr>
          <w:spacing w:val="-2"/>
          <w:sz w:val="14"/>
        </w:rPr>
        <w:t> </w:t>
      </w:r>
      <w:r>
        <w:rPr>
          <w:sz w:val="14"/>
        </w:rPr>
        <w:t>into</w:t>
      </w:r>
      <w:r>
        <w:rPr>
          <w:spacing w:val="-2"/>
          <w:sz w:val="14"/>
        </w:rPr>
        <w:t> </w:t>
      </w:r>
      <w:r>
        <w:rPr>
          <w:sz w:val="14"/>
        </w:rPr>
        <w:t>the</w:t>
      </w:r>
      <w:r>
        <w:rPr>
          <w:spacing w:val="-2"/>
          <w:sz w:val="14"/>
        </w:rPr>
        <w:t> </w:t>
      </w:r>
      <w:r>
        <w:rPr>
          <w:sz w:val="14"/>
        </w:rPr>
        <w:t>following</w:t>
      </w:r>
      <w:r>
        <w:rPr>
          <w:spacing w:val="-24"/>
          <w:sz w:val="14"/>
        </w:rPr>
        <w:t> </w:t>
      </w:r>
      <w:r>
        <w:rPr>
          <w:sz w:val="14"/>
        </w:rPr>
        <w:t>period.</w:t>
      </w:r>
    </w:p>
    <w:p>
      <w:pPr>
        <w:pStyle w:val="BodyText"/>
        <w:spacing w:before="4"/>
        <w:rPr>
          <w:sz w:val="15"/>
        </w:rPr>
      </w:pPr>
    </w:p>
    <w:p>
      <w:pPr>
        <w:pStyle w:val="ListParagraph"/>
        <w:numPr>
          <w:ilvl w:val="2"/>
          <w:numId w:val="18"/>
        </w:numPr>
        <w:tabs>
          <w:tab w:pos="705" w:val="left" w:leader="none"/>
        </w:tabs>
        <w:spacing w:line="240" w:lineRule="auto" w:before="0" w:after="0"/>
        <w:ind w:left="704" w:right="0" w:hanging="390"/>
        <w:jc w:val="left"/>
        <w:rPr>
          <w:b/>
          <w:sz w:val="14"/>
        </w:rPr>
      </w:pPr>
      <w:r>
        <w:rPr>
          <w:b/>
          <w:sz w:val="14"/>
        </w:rPr>
        <w:t>Retirement Benefit</w:t>
      </w:r>
      <w:r>
        <w:rPr>
          <w:b/>
          <w:spacing w:val="-10"/>
          <w:sz w:val="14"/>
        </w:rPr>
        <w:t> </w:t>
      </w:r>
      <w:r>
        <w:rPr>
          <w:b/>
          <w:sz w:val="14"/>
        </w:rPr>
        <w:t>Costs</w:t>
      </w:r>
    </w:p>
    <w:p>
      <w:pPr>
        <w:spacing w:line="256" w:lineRule="auto" w:before="7"/>
        <w:ind w:left="703" w:right="604" w:firstLine="1"/>
        <w:jc w:val="left"/>
        <w:rPr>
          <w:sz w:val="14"/>
        </w:rPr>
      </w:pPr>
      <w:r>
        <w:rPr>
          <w:sz w:val="14"/>
        </w:rPr>
        <w:t>Past</w:t>
      </w:r>
      <w:r>
        <w:rPr>
          <w:spacing w:val="-9"/>
          <w:sz w:val="14"/>
        </w:rPr>
        <w:t> </w:t>
      </w:r>
      <w:r>
        <w:rPr>
          <w:sz w:val="14"/>
        </w:rPr>
        <w:t>and</w:t>
      </w:r>
      <w:r>
        <w:rPr>
          <w:spacing w:val="-8"/>
          <w:sz w:val="14"/>
        </w:rPr>
        <w:t> </w:t>
      </w:r>
      <w:r>
        <w:rPr>
          <w:sz w:val="14"/>
        </w:rPr>
        <w:t>present</w:t>
      </w:r>
      <w:r>
        <w:rPr>
          <w:spacing w:val="-6"/>
          <w:sz w:val="14"/>
        </w:rPr>
        <w:t> </w:t>
      </w:r>
      <w:r>
        <w:rPr>
          <w:sz w:val="14"/>
        </w:rPr>
        <w:t>employees</w:t>
      </w:r>
      <w:r>
        <w:rPr>
          <w:spacing w:val="-6"/>
          <w:sz w:val="14"/>
        </w:rPr>
        <w:t> </w:t>
      </w:r>
      <w:r>
        <w:rPr>
          <w:sz w:val="14"/>
        </w:rPr>
        <w:t>are</w:t>
      </w:r>
      <w:r>
        <w:rPr>
          <w:spacing w:val="-11"/>
          <w:sz w:val="14"/>
        </w:rPr>
        <w:t> </w:t>
      </w:r>
      <w:r>
        <w:rPr>
          <w:sz w:val="14"/>
        </w:rPr>
        <w:t>covered</w:t>
      </w:r>
      <w:r>
        <w:rPr>
          <w:spacing w:val="-11"/>
          <w:sz w:val="14"/>
        </w:rPr>
        <w:t> </w:t>
      </w:r>
      <w:r>
        <w:rPr>
          <w:sz w:val="14"/>
        </w:rPr>
        <w:t>by</w:t>
      </w:r>
      <w:r>
        <w:rPr>
          <w:spacing w:val="-10"/>
          <w:sz w:val="14"/>
        </w:rPr>
        <w:t> </w:t>
      </w:r>
      <w:r>
        <w:rPr>
          <w:sz w:val="14"/>
        </w:rPr>
        <w:t>the</w:t>
      </w:r>
      <w:r>
        <w:rPr>
          <w:spacing w:val="-9"/>
          <w:sz w:val="14"/>
        </w:rPr>
        <w:t> </w:t>
      </w:r>
      <w:r>
        <w:rPr>
          <w:sz w:val="14"/>
        </w:rPr>
        <w:t>provisions</w:t>
      </w:r>
      <w:r>
        <w:rPr>
          <w:spacing w:val="-8"/>
          <w:sz w:val="14"/>
        </w:rPr>
        <w:t> </w:t>
      </w:r>
      <w:r>
        <w:rPr>
          <w:sz w:val="14"/>
        </w:rPr>
        <w:t>of</w:t>
      </w:r>
      <w:r>
        <w:rPr>
          <w:spacing w:val="-6"/>
          <w:sz w:val="14"/>
        </w:rPr>
        <w:t> </w:t>
      </w:r>
      <w:r>
        <w:rPr>
          <w:sz w:val="14"/>
        </w:rPr>
        <w:t>the</w:t>
      </w:r>
      <w:r>
        <w:rPr>
          <w:spacing w:val="-9"/>
          <w:sz w:val="14"/>
        </w:rPr>
        <w:t> </w:t>
      </w:r>
      <w:r>
        <w:rPr>
          <w:sz w:val="14"/>
        </w:rPr>
        <w:t>NHS</w:t>
      </w:r>
      <w:r>
        <w:rPr>
          <w:spacing w:val="-7"/>
          <w:sz w:val="14"/>
        </w:rPr>
        <w:t> </w:t>
      </w:r>
      <w:r>
        <w:rPr>
          <w:sz w:val="14"/>
        </w:rPr>
        <w:t>Pensions</w:t>
      </w:r>
      <w:r>
        <w:rPr>
          <w:spacing w:val="-8"/>
          <w:sz w:val="14"/>
        </w:rPr>
        <w:t> </w:t>
      </w:r>
      <w:r>
        <w:rPr>
          <w:sz w:val="14"/>
        </w:rPr>
        <w:t>Schemes.</w:t>
      </w:r>
      <w:r>
        <w:rPr>
          <w:spacing w:val="-10"/>
          <w:sz w:val="14"/>
        </w:rPr>
        <w:t> </w:t>
      </w:r>
      <w:r>
        <w:rPr>
          <w:sz w:val="14"/>
        </w:rPr>
        <w:t>These</w:t>
      </w:r>
      <w:r>
        <w:rPr>
          <w:spacing w:val="-9"/>
          <w:sz w:val="14"/>
        </w:rPr>
        <w:t> </w:t>
      </w:r>
      <w:r>
        <w:rPr>
          <w:sz w:val="14"/>
        </w:rPr>
        <w:t>schemes</w:t>
      </w:r>
      <w:r>
        <w:rPr>
          <w:spacing w:val="-8"/>
          <w:sz w:val="14"/>
        </w:rPr>
        <w:t> </w:t>
      </w:r>
      <w:r>
        <w:rPr>
          <w:sz w:val="14"/>
        </w:rPr>
        <w:t>are</w:t>
      </w:r>
      <w:r>
        <w:rPr>
          <w:spacing w:val="-9"/>
          <w:sz w:val="14"/>
        </w:rPr>
        <w:t> </w:t>
      </w:r>
      <w:r>
        <w:rPr>
          <w:sz w:val="14"/>
        </w:rPr>
        <w:t>unfunded,</w:t>
      </w:r>
      <w:r>
        <w:rPr>
          <w:spacing w:val="-8"/>
          <w:sz w:val="14"/>
        </w:rPr>
        <w:t> </w:t>
      </w:r>
      <w:r>
        <w:rPr>
          <w:sz w:val="14"/>
        </w:rPr>
        <w:t>defined</w:t>
      </w:r>
      <w:r>
        <w:rPr>
          <w:spacing w:val="-7"/>
          <w:sz w:val="14"/>
        </w:rPr>
        <w:t> </w:t>
      </w:r>
      <w:r>
        <w:rPr>
          <w:sz w:val="14"/>
        </w:rPr>
        <w:t>benefit</w:t>
      </w:r>
      <w:r>
        <w:rPr>
          <w:spacing w:val="-8"/>
          <w:sz w:val="14"/>
        </w:rPr>
        <w:t> </w:t>
      </w:r>
      <w:r>
        <w:rPr>
          <w:sz w:val="14"/>
        </w:rPr>
        <w:t>schemes</w:t>
      </w:r>
      <w:r>
        <w:rPr>
          <w:spacing w:val="-8"/>
          <w:sz w:val="14"/>
        </w:rPr>
        <w:t> </w:t>
      </w:r>
      <w:r>
        <w:rPr>
          <w:sz w:val="14"/>
        </w:rPr>
        <w:t>that cover</w:t>
      </w:r>
      <w:r>
        <w:rPr>
          <w:spacing w:val="-11"/>
          <w:sz w:val="14"/>
        </w:rPr>
        <w:t> </w:t>
      </w:r>
      <w:r>
        <w:rPr>
          <w:sz w:val="14"/>
        </w:rPr>
        <w:t>NHS</w:t>
      </w:r>
      <w:r>
        <w:rPr>
          <w:spacing w:val="-7"/>
          <w:sz w:val="14"/>
        </w:rPr>
        <w:t> </w:t>
      </w:r>
      <w:r>
        <w:rPr>
          <w:sz w:val="14"/>
        </w:rPr>
        <w:t>employers,</w:t>
      </w:r>
      <w:r>
        <w:rPr>
          <w:spacing w:val="-9"/>
          <w:sz w:val="14"/>
        </w:rPr>
        <w:t> </w:t>
      </w:r>
      <w:r>
        <w:rPr>
          <w:sz w:val="14"/>
        </w:rPr>
        <w:t>General</w:t>
      </w:r>
      <w:r>
        <w:rPr>
          <w:spacing w:val="-8"/>
          <w:sz w:val="14"/>
        </w:rPr>
        <w:t> </w:t>
      </w:r>
      <w:r>
        <w:rPr>
          <w:sz w:val="14"/>
        </w:rPr>
        <w:t>Practices</w:t>
      </w:r>
      <w:r>
        <w:rPr>
          <w:spacing w:val="-8"/>
          <w:sz w:val="14"/>
        </w:rPr>
        <w:t> </w:t>
      </w:r>
      <w:r>
        <w:rPr>
          <w:sz w:val="14"/>
        </w:rPr>
        <w:t>and</w:t>
      </w:r>
      <w:r>
        <w:rPr>
          <w:spacing w:val="-8"/>
          <w:sz w:val="14"/>
        </w:rPr>
        <w:t> </w:t>
      </w:r>
      <w:r>
        <w:rPr>
          <w:sz w:val="14"/>
        </w:rPr>
        <w:t>other</w:t>
      </w:r>
      <w:r>
        <w:rPr>
          <w:spacing w:val="-9"/>
          <w:sz w:val="14"/>
        </w:rPr>
        <w:t> </w:t>
      </w:r>
      <w:r>
        <w:rPr>
          <w:sz w:val="14"/>
        </w:rPr>
        <w:t>bodies</w:t>
      </w:r>
      <w:r>
        <w:rPr>
          <w:spacing w:val="-8"/>
          <w:sz w:val="14"/>
        </w:rPr>
        <w:t> </w:t>
      </w:r>
      <w:r>
        <w:rPr>
          <w:sz w:val="14"/>
        </w:rPr>
        <w:t>allowed</w:t>
      </w:r>
      <w:r>
        <w:rPr>
          <w:spacing w:val="-9"/>
          <w:sz w:val="14"/>
        </w:rPr>
        <w:t> </w:t>
      </w:r>
      <w:r>
        <w:rPr>
          <w:sz w:val="14"/>
        </w:rPr>
        <w:t>under</w:t>
      </w:r>
      <w:r>
        <w:rPr>
          <w:spacing w:val="-6"/>
          <w:sz w:val="14"/>
        </w:rPr>
        <w:t> </w:t>
      </w:r>
      <w:r>
        <w:rPr>
          <w:sz w:val="14"/>
        </w:rPr>
        <w:t>the</w:t>
      </w:r>
      <w:r>
        <w:rPr>
          <w:spacing w:val="-6"/>
          <w:sz w:val="14"/>
        </w:rPr>
        <w:t> </w:t>
      </w:r>
      <w:r>
        <w:rPr>
          <w:sz w:val="14"/>
        </w:rPr>
        <w:t>direction</w:t>
      </w:r>
      <w:r>
        <w:rPr>
          <w:spacing w:val="-9"/>
          <w:sz w:val="14"/>
        </w:rPr>
        <w:t> </w:t>
      </w:r>
      <w:r>
        <w:rPr>
          <w:sz w:val="14"/>
        </w:rPr>
        <w:t>of</w:t>
      </w:r>
      <w:r>
        <w:rPr>
          <w:spacing w:val="-6"/>
          <w:sz w:val="14"/>
        </w:rPr>
        <w:t> </w:t>
      </w:r>
      <w:r>
        <w:rPr>
          <w:sz w:val="14"/>
        </w:rPr>
        <w:t>the</w:t>
      </w:r>
      <w:r>
        <w:rPr>
          <w:spacing w:val="-8"/>
          <w:sz w:val="14"/>
        </w:rPr>
        <w:t> </w:t>
      </w:r>
      <w:r>
        <w:rPr>
          <w:sz w:val="14"/>
        </w:rPr>
        <w:t>Secretary</w:t>
      </w:r>
      <w:r>
        <w:rPr>
          <w:spacing w:val="-10"/>
          <w:sz w:val="14"/>
        </w:rPr>
        <w:t> </w:t>
      </w:r>
      <w:r>
        <w:rPr>
          <w:sz w:val="14"/>
        </w:rPr>
        <w:t>of</w:t>
      </w:r>
      <w:r>
        <w:rPr>
          <w:spacing w:val="-8"/>
          <w:sz w:val="14"/>
        </w:rPr>
        <w:t> </w:t>
      </w:r>
      <w:r>
        <w:rPr>
          <w:sz w:val="14"/>
        </w:rPr>
        <w:t>State</w:t>
      </w:r>
      <w:r>
        <w:rPr>
          <w:spacing w:val="-8"/>
          <w:sz w:val="14"/>
        </w:rPr>
        <w:t> </w:t>
      </w:r>
      <w:r>
        <w:rPr>
          <w:sz w:val="14"/>
        </w:rPr>
        <w:t>in</w:t>
      </w:r>
      <w:r>
        <w:rPr>
          <w:spacing w:val="-9"/>
          <w:sz w:val="14"/>
        </w:rPr>
        <w:t> </w:t>
      </w:r>
      <w:r>
        <w:rPr>
          <w:sz w:val="14"/>
        </w:rPr>
        <w:t>England</w:t>
      </w:r>
      <w:r>
        <w:rPr>
          <w:spacing w:val="-9"/>
          <w:sz w:val="14"/>
        </w:rPr>
        <w:t> </w:t>
      </w:r>
      <w:r>
        <w:rPr>
          <w:sz w:val="14"/>
        </w:rPr>
        <w:t>and</w:t>
      </w:r>
      <w:r>
        <w:rPr>
          <w:spacing w:val="-6"/>
          <w:sz w:val="14"/>
        </w:rPr>
        <w:t> </w:t>
      </w:r>
      <w:r>
        <w:rPr>
          <w:sz w:val="14"/>
        </w:rPr>
        <w:t>Wales.</w:t>
      </w:r>
      <w:r>
        <w:rPr>
          <w:spacing w:val="-11"/>
          <w:sz w:val="14"/>
        </w:rPr>
        <w:t> </w:t>
      </w:r>
      <w:r>
        <w:rPr>
          <w:sz w:val="14"/>
        </w:rPr>
        <w:t>The</w:t>
      </w:r>
      <w:r>
        <w:rPr>
          <w:spacing w:val="-8"/>
          <w:sz w:val="14"/>
        </w:rPr>
        <w:t> </w:t>
      </w:r>
      <w:r>
        <w:rPr>
          <w:sz w:val="14"/>
        </w:rPr>
        <w:t>schemes</w:t>
      </w:r>
      <w:r>
        <w:rPr>
          <w:spacing w:val="-6"/>
          <w:sz w:val="14"/>
        </w:rPr>
        <w:t> </w:t>
      </w:r>
      <w:r>
        <w:rPr>
          <w:sz w:val="14"/>
        </w:rPr>
        <w:t>are not designed to be run in a way that would enable NHS bodies to identify their share of the underlying scheme assets and liabilities. Therefore, the schemes</w:t>
      </w:r>
      <w:r>
        <w:rPr>
          <w:spacing w:val="-7"/>
          <w:sz w:val="14"/>
        </w:rPr>
        <w:t> </w:t>
      </w:r>
      <w:r>
        <w:rPr>
          <w:sz w:val="14"/>
        </w:rPr>
        <w:t>are</w:t>
      </w:r>
      <w:r>
        <w:rPr>
          <w:spacing w:val="-9"/>
          <w:sz w:val="14"/>
        </w:rPr>
        <w:t> </w:t>
      </w:r>
      <w:r>
        <w:rPr>
          <w:sz w:val="14"/>
        </w:rPr>
        <w:t>accounted</w:t>
      </w:r>
      <w:r>
        <w:rPr>
          <w:spacing w:val="-12"/>
          <w:sz w:val="14"/>
        </w:rPr>
        <w:t> </w:t>
      </w:r>
      <w:r>
        <w:rPr>
          <w:sz w:val="14"/>
        </w:rPr>
        <w:t>for</w:t>
      </w:r>
      <w:r>
        <w:rPr>
          <w:spacing w:val="-9"/>
          <w:sz w:val="14"/>
        </w:rPr>
        <w:t> </w:t>
      </w:r>
      <w:r>
        <w:rPr>
          <w:sz w:val="14"/>
        </w:rPr>
        <w:t>as</w:t>
      </w:r>
      <w:r>
        <w:rPr>
          <w:spacing w:val="-8"/>
          <w:sz w:val="14"/>
        </w:rPr>
        <w:t> </w:t>
      </w:r>
      <w:r>
        <w:rPr>
          <w:sz w:val="14"/>
        </w:rPr>
        <w:t>if</w:t>
      </w:r>
      <w:r>
        <w:rPr>
          <w:spacing w:val="-11"/>
          <w:sz w:val="14"/>
        </w:rPr>
        <w:t> </w:t>
      </w:r>
      <w:r>
        <w:rPr>
          <w:sz w:val="14"/>
        </w:rPr>
        <w:t>they</w:t>
      </w:r>
      <w:r>
        <w:rPr>
          <w:spacing w:val="-13"/>
          <w:sz w:val="14"/>
        </w:rPr>
        <w:t> </w:t>
      </w:r>
      <w:r>
        <w:rPr>
          <w:sz w:val="14"/>
        </w:rPr>
        <w:t>were</w:t>
      </w:r>
      <w:r>
        <w:rPr>
          <w:spacing w:val="-8"/>
          <w:sz w:val="14"/>
        </w:rPr>
        <w:t> </w:t>
      </w:r>
      <w:r>
        <w:rPr>
          <w:sz w:val="14"/>
        </w:rPr>
        <w:t>a</w:t>
      </w:r>
      <w:r>
        <w:rPr>
          <w:spacing w:val="-9"/>
          <w:sz w:val="14"/>
        </w:rPr>
        <w:t> </w:t>
      </w:r>
      <w:r>
        <w:rPr>
          <w:sz w:val="14"/>
        </w:rPr>
        <w:t>defined</w:t>
      </w:r>
      <w:r>
        <w:rPr>
          <w:spacing w:val="-8"/>
          <w:sz w:val="14"/>
        </w:rPr>
        <w:t> </w:t>
      </w:r>
      <w:r>
        <w:rPr>
          <w:sz w:val="14"/>
        </w:rPr>
        <w:t>contribution</w:t>
      </w:r>
      <w:r>
        <w:rPr>
          <w:spacing w:val="-9"/>
          <w:sz w:val="14"/>
        </w:rPr>
        <w:t> </w:t>
      </w:r>
      <w:r>
        <w:rPr>
          <w:sz w:val="14"/>
        </w:rPr>
        <w:t>scheme;</w:t>
      </w:r>
      <w:r>
        <w:rPr>
          <w:spacing w:val="-8"/>
          <w:sz w:val="14"/>
        </w:rPr>
        <w:t> </w:t>
      </w:r>
      <w:r>
        <w:rPr>
          <w:sz w:val="14"/>
        </w:rPr>
        <w:t>the</w:t>
      </w:r>
      <w:r>
        <w:rPr>
          <w:spacing w:val="-11"/>
          <w:sz w:val="14"/>
        </w:rPr>
        <w:t> </w:t>
      </w:r>
      <w:r>
        <w:rPr>
          <w:sz w:val="14"/>
        </w:rPr>
        <w:t>cost</w:t>
      </w:r>
      <w:r>
        <w:rPr>
          <w:spacing w:val="-9"/>
          <w:sz w:val="14"/>
        </w:rPr>
        <w:t> </w:t>
      </w:r>
      <w:r>
        <w:rPr>
          <w:sz w:val="14"/>
        </w:rPr>
        <w:t>recognised</w:t>
      </w:r>
      <w:r>
        <w:rPr>
          <w:spacing w:val="-9"/>
          <w:sz w:val="14"/>
        </w:rPr>
        <w:t> </w:t>
      </w:r>
      <w:r>
        <w:rPr>
          <w:sz w:val="14"/>
        </w:rPr>
        <w:t>in</w:t>
      </w:r>
      <w:r>
        <w:rPr>
          <w:spacing w:val="-9"/>
          <w:sz w:val="14"/>
        </w:rPr>
        <w:t> </w:t>
      </w:r>
      <w:r>
        <w:rPr>
          <w:sz w:val="14"/>
        </w:rPr>
        <w:t>these</w:t>
      </w:r>
      <w:r>
        <w:rPr>
          <w:spacing w:val="-6"/>
          <w:sz w:val="14"/>
        </w:rPr>
        <w:t> </w:t>
      </w:r>
      <w:r>
        <w:rPr>
          <w:sz w:val="14"/>
        </w:rPr>
        <w:t>accounts</w:t>
      </w:r>
      <w:r>
        <w:rPr>
          <w:spacing w:val="-9"/>
          <w:sz w:val="14"/>
        </w:rPr>
        <w:t> </w:t>
      </w:r>
      <w:r>
        <w:rPr>
          <w:sz w:val="14"/>
        </w:rPr>
        <w:t>represents</w:t>
      </w:r>
      <w:r>
        <w:rPr>
          <w:spacing w:val="-8"/>
          <w:sz w:val="14"/>
        </w:rPr>
        <w:t> </w:t>
      </w:r>
      <w:r>
        <w:rPr>
          <w:sz w:val="14"/>
        </w:rPr>
        <w:t>the</w:t>
      </w:r>
      <w:r>
        <w:rPr>
          <w:spacing w:val="-8"/>
          <w:sz w:val="14"/>
        </w:rPr>
        <w:t> </w:t>
      </w:r>
      <w:r>
        <w:rPr>
          <w:sz w:val="14"/>
        </w:rPr>
        <w:t>contributions</w:t>
      </w:r>
      <w:r>
        <w:rPr>
          <w:spacing w:val="-9"/>
          <w:sz w:val="14"/>
        </w:rPr>
        <w:t> </w:t>
      </w:r>
      <w:r>
        <w:rPr>
          <w:sz w:val="14"/>
        </w:rPr>
        <w:t>payable</w:t>
      </w:r>
      <w:r>
        <w:rPr>
          <w:spacing w:val="-8"/>
          <w:sz w:val="14"/>
        </w:rPr>
        <w:t> </w:t>
      </w:r>
      <w:r>
        <w:rPr>
          <w:sz w:val="14"/>
        </w:rPr>
        <w:t>for the</w:t>
      </w:r>
      <w:r>
        <w:rPr>
          <w:spacing w:val="-8"/>
          <w:sz w:val="14"/>
        </w:rPr>
        <w:t> </w:t>
      </w:r>
      <w:r>
        <w:rPr>
          <w:sz w:val="14"/>
        </w:rPr>
        <w:t>year.</w:t>
      </w:r>
      <w:r>
        <w:rPr>
          <w:spacing w:val="-7"/>
          <w:sz w:val="14"/>
        </w:rPr>
        <w:t> </w:t>
      </w:r>
      <w:r>
        <w:rPr>
          <w:sz w:val="14"/>
        </w:rPr>
        <w:t>Details</w:t>
      </w:r>
      <w:r>
        <w:rPr>
          <w:spacing w:val="-6"/>
          <w:sz w:val="14"/>
        </w:rPr>
        <w:t> </w:t>
      </w:r>
      <w:r>
        <w:rPr>
          <w:sz w:val="14"/>
        </w:rPr>
        <w:t>of</w:t>
      </w:r>
      <w:r>
        <w:rPr>
          <w:spacing w:val="-7"/>
          <w:sz w:val="14"/>
        </w:rPr>
        <w:t> </w:t>
      </w:r>
      <w:r>
        <w:rPr>
          <w:sz w:val="14"/>
        </w:rPr>
        <w:t>the</w:t>
      </w:r>
      <w:r>
        <w:rPr>
          <w:spacing w:val="-5"/>
          <w:sz w:val="14"/>
        </w:rPr>
        <w:t> </w:t>
      </w:r>
      <w:r>
        <w:rPr>
          <w:sz w:val="14"/>
        </w:rPr>
        <w:t>benefits</w:t>
      </w:r>
      <w:r>
        <w:rPr>
          <w:spacing w:val="-8"/>
          <w:sz w:val="14"/>
        </w:rPr>
        <w:t> </w:t>
      </w:r>
      <w:r>
        <w:rPr>
          <w:sz w:val="14"/>
        </w:rPr>
        <w:t>payable</w:t>
      </w:r>
      <w:r>
        <w:rPr>
          <w:spacing w:val="-5"/>
          <w:sz w:val="14"/>
        </w:rPr>
        <w:t> </w:t>
      </w:r>
      <w:r>
        <w:rPr>
          <w:sz w:val="14"/>
        </w:rPr>
        <w:t>under</w:t>
      </w:r>
      <w:r>
        <w:rPr>
          <w:spacing w:val="-6"/>
          <w:sz w:val="14"/>
        </w:rPr>
        <w:t> </w:t>
      </w:r>
      <w:r>
        <w:rPr>
          <w:sz w:val="14"/>
        </w:rPr>
        <w:t>these</w:t>
      </w:r>
      <w:r>
        <w:rPr>
          <w:spacing w:val="-5"/>
          <w:sz w:val="14"/>
        </w:rPr>
        <w:t> </w:t>
      </w:r>
      <w:r>
        <w:rPr>
          <w:sz w:val="14"/>
        </w:rPr>
        <w:t>provisions</w:t>
      </w:r>
      <w:r>
        <w:rPr>
          <w:spacing w:val="-4"/>
          <w:sz w:val="14"/>
        </w:rPr>
        <w:t> </w:t>
      </w:r>
      <w:r>
        <w:rPr>
          <w:sz w:val="14"/>
        </w:rPr>
        <w:t>can</w:t>
      </w:r>
      <w:r>
        <w:rPr>
          <w:spacing w:val="-6"/>
          <w:sz w:val="14"/>
        </w:rPr>
        <w:t> </w:t>
      </w:r>
      <w:r>
        <w:rPr>
          <w:sz w:val="14"/>
        </w:rPr>
        <w:t>be</w:t>
      </w:r>
      <w:r>
        <w:rPr>
          <w:spacing w:val="-5"/>
          <w:sz w:val="14"/>
        </w:rPr>
        <w:t> </w:t>
      </w:r>
      <w:r>
        <w:rPr>
          <w:sz w:val="14"/>
        </w:rPr>
        <w:t>found</w:t>
      </w:r>
      <w:r>
        <w:rPr>
          <w:spacing w:val="-8"/>
          <w:sz w:val="14"/>
        </w:rPr>
        <w:t> </w:t>
      </w:r>
      <w:r>
        <w:rPr>
          <w:sz w:val="14"/>
        </w:rPr>
        <w:t>on</w:t>
      </w:r>
      <w:r>
        <w:rPr>
          <w:spacing w:val="-7"/>
          <w:sz w:val="14"/>
        </w:rPr>
        <w:t> </w:t>
      </w:r>
      <w:r>
        <w:rPr>
          <w:sz w:val="14"/>
        </w:rPr>
        <w:t>the</w:t>
      </w:r>
      <w:r>
        <w:rPr>
          <w:spacing w:val="-5"/>
          <w:sz w:val="14"/>
        </w:rPr>
        <w:t> </w:t>
      </w:r>
      <w:r>
        <w:rPr>
          <w:sz w:val="14"/>
        </w:rPr>
        <w:t>NHS</w:t>
      </w:r>
      <w:r>
        <w:rPr>
          <w:spacing w:val="-5"/>
          <w:sz w:val="14"/>
        </w:rPr>
        <w:t> </w:t>
      </w:r>
      <w:r>
        <w:rPr>
          <w:sz w:val="14"/>
        </w:rPr>
        <w:t>Pensions</w:t>
      </w:r>
      <w:r>
        <w:rPr>
          <w:spacing w:val="-7"/>
          <w:sz w:val="14"/>
        </w:rPr>
        <w:t> </w:t>
      </w:r>
      <w:r>
        <w:rPr>
          <w:sz w:val="14"/>
        </w:rPr>
        <w:t>website</w:t>
      </w:r>
      <w:r>
        <w:rPr>
          <w:spacing w:val="-6"/>
          <w:sz w:val="14"/>
        </w:rPr>
        <w:t> </w:t>
      </w:r>
      <w:r>
        <w:rPr>
          <w:sz w:val="14"/>
        </w:rPr>
        <w:t>at</w:t>
      </w:r>
      <w:r>
        <w:rPr>
          <w:spacing w:val="-5"/>
          <w:sz w:val="14"/>
        </w:rPr>
        <w:t> </w:t>
      </w:r>
      <w:hyperlink r:id="rId49">
        <w:r>
          <w:rPr>
            <w:sz w:val="14"/>
          </w:rPr>
          <w:t>www.nhsbsa.nhs.uk/pensions.</w:t>
        </w:r>
      </w:hyperlink>
    </w:p>
    <w:p>
      <w:pPr>
        <w:spacing w:after="0" w:line="256" w:lineRule="auto"/>
        <w:jc w:val="left"/>
        <w:rPr>
          <w:sz w:val="14"/>
        </w:rPr>
        <w:sectPr>
          <w:pgSz w:w="11920" w:h="16850"/>
          <w:pgMar w:header="0" w:footer="407" w:top="1000" w:bottom="640" w:left="740" w:right="520"/>
        </w:sectPr>
      </w:pPr>
    </w:p>
    <w:p>
      <w:pPr>
        <w:spacing w:before="75"/>
        <w:ind w:left="318" w:right="0" w:firstLine="0"/>
        <w:jc w:val="left"/>
        <w:rPr>
          <w:sz w:val="14"/>
        </w:rPr>
      </w:pPr>
      <w:r>
        <w:rPr>
          <w:sz w:val="14"/>
        </w:rPr>
        <w:t>NHS North Lincolnshire CCG - Annual Accounts 2021-22</w:t>
      </w:r>
    </w:p>
    <w:p>
      <w:pPr>
        <w:pStyle w:val="BodyText"/>
        <w:rPr>
          <w:sz w:val="16"/>
        </w:rPr>
      </w:pPr>
    </w:p>
    <w:p>
      <w:pPr>
        <w:spacing w:before="0"/>
        <w:ind w:left="318" w:right="0" w:firstLine="0"/>
        <w:jc w:val="left"/>
        <w:rPr>
          <w:b/>
          <w:sz w:val="14"/>
        </w:rPr>
      </w:pPr>
      <w:r>
        <w:rPr>
          <w:b/>
          <w:sz w:val="14"/>
        </w:rPr>
        <w:t>Notes to the financial statements</w:t>
      </w:r>
    </w:p>
    <w:p>
      <w:pPr>
        <w:pStyle w:val="BodyText"/>
        <w:spacing w:before="3"/>
        <w:rPr>
          <w:b/>
          <w:sz w:val="16"/>
        </w:rPr>
      </w:pPr>
    </w:p>
    <w:p>
      <w:pPr>
        <w:spacing w:line="256" w:lineRule="auto" w:before="0"/>
        <w:ind w:left="704" w:right="604" w:firstLine="0"/>
        <w:jc w:val="left"/>
        <w:rPr>
          <w:sz w:val="14"/>
        </w:rPr>
      </w:pPr>
      <w:r>
        <w:rPr>
          <w:sz w:val="14"/>
        </w:rPr>
        <w:t>For</w:t>
      </w:r>
      <w:r>
        <w:rPr>
          <w:spacing w:val="-9"/>
          <w:sz w:val="14"/>
        </w:rPr>
        <w:t> </w:t>
      </w:r>
      <w:r>
        <w:rPr>
          <w:sz w:val="14"/>
        </w:rPr>
        <w:t>early</w:t>
      </w:r>
      <w:r>
        <w:rPr>
          <w:spacing w:val="-10"/>
          <w:sz w:val="14"/>
        </w:rPr>
        <w:t> </w:t>
      </w:r>
      <w:r>
        <w:rPr>
          <w:sz w:val="14"/>
        </w:rPr>
        <w:t>retirements</w:t>
      </w:r>
      <w:r>
        <w:rPr>
          <w:spacing w:val="-8"/>
          <w:sz w:val="14"/>
        </w:rPr>
        <w:t> </w:t>
      </w:r>
      <w:r>
        <w:rPr>
          <w:sz w:val="14"/>
        </w:rPr>
        <w:t>other</w:t>
      </w:r>
      <w:r>
        <w:rPr>
          <w:spacing w:val="-9"/>
          <w:sz w:val="14"/>
        </w:rPr>
        <w:t> </w:t>
      </w:r>
      <w:r>
        <w:rPr>
          <w:sz w:val="14"/>
        </w:rPr>
        <w:t>than</w:t>
      </w:r>
      <w:r>
        <w:rPr>
          <w:spacing w:val="-8"/>
          <w:sz w:val="14"/>
        </w:rPr>
        <w:t> </w:t>
      </w:r>
      <w:r>
        <w:rPr>
          <w:sz w:val="14"/>
        </w:rPr>
        <w:t>those</w:t>
      </w:r>
      <w:r>
        <w:rPr>
          <w:spacing w:val="-7"/>
          <w:sz w:val="14"/>
        </w:rPr>
        <w:t> </w:t>
      </w:r>
      <w:r>
        <w:rPr>
          <w:sz w:val="14"/>
        </w:rPr>
        <w:t>due</w:t>
      </w:r>
      <w:r>
        <w:rPr>
          <w:spacing w:val="-8"/>
          <w:sz w:val="14"/>
        </w:rPr>
        <w:t> </w:t>
      </w:r>
      <w:r>
        <w:rPr>
          <w:sz w:val="14"/>
        </w:rPr>
        <w:t>to</w:t>
      </w:r>
      <w:r>
        <w:rPr>
          <w:spacing w:val="-8"/>
          <w:sz w:val="14"/>
        </w:rPr>
        <w:t> </w:t>
      </w:r>
      <w:r>
        <w:rPr>
          <w:sz w:val="14"/>
        </w:rPr>
        <w:t>ill</w:t>
      </w:r>
      <w:r>
        <w:rPr>
          <w:spacing w:val="-5"/>
          <w:sz w:val="14"/>
        </w:rPr>
        <w:t> </w:t>
      </w:r>
      <w:r>
        <w:rPr>
          <w:sz w:val="14"/>
        </w:rPr>
        <w:t>health</w:t>
      </w:r>
      <w:r>
        <w:rPr>
          <w:spacing w:val="-8"/>
          <w:sz w:val="14"/>
        </w:rPr>
        <w:t> </w:t>
      </w:r>
      <w:r>
        <w:rPr>
          <w:sz w:val="14"/>
        </w:rPr>
        <w:t>the</w:t>
      </w:r>
      <w:r>
        <w:rPr>
          <w:spacing w:val="-6"/>
          <w:sz w:val="14"/>
        </w:rPr>
        <w:t> </w:t>
      </w:r>
      <w:r>
        <w:rPr>
          <w:sz w:val="14"/>
        </w:rPr>
        <w:t>additional</w:t>
      </w:r>
      <w:r>
        <w:rPr>
          <w:spacing w:val="-8"/>
          <w:sz w:val="14"/>
        </w:rPr>
        <w:t> </w:t>
      </w:r>
      <w:r>
        <w:rPr>
          <w:sz w:val="14"/>
        </w:rPr>
        <w:t>pension</w:t>
      </w:r>
      <w:r>
        <w:rPr>
          <w:spacing w:val="-8"/>
          <w:sz w:val="14"/>
        </w:rPr>
        <w:t> </w:t>
      </w:r>
      <w:r>
        <w:rPr>
          <w:sz w:val="14"/>
        </w:rPr>
        <w:t>liabilities</w:t>
      </w:r>
      <w:r>
        <w:rPr>
          <w:spacing w:val="-6"/>
          <w:sz w:val="14"/>
        </w:rPr>
        <w:t> </w:t>
      </w:r>
      <w:r>
        <w:rPr>
          <w:sz w:val="14"/>
        </w:rPr>
        <w:t>are</w:t>
      </w:r>
      <w:r>
        <w:rPr>
          <w:spacing w:val="-8"/>
          <w:sz w:val="14"/>
        </w:rPr>
        <w:t> </w:t>
      </w:r>
      <w:r>
        <w:rPr>
          <w:sz w:val="14"/>
        </w:rPr>
        <w:t>not</w:t>
      </w:r>
      <w:r>
        <w:rPr>
          <w:spacing w:val="-6"/>
          <w:sz w:val="14"/>
        </w:rPr>
        <w:t> </w:t>
      </w:r>
      <w:r>
        <w:rPr>
          <w:sz w:val="14"/>
        </w:rPr>
        <w:t>funded</w:t>
      </w:r>
      <w:r>
        <w:rPr>
          <w:spacing w:val="-9"/>
          <w:sz w:val="14"/>
        </w:rPr>
        <w:t> </w:t>
      </w:r>
      <w:r>
        <w:rPr>
          <w:sz w:val="14"/>
        </w:rPr>
        <w:t>by</w:t>
      </w:r>
      <w:r>
        <w:rPr>
          <w:spacing w:val="-12"/>
          <w:sz w:val="14"/>
        </w:rPr>
        <w:t> </w:t>
      </w:r>
      <w:r>
        <w:rPr>
          <w:sz w:val="14"/>
        </w:rPr>
        <w:t>the</w:t>
      </w:r>
      <w:r>
        <w:rPr>
          <w:spacing w:val="-8"/>
          <w:sz w:val="14"/>
        </w:rPr>
        <w:t> </w:t>
      </w:r>
      <w:r>
        <w:rPr>
          <w:sz w:val="14"/>
        </w:rPr>
        <w:t>scheme.</w:t>
      </w:r>
      <w:r>
        <w:rPr>
          <w:spacing w:val="-7"/>
          <w:sz w:val="14"/>
        </w:rPr>
        <w:t> </w:t>
      </w:r>
      <w:r>
        <w:rPr>
          <w:sz w:val="14"/>
        </w:rPr>
        <w:t>The</w:t>
      </w:r>
      <w:r>
        <w:rPr>
          <w:spacing w:val="-9"/>
          <w:sz w:val="14"/>
        </w:rPr>
        <w:t> </w:t>
      </w:r>
      <w:r>
        <w:rPr>
          <w:sz w:val="14"/>
        </w:rPr>
        <w:t>full</w:t>
      </w:r>
      <w:r>
        <w:rPr>
          <w:spacing w:val="-5"/>
          <w:sz w:val="14"/>
        </w:rPr>
        <w:t> </w:t>
      </w:r>
      <w:r>
        <w:rPr>
          <w:sz w:val="14"/>
        </w:rPr>
        <w:t>amount</w:t>
      </w:r>
      <w:r>
        <w:rPr>
          <w:spacing w:val="-6"/>
          <w:sz w:val="14"/>
        </w:rPr>
        <w:t> </w:t>
      </w:r>
      <w:r>
        <w:rPr>
          <w:sz w:val="14"/>
        </w:rPr>
        <w:t>of</w:t>
      </w:r>
      <w:r>
        <w:rPr>
          <w:spacing w:val="-8"/>
          <w:sz w:val="14"/>
        </w:rPr>
        <w:t> </w:t>
      </w:r>
      <w:r>
        <w:rPr>
          <w:sz w:val="14"/>
        </w:rPr>
        <w:t>the</w:t>
      </w:r>
      <w:r>
        <w:rPr>
          <w:spacing w:val="-8"/>
          <w:sz w:val="14"/>
        </w:rPr>
        <w:t> </w:t>
      </w:r>
      <w:r>
        <w:rPr>
          <w:sz w:val="14"/>
        </w:rPr>
        <w:t>liability</w:t>
      </w:r>
      <w:r>
        <w:rPr>
          <w:spacing w:val="-10"/>
          <w:sz w:val="14"/>
        </w:rPr>
        <w:t> </w:t>
      </w:r>
      <w:r>
        <w:rPr>
          <w:sz w:val="14"/>
        </w:rPr>
        <w:t>for</w:t>
      </w:r>
      <w:r>
        <w:rPr>
          <w:spacing w:val="-9"/>
          <w:sz w:val="14"/>
        </w:rPr>
        <w:t> </w:t>
      </w:r>
      <w:r>
        <w:rPr>
          <w:sz w:val="14"/>
        </w:rPr>
        <w:t>the additional costs is charged to expenditure at the time the clinical commissioning group commits itself to the retirement, regardless of the method of payment.</w:t>
      </w:r>
    </w:p>
    <w:p>
      <w:pPr>
        <w:spacing w:before="98"/>
        <w:ind w:left="704" w:right="0" w:firstLine="0"/>
        <w:jc w:val="left"/>
        <w:rPr>
          <w:sz w:val="14"/>
        </w:rPr>
      </w:pPr>
      <w:r>
        <w:rPr>
          <w:sz w:val="14"/>
        </w:rPr>
        <w:t>The schemes are subject to a full actuarial valuation every four years and an accounting valuation every year.</w:t>
      </w:r>
    </w:p>
    <w:p>
      <w:pPr>
        <w:pStyle w:val="ListParagraph"/>
        <w:numPr>
          <w:ilvl w:val="1"/>
          <w:numId w:val="19"/>
        </w:numPr>
        <w:tabs>
          <w:tab w:pos="705" w:val="left" w:leader="none"/>
        </w:tabs>
        <w:spacing w:line="240" w:lineRule="auto" w:before="89" w:after="0"/>
        <w:ind w:left="704" w:right="0" w:hanging="390"/>
        <w:jc w:val="left"/>
        <w:rPr>
          <w:b/>
          <w:sz w:val="14"/>
        </w:rPr>
      </w:pPr>
      <w:r>
        <w:rPr>
          <w:b/>
          <w:sz w:val="14"/>
        </w:rPr>
        <w:t>Other</w:t>
      </w:r>
      <w:r>
        <w:rPr>
          <w:b/>
          <w:spacing w:val="-16"/>
          <w:sz w:val="14"/>
        </w:rPr>
        <w:t> </w:t>
      </w:r>
      <w:r>
        <w:rPr>
          <w:b/>
          <w:sz w:val="14"/>
        </w:rPr>
        <w:t>Expenses</w:t>
      </w:r>
    </w:p>
    <w:p>
      <w:pPr>
        <w:spacing w:line="256" w:lineRule="auto" w:before="7"/>
        <w:ind w:left="704" w:right="604" w:firstLine="0"/>
        <w:jc w:val="left"/>
        <w:rPr>
          <w:sz w:val="14"/>
        </w:rPr>
      </w:pPr>
      <w:r>
        <w:rPr>
          <w:sz w:val="14"/>
        </w:rPr>
        <w:t>Other</w:t>
      </w:r>
      <w:r>
        <w:rPr>
          <w:spacing w:val="-10"/>
          <w:sz w:val="14"/>
        </w:rPr>
        <w:t> </w:t>
      </w:r>
      <w:r>
        <w:rPr>
          <w:sz w:val="14"/>
        </w:rPr>
        <w:t>operating</w:t>
      </w:r>
      <w:r>
        <w:rPr>
          <w:spacing w:val="-6"/>
          <w:sz w:val="14"/>
        </w:rPr>
        <w:t> </w:t>
      </w:r>
      <w:r>
        <w:rPr>
          <w:sz w:val="14"/>
        </w:rPr>
        <w:t>expenses</w:t>
      </w:r>
      <w:r>
        <w:rPr>
          <w:spacing w:val="-8"/>
          <w:sz w:val="14"/>
        </w:rPr>
        <w:t> </w:t>
      </w:r>
      <w:r>
        <w:rPr>
          <w:sz w:val="14"/>
        </w:rPr>
        <w:t>are</w:t>
      </w:r>
      <w:r>
        <w:rPr>
          <w:spacing w:val="-8"/>
          <w:sz w:val="14"/>
        </w:rPr>
        <w:t> </w:t>
      </w:r>
      <w:r>
        <w:rPr>
          <w:sz w:val="14"/>
        </w:rPr>
        <w:t>recognised</w:t>
      </w:r>
      <w:r>
        <w:rPr>
          <w:spacing w:val="-9"/>
          <w:sz w:val="14"/>
        </w:rPr>
        <w:t> </w:t>
      </w:r>
      <w:r>
        <w:rPr>
          <w:sz w:val="14"/>
        </w:rPr>
        <w:t>when,</w:t>
      </w:r>
      <w:r>
        <w:rPr>
          <w:spacing w:val="-8"/>
          <w:sz w:val="14"/>
        </w:rPr>
        <w:t> </w:t>
      </w:r>
      <w:r>
        <w:rPr>
          <w:sz w:val="14"/>
        </w:rPr>
        <w:t>and</w:t>
      </w:r>
      <w:r>
        <w:rPr>
          <w:spacing w:val="-8"/>
          <w:sz w:val="14"/>
        </w:rPr>
        <w:t> </w:t>
      </w:r>
      <w:r>
        <w:rPr>
          <w:sz w:val="14"/>
        </w:rPr>
        <w:t>to</w:t>
      </w:r>
      <w:r>
        <w:rPr>
          <w:spacing w:val="-8"/>
          <w:sz w:val="14"/>
        </w:rPr>
        <w:t> </w:t>
      </w:r>
      <w:r>
        <w:rPr>
          <w:sz w:val="14"/>
        </w:rPr>
        <w:t>the</w:t>
      </w:r>
      <w:r>
        <w:rPr>
          <w:spacing w:val="-8"/>
          <w:sz w:val="14"/>
        </w:rPr>
        <w:t> </w:t>
      </w:r>
      <w:r>
        <w:rPr>
          <w:sz w:val="14"/>
        </w:rPr>
        <w:t>extent</w:t>
      </w:r>
      <w:r>
        <w:rPr>
          <w:spacing w:val="-8"/>
          <w:sz w:val="14"/>
        </w:rPr>
        <w:t> </w:t>
      </w:r>
      <w:r>
        <w:rPr>
          <w:sz w:val="14"/>
        </w:rPr>
        <w:t>that,</w:t>
      </w:r>
      <w:r>
        <w:rPr>
          <w:spacing w:val="-9"/>
          <w:sz w:val="14"/>
        </w:rPr>
        <w:t> </w:t>
      </w:r>
      <w:r>
        <w:rPr>
          <w:sz w:val="14"/>
        </w:rPr>
        <w:t>the</w:t>
      </w:r>
      <w:r>
        <w:rPr>
          <w:spacing w:val="-8"/>
          <w:sz w:val="14"/>
        </w:rPr>
        <w:t> </w:t>
      </w:r>
      <w:r>
        <w:rPr>
          <w:sz w:val="14"/>
        </w:rPr>
        <w:t>goods</w:t>
      </w:r>
      <w:r>
        <w:rPr>
          <w:spacing w:val="-8"/>
          <w:sz w:val="14"/>
        </w:rPr>
        <w:t> </w:t>
      </w:r>
      <w:r>
        <w:rPr>
          <w:sz w:val="14"/>
        </w:rPr>
        <w:t>or</w:t>
      </w:r>
      <w:r>
        <w:rPr>
          <w:spacing w:val="-9"/>
          <w:sz w:val="14"/>
        </w:rPr>
        <w:t> </w:t>
      </w:r>
      <w:r>
        <w:rPr>
          <w:sz w:val="14"/>
        </w:rPr>
        <w:t>services</w:t>
      </w:r>
      <w:r>
        <w:rPr>
          <w:spacing w:val="-8"/>
          <w:sz w:val="14"/>
        </w:rPr>
        <w:t> </w:t>
      </w:r>
      <w:r>
        <w:rPr>
          <w:sz w:val="14"/>
        </w:rPr>
        <w:t>have</w:t>
      </w:r>
      <w:r>
        <w:rPr>
          <w:spacing w:val="-6"/>
          <w:sz w:val="14"/>
        </w:rPr>
        <w:t> </w:t>
      </w:r>
      <w:r>
        <w:rPr>
          <w:sz w:val="14"/>
        </w:rPr>
        <w:t>been</w:t>
      </w:r>
      <w:r>
        <w:rPr>
          <w:spacing w:val="-9"/>
          <w:sz w:val="14"/>
        </w:rPr>
        <w:t> </w:t>
      </w:r>
      <w:r>
        <w:rPr>
          <w:sz w:val="14"/>
        </w:rPr>
        <w:t>received.</w:t>
      </w:r>
      <w:r>
        <w:rPr>
          <w:spacing w:val="-8"/>
          <w:sz w:val="14"/>
        </w:rPr>
        <w:t> </w:t>
      </w:r>
      <w:r>
        <w:rPr>
          <w:sz w:val="14"/>
        </w:rPr>
        <w:t>They</w:t>
      </w:r>
      <w:r>
        <w:rPr>
          <w:spacing w:val="-10"/>
          <w:sz w:val="14"/>
        </w:rPr>
        <w:t> </w:t>
      </w:r>
      <w:r>
        <w:rPr>
          <w:sz w:val="14"/>
        </w:rPr>
        <w:t>are</w:t>
      </w:r>
      <w:r>
        <w:rPr>
          <w:spacing w:val="-11"/>
          <w:sz w:val="14"/>
        </w:rPr>
        <w:t> </w:t>
      </w:r>
      <w:r>
        <w:rPr>
          <w:sz w:val="14"/>
        </w:rPr>
        <w:t>measured</w:t>
      </w:r>
      <w:r>
        <w:rPr>
          <w:spacing w:val="-8"/>
          <w:sz w:val="14"/>
        </w:rPr>
        <w:t> </w:t>
      </w:r>
      <w:r>
        <w:rPr>
          <w:sz w:val="14"/>
        </w:rPr>
        <w:t>at</w:t>
      </w:r>
      <w:r>
        <w:rPr>
          <w:spacing w:val="-8"/>
          <w:sz w:val="14"/>
        </w:rPr>
        <w:t> </w:t>
      </w:r>
      <w:r>
        <w:rPr>
          <w:sz w:val="14"/>
        </w:rPr>
        <w:t>the</w:t>
      </w:r>
      <w:r>
        <w:rPr>
          <w:spacing w:val="-8"/>
          <w:sz w:val="14"/>
        </w:rPr>
        <w:t> </w:t>
      </w:r>
      <w:r>
        <w:rPr>
          <w:sz w:val="14"/>
        </w:rPr>
        <w:t>fair</w:t>
      </w:r>
      <w:r>
        <w:rPr>
          <w:spacing w:val="-11"/>
          <w:sz w:val="14"/>
        </w:rPr>
        <w:t> </w:t>
      </w:r>
      <w:r>
        <w:rPr>
          <w:sz w:val="14"/>
        </w:rPr>
        <w:t>value</w:t>
      </w:r>
      <w:r>
        <w:rPr>
          <w:spacing w:val="-8"/>
          <w:sz w:val="14"/>
        </w:rPr>
        <w:t> </w:t>
      </w:r>
      <w:r>
        <w:rPr>
          <w:sz w:val="14"/>
        </w:rPr>
        <w:t>of the consideration</w:t>
      </w:r>
      <w:r>
        <w:rPr>
          <w:spacing w:val="-7"/>
          <w:sz w:val="14"/>
        </w:rPr>
        <w:t> </w:t>
      </w:r>
      <w:r>
        <w:rPr>
          <w:sz w:val="14"/>
        </w:rPr>
        <w:t>payable.</w:t>
      </w:r>
    </w:p>
    <w:p>
      <w:pPr>
        <w:pStyle w:val="ListParagraph"/>
        <w:numPr>
          <w:ilvl w:val="1"/>
          <w:numId w:val="19"/>
        </w:numPr>
        <w:tabs>
          <w:tab w:pos="705" w:val="left" w:leader="none"/>
        </w:tabs>
        <w:spacing w:line="240" w:lineRule="auto" w:before="85" w:after="0"/>
        <w:ind w:left="704" w:right="0" w:hanging="390"/>
        <w:jc w:val="left"/>
        <w:rPr>
          <w:b/>
          <w:sz w:val="14"/>
        </w:rPr>
      </w:pPr>
      <w:r>
        <w:rPr>
          <w:b/>
          <w:sz w:val="14"/>
        </w:rPr>
        <w:t>Leases</w:t>
      </w:r>
    </w:p>
    <w:p>
      <w:pPr>
        <w:spacing w:line="261" w:lineRule="auto" w:before="7"/>
        <w:ind w:left="704" w:right="604" w:firstLine="0"/>
        <w:jc w:val="left"/>
        <w:rPr>
          <w:sz w:val="14"/>
        </w:rPr>
      </w:pPr>
      <w:r>
        <w:rPr>
          <w:sz w:val="14"/>
        </w:rPr>
        <w:t>Leases</w:t>
      </w:r>
      <w:r>
        <w:rPr>
          <w:spacing w:val="-9"/>
          <w:sz w:val="14"/>
        </w:rPr>
        <w:t> </w:t>
      </w:r>
      <w:r>
        <w:rPr>
          <w:sz w:val="14"/>
        </w:rPr>
        <w:t>are</w:t>
      </w:r>
      <w:r>
        <w:rPr>
          <w:spacing w:val="-10"/>
          <w:sz w:val="14"/>
        </w:rPr>
        <w:t> </w:t>
      </w:r>
      <w:r>
        <w:rPr>
          <w:sz w:val="14"/>
        </w:rPr>
        <w:t>classified</w:t>
      </w:r>
      <w:r>
        <w:rPr>
          <w:spacing w:val="-6"/>
          <w:sz w:val="14"/>
        </w:rPr>
        <w:t> </w:t>
      </w:r>
      <w:r>
        <w:rPr>
          <w:sz w:val="14"/>
        </w:rPr>
        <w:t>as</w:t>
      </w:r>
      <w:r>
        <w:rPr>
          <w:spacing w:val="-9"/>
          <w:sz w:val="14"/>
        </w:rPr>
        <w:t> </w:t>
      </w:r>
      <w:r>
        <w:rPr>
          <w:sz w:val="14"/>
        </w:rPr>
        <w:t>finance</w:t>
      </w:r>
      <w:r>
        <w:rPr>
          <w:spacing w:val="-9"/>
          <w:sz w:val="14"/>
        </w:rPr>
        <w:t> </w:t>
      </w:r>
      <w:r>
        <w:rPr>
          <w:sz w:val="14"/>
        </w:rPr>
        <w:t>leases</w:t>
      </w:r>
      <w:r>
        <w:rPr>
          <w:spacing w:val="-5"/>
          <w:sz w:val="14"/>
        </w:rPr>
        <w:t> </w:t>
      </w:r>
      <w:r>
        <w:rPr>
          <w:sz w:val="14"/>
        </w:rPr>
        <w:t>when</w:t>
      </w:r>
      <w:r>
        <w:rPr>
          <w:spacing w:val="-9"/>
          <w:sz w:val="14"/>
        </w:rPr>
        <w:t> </w:t>
      </w:r>
      <w:r>
        <w:rPr>
          <w:sz w:val="14"/>
        </w:rPr>
        <w:t>substantially</w:t>
      </w:r>
      <w:r>
        <w:rPr>
          <w:spacing w:val="-10"/>
          <w:sz w:val="14"/>
        </w:rPr>
        <w:t> </w:t>
      </w:r>
      <w:r>
        <w:rPr>
          <w:sz w:val="14"/>
        </w:rPr>
        <w:t>all</w:t>
      </w:r>
      <w:r>
        <w:rPr>
          <w:spacing w:val="-9"/>
          <w:sz w:val="14"/>
        </w:rPr>
        <w:t> </w:t>
      </w:r>
      <w:r>
        <w:rPr>
          <w:sz w:val="14"/>
        </w:rPr>
        <w:t>the</w:t>
      </w:r>
      <w:r>
        <w:rPr>
          <w:spacing w:val="-9"/>
          <w:sz w:val="14"/>
        </w:rPr>
        <w:t> </w:t>
      </w:r>
      <w:r>
        <w:rPr>
          <w:sz w:val="14"/>
        </w:rPr>
        <w:t>risks</w:t>
      </w:r>
      <w:r>
        <w:rPr>
          <w:spacing w:val="-5"/>
          <w:sz w:val="14"/>
        </w:rPr>
        <w:t> </w:t>
      </w:r>
      <w:r>
        <w:rPr>
          <w:sz w:val="14"/>
        </w:rPr>
        <w:t>and</w:t>
      </w:r>
      <w:r>
        <w:rPr>
          <w:spacing w:val="-9"/>
          <w:sz w:val="14"/>
        </w:rPr>
        <w:t> </w:t>
      </w:r>
      <w:r>
        <w:rPr>
          <w:sz w:val="14"/>
        </w:rPr>
        <w:t>rewards</w:t>
      </w:r>
      <w:r>
        <w:rPr>
          <w:spacing w:val="-7"/>
          <w:sz w:val="14"/>
        </w:rPr>
        <w:t> </w:t>
      </w:r>
      <w:r>
        <w:rPr>
          <w:sz w:val="14"/>
        </w:rPr>
        <w:t>of</w:t>
      </w:r>
      <w:r>
        <w:rPr>
          <w:spacing w:val="-8"/>
          <w:sz w:val="14"/>
        </w:rPr>
        <w:t> </w:t>
      </w:r>
      <w:r>
        <w:rPr>
          <w:sz w:val="14"/>
        </w:rPr>
        <w:t>ownership</w:t>
      </w:r>
      <w:r>
        <w:rPr>
          <w:spacing w:val="-7"/>
          <w:sz w:val="14"/>
        </w:rPr>
        <w:t> </w:t>
      </w:r>
      <w:r>
        <w:rPr>
          <w:sz w:val="14"/>
        </w:rPr>
        <w:t>are</w:t>
      </w:r>
      <w:r>
        <w:rPr>
          <w:spacing w:val="-10"/>
          <w:sz w:val="14"/>
        </w:rPr>
        <w:t> </w:t>
      </w:r>
      <w:r>
        <w:rPr>
          <w:sz w:val="14"/>
        </w:rPr>
        <w:t>transferred</w:t>
      </w:r>
      <w:r>
        <w:rPr>
          <w:spacing w:val="-6"/>
          <w:sz w:val="14"/>
        </w:rPr>
        <w:t> </w:t>
      </w:r>
      <w:r>
        <w:rPr>
          <w:sz w:val="14"/>
        </w:rPr>
        <w:t>to</w:t>
      </w:r>
      <w:r>
        <w:rPr>
          <w:spacing w:val="-9"/>
          <w:sz w:val="14"/>
        </w:rPr>
        <w:t> </w:t>
      </w:r>
      <w:r>
        <w:rPr>
          <w:sz w:val="14"/>
        </w:rPr>
        <w:t>the</w:t>
      </w:r>
      <w:r>
        <w:rPr>
          <w:spacing w:val="-7"/>
          <w:sz w:val="14"/>
        </w:rPr>
        <w:t> </w:t>
      </w:r>
      <w:r>
        <w:rPr>
          <w:sz w:val="14"/>
        </w:rPr>
        <w:t>lessee.</w:t>
      </w:r>
      <w:r>
        <w:rPr>
          <w:spacing w:val="-8"/>
          <w:sz w:val="14"/>
        </w:rPr>
        <w:t> </w:t>
      </w:r>
      <w:r>
        <w:rPr>
          <w:sz w:val="14"/>
        </w:rPr>
        <w:t>All</w:t>
      </w:r>
      <w:r>
        <w:rPr>
          <w:spacing w:val="-9"/>
          <w:sz w:val="14"/>
        </w:rPr>
        <w:t> </w:t>
      </w:r>
      <w:r>
        <w:rPr>
          <w:sz w:val="14"/>
        </w:rPr>
        <w:t>other</w:t>
      </w:r>
      <w:r>
        <w:rPr>
          <w:spacing w:val="-9"/>
          <w:sz w:val="14"/>
        </w:rPr>
        <w:t> </w:t>
      </w:r>
      <w:r>
        <w:rPr>
          <w:sz w:val="14"/>
        </w:rPr>
        <w:t>leases</w:t>
      </w:r>
      <w:r>
        <w:rPr>
          <w:spacing w:val="-9"/>
          <w:sz w:val="14"/>
        </w:rPr>
        <w:t> </w:t>
      </w:r>
      <w:r>
        <w:rPr>
          <w:sz w:val="14"/>
        </w:rPr>
        <w:t>are classified as operating</w:t>
      </w:r>
      <w:r>
        <w:rPr>
          <w:spacing w:val="-8"/>
          <w:sz w:val="14"/>
        </w:rPr>
        <w:t> </w:t>
      </w:r>
      <w:r>
        <w:rPr>
          <w:sz w:val="14"/>
        </w:rPr>
        <w:t>leases.</w:t>
      </w:r>
    </w:p>
    <w:p>
      <w:pPr>
        <w:pStyle w:val="ListParagraph"/>
        <w:numPr>
          <w:ilvl w:val="2"/>
          <w:numId w:val="19"/>
        </w:numPr>
        <w:tabs>
          <w:tab w:pos="705" w:val="left" w:leader="none"/>
        </w:tabs>
        <w:spacing w:line="240" w:lineRule="auto" w:before="122" w:after="0"/>
        <w:ind w:left="704" w:right="0" w:hanging="390"/>
        <w:jc w:val="left"/>
        <w:rPr>
          <w:b/>
          <w:sz w:val="14"/>
        </w:rPr>
      </w:pPr>
      <w:r>
        <w:rPr>
          <w:b/>
          <w:sz w:val="14"/>
        </w:rPr>
        <w:t>The Clinical Commissioning Group as</w:t>
      </w:r>
      <w:r>
        <w:rPr>
          <w:b/>
          <w:spacing w:val="-13"/>
          <w:sz w:val="14"/>
        </w:rPr>
        <w:t> </w:t>
      </w:r>
      <w:r>
        <w:rPr>
          <w:b/>
          <w:sz w:val="14"/>
        </w:rPr>
        <w:t>Lessee</w:t>
      </w:r>
    </w:p>
    <w:p>
      <w:pPr>
        <w:spacing w:line="256" w:lineRule="auto" w:before="7"/>
        <w:ind w:left="703" w:right="604" w:firstLine="0"/>
        <w:jc w:val="left"/>
        <w:rPr>
          <w:sz w:val="14"/>
        </w:rPr>
      </w:pPr>
      <w:r>
        <w:rPr>
          <w:sz w:val="14"/>
        </w:rPr>
        <w:t>Property,</w:t>
      </w:r>
      <w:r>
        <w:rPr>
          <w:spacing w:val="-8"/>
          <w:sz w:val="14"/>
        </w:rPr>
        <w:t> </w:t>
      </w:r>
      <w:r>
        <w:rPr>
          <w:sz w:val="14"/>
        </w:rPr>
        <w:t>plant</w:t>
      </w:r>
      <w:r>
        <w:rPr>
          <w:spacing w:val="-8"/>
          <w:sz w:val="14"/>
        </w:rPr>
        <w:t> </w:t>
      </w:r>
      <w:r>
        <w:rPr>
          <w:sz w:val="14"/>
        </w:rPr>
        <w:t>and</w:t>
      </w:r>
      <w:r>
        <w:rPr>
          <w:spacing w:val="-6"/>
          <w:sz w:val="14"/>
        </w:rPr>
        <w:t> </w:t>
      </w:r>
      <w:r>
        <w:rPr>
          <w:sz w:val="14"/>
        </w:rPr>
        <w:t>equipment</w:t>
      </w:r>
      <w:r>
        <w:rPr>
          <w:spacing w:val="-6"/>
          <w:sz w:val="14"/>
        </w:rPr>
        <w:t> </w:t>
      </w:r>
      <w:r>
        <w:rPr>
          <w:sz w:val="14"/>
        </w:rPr>
        <w:t>held</w:t>
      </w:r>
      <w:r>
        <w:rPr>
          <w:spacing w:val="-8"/>
          <w:sz w:val="14"/>
        </w:rPr>
        <w:t> </w:t>
      </w:r>
      <w:r>
        <w:rPr>
          <w:sz w:val="14"/>
        </w:rPr>
        <w:t>under</w:t>
      </w:r>
      <w:r>
        <w:rPr>
          <w:spacing w:val="-9"/>
          <w:sz w:val="14"/>
        </w:rPr>
        <w:t> </w:t>
      </w:r>
      <w:r>
        <w:rPr>
          <w:sz w:val="14"/>
        </w:rPr>
        <w:t>finance</w:t>
      </w:r>
      <w:r>
        <w:rPr>
          <w:spacing w:val="-8"/>
          <w:sz w:val="14"/>
        </w:rPr>
        <w:t> </w:t>
      </w:r>
      <w:r>
        <w:rPr>
          <w:sz w:val="14"/>
        </w:rPr>
        <w:t>leases</w:t>
      </w:r>
      <w:r>
        <w:rPr>
          <w:spacing w:val="-5"/>
          <w:sz w:val="14"/>
        </w:rPr>
        <w:t> </w:t>
      </w:r>
      <w:r>
        <w:rPr>
          <w:sz w:val="14"/>
        </w:rPr>
        <w:t>are</w:t>
      </w:r>
      <w:r>
        <w:rPr>
          <w:spacing w:val="-11"/>
          <w:sz w:val="14"/>
        </w:rPr>
        <w:t> </w:t>
      </w:r>
      <w:r>
        <w:rPr>
          <w:sz w:val="14"/>
        </w:rPr>
        <w:t>initially</w:t>
      </w:r>
      <w:r>
        <w:rPr>
          <w:spacing w:val="-10"/>
          <w:sz w:val="14"/>
        </w:rPr>
        <w:t> </w:t>
      </w:r>
      <w:r>
        <w:rPr>
          <w:sz w:val="14"/>
        </w:rPr>
        <w:t>recognised,</w:t>
      </w:r>
      <w:r>
        <w:rPr>
          <w:spacing w:val="-11"/>
          <w:sz w:val="14"/>
        </w:rPr>
        <w:t> </w:t>
      </w:r>
      <w:r>
        <w:rPr>
          <w:sz w:val="14"/>
        </w:rPr>
        <w:t>at</w:t>
      </w:r>
      <w:r>
        <w:rPr>
          <w:spacing w:val="-8"/>
          <w:sz w:val="14"/>
        </w:rPr>
        <w:t> </w:t>
      </w:r>
      <w:r>
        <w:rPr>
          <w:sz w:val="14"/>
        </w:rPr>
        <w:t>the</w:t>
      </w:r>
      <w:r>
        <w:rPr>
          <w:spacing w:val="-10"/>
          <w:sz w:val="14"/>
        </w:rPr>
        <w:t> </w:t>
      </w:r>
      <w:r>
        <w:rPr>
          <w:sz w:val="14"/>
        </w:rPr>
        <w:t>inception</w:t>
      </w:r>
      <w:r>
        <w:rPr>
          <w:spacing w:val="-8"/>
          <w:sz w:val="14"/>
        </w:rPr>
        <w:t> </w:t>
      </w:r>
      <w:r>
        <w:rPr>
          <w:sz w:val="14"/>
        </w:rPr>
        <w:t>of</w:t>
      </w:r>
      <w:r>
        <w:rPr>
          <w:spacing w:val="-6"/>
          <w:sz w:val="14"/>
        </w:rPr>
        <w:t> </w:t>
      </w:r>
      <w:r>
        <w:rPr>
          <w:sz w:val="14"/>
        </w:rPr>
        <w:t>the</w:t>
      </w:r>
      <w:r>
        <w:rPr>
          <w:spacing w:val="-11"/>
          <w:sz w:val="14"/>
        </w:rPr>
        <w:t> </w:t>
      </w:r>
      <w:r>
        <w:rPr>
          <w:sz w:val="14"/>
        </w:rPr>
        <w:t>lease,</w:t>
      </w:r>
      <w:r>
        <w:rPr>
          <w:spacing w:val="-6"/>
          <w:sz w:val="14"/>
        </w:rPr>
        <w:t> </w:t>
      </w:r>
      <w:r>
        <w:rPr>
          <w:sz w:val="14"/>
        </w:rPr>
        <w:t>at</w:t>
      </w:r>
      <w:r>
        <w:rPr>
          <w:spacing w:val="-8"/>
          <w:sz w:val="14"/>
        </w:rPr>
        <w:t> </w:t>
      </w:r>
      <w:r>
        <w:rPr>
          <w:sz w:val="14"/>
        </w:rPr>
        <w:t>fair</w:t>
      </w:r>
      <w:r>
        <w:rPr>
          <w:spacing w:val="-9"/>
          <w:sz w:val="14"/>
        </w:rPr>
        <w:t> </w:t>
      </w:r>
      <w:r>
        <w:rPr>
          <w:sz w:val="14"/>
        </w:rPr>
        <w:t>value</w:t>
      </w:r>
      <w:r>
        <w:rPr>
          <w:spacing w:val="-8"/>
          <w:sz w:val="14"/>
        </w:rPr>
        <w:t> </w:t>
      </w:r>
      <w:r>
        <w:rPr>
          <w:sz w:val="14"/>
        </w:rPr>
        <w:t>or,</w:t>
      </w:r>
      <w:r>
        <w:rPr>
          <w:spacing w:val="-11"/>
          <w:sz w:val="14"/>
        </w:rPr>
        <w:t> </w:t>
      </w:r>
      <w:r>
        <w:rPr>
          <w:sz w:val="14"/>
        </w:rPr>
        <w:t>if</w:t>
      </w:r>
      <w:r>
        <w:rPr>
          <w:spacing w:val="-8"/>
          <w:sz w:val="14"/>
        </w:rPr>
        <w:t> </w:t>
      </w:r>
      <w:r>
        <w:rPr>
          <w:sz w:val="14"/>
        </w:rPr>
        <w:t>lower,</w:t>
      </w:r>
      <w:r>
        <w:rPr>
          <w:spacing w:val="-7"/>
          <w:sz w:val="14"/>
        </w:rPr>
        <w:t> </w:t>
      </w:r>
      <w:r>
        <w:rPr>
          <w:sz w:val="14"/>
        </w:rPr>
        <w:t>at</w:t>
      </w:r>
      <w:r>
        <w:rPr>
          <w:spacing w:val="-8"/>
          <w:sz w:val="14"/>
        </w:rPr>
        <w:t> </w:t>
      </w:r>
      <w:r>
        <w:rPr>
          <w:sz w:val="14"/>
        </w:rPr>
        <w:t>the</w:t>
      </w:r>
      <w:r>
        <w:rPr>
          <w:spacing w:val="-6"/>
          <w:sz w:val="14"/>
        </w:rPr>
        <w:t> </w:t>
      </w:r>
      <w:r>
        <w:rPr>
          <w:sz w:val="14"/>
        </w:rPr>
        <w:t>present</w:t>
      </w:r>
      <w:r>
        <w:rPr>
          <w:spacing w:val="-8"/>
          <w:sz w:val="14"/>
        </w:rPr>
        <w:t> </w:t>
      </w:r>
      <w:r>
        <w:rPr>
          <w:sz w:val="14"/>
        </w:rPr>
        <w:t>value of</w:t>
      </w:r>
      <w:r>
        <w:rPr>
          <w:spacing w:val="-9"/>
          <w:sz w:val="14"/>
        </w:rPr>
        <w:t> </w:t>
      </w:r>
      <w:r>
        <w:rPr>
          <w:sz w:val="14"/>
        </w:rPr>
        <w:t>the</w:t>
      </w:r>
      <w:r>
        <w:rPr>
          <w:spacing w:val="-9"/>
          <w:sz w:val="14"/>
        </w:rPr>
        <w:t> </w:t>
      </w:r>
      <w:r>
        <w:rPr>
          <w:sz w:val="14"/>
        </w:rPr>
        <w:t>minimum</w:t>
      </w:r>
      <w:r>
        <w:rPr>
          <w:spacing w:val="-6"/>
          <w:sz w:val="14"/>
        </w:rPr>
        <w:t> </w:t>
      </w:r>
      <w:r>
        <w:rPr>
          <w:sz w:val="14"/>
        </w:rPr>
        <w:t>lease</w:t>
      </w:r>
      <w:r>
        <w:rPr>
          <w:spacing w:val="-7"/>
          <w:sz w:val="14"/>
        </w:rPr>
        <w:t> </w:t>
      </w:r>
      <w:r>
        <w:rPr>
          <w:sz w:val="14"/>
        </w:rPr>
        <w:t>payments,</w:t>
      </w:r>
      <w:r>
        <w:rPr>
          <w:spacing w:val="-8"/>
          <w:sz w:val="14"/>
        </w:rPr>
        <w:t> </w:t>
      </w:r>
      <w:r>
        <w:rPr>
          <w:sz w:val="14"/>
        </w:rPr>
        <w:t>with</w:t>
      </w:r>
      <w:r>
        <w:rPr>
          <w:spacing w:val="-12"/>
          <w:sz w:val="14"/>
        </w:rPr>
        <w:t> </w:t>
      </w:r>
      <w:r>
        <w:rPr>
          <w:sz w:val="14"/>
        </w:rPr>
        <w:t>a</w:t>
      </w:r>
      <w:r>
        <w:rPr>
          <w:spacing w:val="-6"/>
          <w:sz w:val="14"/>
        </w:rPr>
        <w:t> </w:t>
      </w:r>
      <w:r>
        <w:rPr>
          <w:sz w:val="14"/>
        </w:rPr>
        <w:t>matching</w:t>
      </w:r>
      <w:r>
        <w:rPr>
          <w:spacing w:val="-12"/>
          <w:sz w:val="14"/>
        </w:rPr>
        <w:t> </w:t>
      </w:r>
      <w:r>
        <w:rPr>
          <w:sz w:val="14"/>
        </w:rPr>
        <w:t>liability</w:t>
      </w:r>
      <w:r>
        <w:rPr>
          <w:spacing w:val="-10"/>
          <w:sz w:val="14"/>
        </w:rPr>
        <w:t> </w:t>
      </w:r>
      <w:r>
        <w:rPr>
          <w:sz w:val="14"/>
        </w:rPr>
        <w:t>for</w:t>
      </w:r>
      <w:r>
        <w:rPr>
          <w:spacing w:val="-10"/>
          <w:sz w:val="14"/>
        </w:rPr>
        <w:t> </w:t>
      </w:r>
      <w:r>
        <w:rPr>
          <w:sz w:val="14"/>
        </w:rPr>
        <w:t>the</w:t>
      </w:r>
      <w:r>
        <w:rPr>
          <w:spacing w:val="-8"/>
          <w:sz w:val="14"/>
        </w:rPr>
        <w:t> </w:t>
      </w:r>
      <w:r>
        <w:rPr>
          <w:sz w:val="14"/>
        </w:rPr>
        <w:t>lease</w:t>
      </w:r>
      <w:r>
        <w:rPr>
          <w:spacing w:val="-9"/>
          <w:sz w:val="14"/>
        </w:rPr>
        <w:t> </w:t>
      </w:r>
      <w:r>
        <w:rPr>
          <w:sz w:val="14"/>
        </w:rPr>
        <w:t>obligation</w:t>
      </w:r>
      <w:r>
        <w:rPr>
          <w:spacing w:val="-8"/>
          <w:sz w:val="14"/>
        </w:rPr>
        <w:t> </w:t>
      </w:r>
      <w:r>
        <w:rPr>
          <w:sz w:val="14"/>
        </w:rPr>
        <w:t>to</w:t>
      </w:r>
      <w:r>
        <w:rPr>
          <w:spacing w:val="-9"/>
          <w:sz w:val="14"/>
        </w:rPr>
        <w:t> </w:t>
      </w:r>
      <w:r>
        <w:rPr>
          <w:sz w:val="14"/>
        </w:rPr>
        <w:t>the</w:t>
      </w:r>
      <w:r>
        <w:rPr>
          <w:spacing w:val="-11"/>
          <w:sz w:val="14"/>
        </w:rPr>
        <w:t> </w:t>
      </w:r>
      <w:r>
        <w:rPr>
          <w:sz w:val="14"/>
        </w:rPr>
        <w:t>lessor.</w:t>
      </w:r>
      <w:r>
        <w:rPr>
          <w:spacing w:val="-9"/>
          <w:sz w:val="14"/>
        </w:rPr>
        <w:t> </w:t>
      </w:r>
      <w:r>
        <w:rPr>
          <w:sz w:val="14"/>
        </w:rPr>
        <w:t>Lease</w:t>
      </w:r>
      <w:r>
        <w:rPr>
          <w:spacing w:val="-8"/>
          <w:sz w:val="14"/>
        </w:rPr>
        <w:t> </w:t>
      </w:r>
      <w:r>
        <w:rPr>
          <w:sz w:val="14"/>
        </w:rPr>
        <w:t>payments</w:t>
      </w:r>
      <w:r>
        <w:rPr>
          <w:spacing w:val="-9"/>
          <w:sz w:val="14"/>
        </w:rPr>
        <w:t> </w:t>
      </w:r>
      <w:r>
        <w:rPr>
          <w:sz w:val="14"/>
        </w:rPr>
        <w:t>are</w:t>
      </w:r>
      <w:r>
        <w:rPr>
          <w:spacing w:val="-11"/>
          <w:sz w:val="14"/>
        </w:rPr>
        <w:t> </w:t>
      </w:r>
      <w:r>
        <w:rPr>
          <w:sz w:val="14"/>
        </w:rPr>
        <w:t>apportioned</w:t>
      </w:r>
      <w:r>
        <w:rPr>
          <w:spacing w:val="-7"/>
          <w:sz w:val="14"/>
        </w:rPr>
        <w:t> </w:t>
      </w:r>
      <w:r>
        <w:rPr>
          <w:sz w:val="14"/>
        </w:rPr>
        <w:t>between</w:t>
      </w:r>
      <w:r>
        <w:rPr>
          <w:spacing w:val="-9"/>
          <w:sz w:val="14"/>
        </w:rPr>
        <w:t> </w:t>
      </w:r>
      <w:r>
        <w:rPr>
          <w:sz w:val="14"/>
        </w:rPr>
        <w:t>finance</w:t>
      </w:r>
      <w:r>
        <w:rPr>
          <w:spacing w:val="-7"/>
          <w:sz w:val="14"/>
        </w:rPr>
        <w:t> </w:t>
      </w:r>
      <w:r>
        <w:rPr>
          <w:sz w:val="14"/>
        </w:rPr>
        <w:t>charges and</w:t>
      </w:r>
      <w:r>
        <w:rPr>
          <w:spacing w:val="-10"/>
          <w:sz w:val="14"/>
        </w:rPr>
        <w:t> </w:t>
      </w:r>
      <w:r>
        <w:rPr>
          <w:sz w:val="14"/>
        </w:rPr>
        <w:t>reduction</w:t>
      </w:r>
      <w:r>
        <w:rPr>
          <w:spacing w:val="-9"/>
          <w:sz w:val="14"/>
        </w:rPr>
        <w:t> </w:t>
      </w:r>
      <w:r>
        <w:rPr>
          <w:sz w:val="14"/>
        </w:rPr>
        <w:t>of</w:t>
      </w:r>
      <w:r>
        <w:rPr>
          <w:spacing w:val="-9"/>
          <w:sz w:val="14"/>
        </w:rPr>
        <w:t> </w:t>
      </w:r>
      <w:r>
        <w:rPr>
          <w:sz w:val="14"/>
        </w:rPr>
        <w:t>the</w:t>
      </w:r>
      <w:r>
        <w:rPr>
          <w:spacing w:val="-8"/>
          <w:sz w:val="14"/>
        </w:rPr>
        <w:t> </w:t>
      </w:r>
      <w:r>
        <w:rPr>
          <w:sz w:val="14"/>
        </w:rPr>
        <w:t>lease</w:t>
      </w:r>
      <w:r>
        <w:rPr>
          <w:spacing w:val="-7"/>
          <w:sz w:val="14"/>
        </w:rPr>
        <w:t> </w:t>
      </w:r>
      <w:r>
        <w:rPr>
          <w:sz w:val="14"/>
        </w:rPr>
        <w:t>obligation</w:t>
      </w:r>
      <w:r>
        <w:rPr>
          <w:spacing w:val="-9"/>
          <w:sz w:val="14"/>
        </w:rPr>
        <w:t> </w:t>
      </w:r>
      <w:r>
        <w:rPr>
          <w:sz w:val="14"/>
        </w:rPr>
        <w:t>so</w:t>
      </w:r>
      <w:r>
        <w:rPr>
          <w:spacing w:val="-8"/>
          <w:sz w:val="14"/>
        </w:rPr>
        <w:t> </w:t>
      </w:r>
      <w:r>
        <w:rPr>
          <w:sz w:val="14"/>
        </w:rPr>
        <w:t>as</w:t>
      </w:r>
      <w:r>
        <w:rPr>
          <w:spacing w:val="-9"/>
          <w:sz w:val="14"/>
        </w:rPr>
        <w:t> </w:t>
      </w:r>
      <w:r>
        <w:rPr>
          <w:sz w:val="14"/>
        </w:rPr>
        <w:t>to</w:t>
      </w:r>
      <w:r>
        <w:rPr>
          <w:spacing w:val="-6"/>
          <w:sz w:val="14"/>
        </w:rPr>
        <w:t> </w:t>
      </w:r>
      <w:r>
        <w:rPr>
          <w:sz w:val="14"/>
        </w:rPr>
        <w:t>achieve</w:t>
      </w:r>
      <w:r>
        <w:rPr>
          <w:spacing w:val="-9"/>
          <w:sz w:val="14"/>
        </w:rPr>
        <w:t> </w:t>
      </w:r>
      <w:r>
        <w:rPr>
          <w:sz w:val="14"/>
        </w:rPr>
        <w:t>a</w:t>
      </w:r>
      <w:r>
        <w:rPr>
          <w:spacing w:val="-7"/>
          <w:sz w:val="14"/>
        </w:rPr>
        <w:t> </w:t>
      </w:r>
      <w:r>
        <w:rPr>
          <w:sz w:val="14"/>
        </w:rPr>
        <w:t>constant</w:t>
      </w:r>
      <w:r>
        <w:rPr>
          <w:spacing w:val="-6"/>
          <w:sz w:val="14"/>
        </w:rPr>
        <w:t> </w:t>
      </w:r>
      <w:r>
        <w:rPr>
          <w:sz w:val="14"/>
        </w:rPr>
        <w:t>rate</w:t>
      </w:r>
      <w:r>
        <w:rPr>
          <w:spacing w:val="-9"/>
          <w:sz w:val="14"/>
        </w:rPr>
        <w:t> </w:t>
      </w:r>
      <w:r>
        <w:rPr>
          <w:sz w:val="14"/>
        </w:rPr>
        <w:t>on</w:t>
      </w:r>
      <w:r>
        <w:rPr>
          <w:spacing w:val="-9"/>
          <w:sz w:val="14"/>
        </w:rPr>
        <w:t> </w:t>
      </w:r>
      <w:r>
        <w:rPr>
          <w:sz w:val="14"/>
        </w:rPr>
        <w:t>interest</w:t>
      </w:r>
      <w:r>
        <w:rPr>
          <w:spacing w:val="-8"/>
          <w:sz w:val="14"/>
        </w:rPr>
        <w:t> </w:t>
      </w:r>
      <w:r>
        <w:rPr>
          <w:sz w:val="14"/>
        </w:rPr>
        <w:t>on</w:t>
      </w:r>
      <w:r>
        <w:rPr>
          <w:spacing w:val="-9"/>
          <w:sz w:val="14"/>
        </w:rPr>
        <w:t> </w:t>
      </w:r>
      <w:r>
        <w:rPr>
          <w:sz w:val="14"/>
        </w:rPr>
        <w:t>the</w:t>
      </w:r>
      <w:r>
        <w:rPr>
          <w:spacing w:val="-6"/>
          <w:sz w:val="14"/>
        </w:rPr>
        <w:t> </w:t>
      </w:r>
      <w:r>
        <w:rPr>
          <w:sz w:val="14"/>
        </w:rPr>
        <w:t>remaining</w:t>
      </w:r>
      <w:r>
        <w:rPr>
          <w:spacing w:val="-10"/>
          <w:sz w:val="14"/>
        </w:rPr>
        <w:t> </w:t>
      </w:r>
      <w:r>
        <w:rPr>
          <w:sz w:val="14"/>
        </w:rPr>
        <w:t>balance</w:t>
      </w:r>
      <w:r>
        <w:rPr>
          <w:spacing w:val="-8"/>
          <w:sz w:val="14"/>
        </w:rPr>
        <w:t> </w:t>
      </w:r>
      <w:r>
        <w:rPr>
          <w:sz w:val="14"/>
        </w:rPr>
        <w:t>of</w:t>
      </w:r>
      <w:r>
        <w:rPr>
          <w:spacing w:val="-9"/>
          <w:sz w:val="14"/>
        </w:rPr>
        <w:t> </w:t>
      </w:r>
      <w:r>
        <w:rPr>
          <w:sz w:val="14"/>
        </w:rPr>
        <w:t>the</w:t>
      </w:r>
      <w:r>
        <w:rPr>
          <w:spacing w:val="-8"/>
          <w:sz w:val="14"/>
        </w:rPr>
        <w:t> </w:t>
      </w:r>
      <w:r>
        <w:rPr>
          <w:sz w:val="14"/>
        </w:rPr>
        <w:t>liability.</w:t>
      </w:r>
      <w:r>
        <w:rPr>
          <w:spacing w:val="-8"/>
          <w:sz w:val="14"/>
        </w:rPr>
        <w:t> </w:t>
      </w:r>
      <w:r>
        <w:rPr>
          <w:sz w:val="14"/>
        </w:rPr>
        <w:t>Finance</w:t>
      </w:r>
      <w:r>
        <w:rPr>
          <w:spacing w:val="-7"/>
          <w:sz w:val="14"/>
        </w:rPr>
        <w:t> </w:t>
      </w:r>
      <w:r>
        <w:rPr>
          <w:sz w:val="14"/>
        </w:rPr>
        <w:t>charges</w:t>
      </w:r>
      <w:r>
        <w:rPr>
          <w:spacing w:val="-8"/>
          <w:sz w:val="14"/>
        </w:rPr>
        <w:t> </w:t>
      </w:r>
      <w:r>
        <w:rPr>
          <w:sz w:val="14"/>
        </w:rPr>
        <w:t>are</w:t>
      </w:r>
      <w:r>
        <w:rPr>
          <w:spacing w:val="-10"/>
          <w:sz w:val="14"/>
        </w:rPr>
        <w:t> </w:t>
      </w:r>
      <w:r>
        <w:rPr>
          <w:sz w:val="14"/>
        </w:rPr>
        <w:t>recognised in calculating the clinical commissioning group’s</w:t>
      </w:r>
      <w:r>
        <w:rPr>
          <w:spacing w:val="-18"/>
          <w:sz w:val="14"/>
        </w:rPr>
        <w:t> </w:t>
      </w:r>
      <w:r>
        <w:rPr>
          <w:sz w:val="14"/>
        </w:rPr>
        <w:t>surplus/deficit.</w:t>
      </w:r>
    </w:p>
    <w:p>
      <w:pPr>
        <w:spacing w:line="261" w:lineRule="auto" w:before="71"/>
        <w:ind w:left="703" w:right="690" w:firstLine="0"/>
        <w:jc w:val="left"/>
        <w:rPr>
          <w:sz w:val="14"/>
        </w:rPr>
      </w:pPr>
      <w:r>
        <w:rPr>
          <w:sz w:val="14"/>
        </w:rPr>
        <w:t>Operating</w:t>
      </w:r>
      <w:r>
        <w:rPr>
          <w:spacing w:val="-12"/>
          <w:sz w:val="14"/>
        </w:rPr>
        <w:t> </w:t>
      </w:r>
      <w:r>
        <w:rPr>
          <w:sz w:val="14"/>
        </w:rPr>
        <w:t>lease</w:t>
      </w:r>
      <w:r>
        <w:rPr>
          <w:spacing w:val="-6"/>
          <w:sz w:val="14"/>
        </w:rPr>
        <w:t> </w:t>
      </w:r>
      <w:r>
        <w:rPr>
          <w:sz w:val="14"/>
        </w:rPr>
        <w:t>payments</w:t>
      </w:r>
      <w:r>
        <w:rPr>
          <w:spacing w:val="-8"/>
          <w:sz w:val="14"/>
        </w:rPr>
        <w:t> </w:t>
      </w:r>
      <w:r>
        <w:rPr>
          <w:sz w:val="14"/>
        </w:rPr>
        <w:t>are</w:t>
      </w:r>
      <w:r>
        <w:rPr>
          <w:spacing w:val="-9"/>
          <w:sz w:val="14"/>
        </w:rPr>
        <w:t> </w:t>
      </w:r>
      <w:r>
        <w:rPr>
          <w:sz w:val="14"/>
        </w:rPr>
        <w:t>recognised</w:t>
      </w:r>
      <w:r>
        <w:rPr>
          <w:spacing w:val="-9"/>
          <w:sz w:val="14"/>
        </w:rPr>
        <w:t> </w:t>
      </w:r>
      <w:r>
        <w:rPr>
          <w:sz w:val="14"/>
        </w:rPr>
        <w:t>as</w:t>
      </w:r>
      <w:r>
        <w:rPr>
          <w:spacing w:val="-8"/>
          <w:sz w:val="14"/>
        </w:rPr>
        <w:t> </w:t>
      </w:r>
      <w:r>
        <w:rPr>
          <w:sz w:val="14"/>
        </w:rPr>
        <w:t>an</w:t>
      </w:r>
      <w:r>
        <w:rPr>
          <w:spacing w:val="-8"/>
          <w:sz w:val="14"/>
        </w:rPr>
        <w:t> </w:t>
      </w:r>
      <w:r>
        <w:rPr>
          <w:sz w:val="14"/>
        </w:rPr>
        <w:t>expense</w:t>
      </w:r>
      <w:r>
        <w:rPr>
          <w:spacing w:val="-9"/>
          <w:sz w:val="14"/>
        </w:rPr>
        <w:t> </w:t>
      </w:r>
      <w:r>
        <w:rPr>
          <w:sz w:val="14"/>
        </w:rPr>
        <w:t>on</w:t>
      </w:r>
      <w:r>
        <w:rPr>
          <w:spacing w:val="-9"/>
          <w:sz w:val="14"/>
        </w:rPr>
        <w:t> </w:t>
      </w:r>
      <w:r>
        <w:rPr>
          <w:sz w:val="14"/>
        </w:rPr>
        <w:t>a</w:t>
      </w:r>
      <w:r>
        <w:rPr>
          <w:spacing w:val="-11"/>
          <w:sz w:val="14"/>
        </w:rPr>
        <w:t> </w:t>
      </w:r>
      <w:r>
        <w:rPr>
          <w:sz w:val="14"/>
        </w:rPr>
        <w:t>straight-line</w:t>
      </w:r>
      <w:r>
        <w:rPr>
          <w:spacing w:val="-11"/>
          <w:sz w:val="14"/>
        </w:rPr>
        <w:t> </w:t>
      </w:r>
      <w:r>
        <w:rPr>
          <w:sz w:val="14"/>
        </w:rPr>
        <w:t>basis</w:t>
      </w:r>
      <w:r>
        <w:rPr>
          <w:spacing w:val="-8"/>
          <w:sz w:val="14"/>
        </w:rPr>
        <w:t> </w:t>
      </w:r>
      <w:r>
        <w:rPr>
          <w:sz w:val="14"/>
        </w:rPr>
        <w:t>over</w:t>
      </w:r>
      <w:r>
        <w:rPr>
          <w:spacing w:val="-11"/>
          <w:sz w:val="14"/>
        </w:rPr>
        <w:t> </w:t>
      </w:r>
      <w:r>
        <w:rPr>
          <w:sz w:val="14"/>
        </w:rPr>
        <w:t>the</w:t>
      </w:r>
      <w:r>
        <w:rPr>
          <w:spacing w:val="-8"/>
          <w:sz w:val="14"/>
        </w:rPr>
        <w:t> </w:t>
      </w:r>
      <w:r>
        <w:rPr>
          <w:sz w:val="14"/>
        </w:rPr>
        <w:t>lease</w:t>
      </w:r>
      <w:r>
        <w:rPr>
          <w:spacing w:val="-9"/>
          <w:sz w:val="14"/>
        </w:rPr>
        <w:t> </w:t>
      </w:r>
      <w:r>
        <w:rPr>
          <w:sz w:val="14"/>
        </w:rPr>
        <w:t>term.</w:t>
      </w:r>
      <w:r>
        <w:rPr>
          <w:spacing w:val="-8"/>
          <w:sz w:val="14"/>
        </w:rPr>
        <w:t> </w:t>
      </w:r>
      <w:r>
        <w:rPr>
          <w:sz w:val="14"/>
        </w:rPr>
        <w:t>Lease</w:t>
      </w:r>
      <w:r>
        <w:rPr>
          <w:spacing w:val="-11"/>
          <w:sz w:val="14"/>
        </w:rPr>
        <w:t> </w:t>
      </w:r>
      <w:r>
        <w:rPr>
          <w:sz w:val="14"/>
        </w:rPr>
        <w:t>incentives</w:t>
      </w:r>
      <w:r>
        <w:rPr>
          <w:spacing w:val="-6"/>
          <w:sz w:val="14"/>
        </w:rPr>
        <w:t> </w:t>
      </w:r>
      <w:r>
        <w:rPr>
          <w:sz w:val="14"/>
        </w:rPr>
        <w:t>are</w:t>
      </w:r>
      <w:r>
        <w:rPr>
          <w:spacing w:val="-9"/>
          <w:sz w:val="14"/>
        </w:rPr>
        <w:t> </w:t>
      </w:r>
      <w:r>
        <w:rPr>
          <w:sz w:val="14"/>
        </w:rPr>
        <w:t>recognised</w:t>
      </w:r>
      <w:r>
        <w:rPr>
          <w:spacing w:val="-9"/>
          <w:sz w:val="14"/>
        </w:rPr>
        <w:t> </w:t>
      </w:r>
      <w:r>
        <w:rPr>
          <w:sz w:val="14"/>
        </w:rPr>
        <w:t>initially</w:t>
      </w:r>
      <w:r>
        <w:rPr>
          <w:spacing w:val="-12"/>
          <w:sz w:val="14"/>
        </w:rPr>
        <w:t> </w:t>
      </w:r>
      <w:r>
        <w:rPr>
          <w:sz w:val="14"/>
        </w:rPr>
        <w:t>as</w:t>
      </w:r>
      <w:r>
        <w:rPr>
          <w:spacing w:val="-5"/>
          <w:sz w:val="14"/>
        </w:rPr>
        <w:t> </w:t>
      </w:r>
      <w:r>
        <w:rPr>
          <w:sz w:val="14"/>
        </w:rPr>
        <w:t>a liability</w:t>
      </w:r>
      <w:r>
        <w:rPr>
          <w:spacing w:val="-7"/>
          <w:sz w:val="14"/>
        </w:rPr>
        <w:t> </w:t>
      </w:r>
      <w:r>
        <w:rPr>
          <w:sz w:val="14"/>
        </w:rPr>
        <w:t>and</w:t>
      </w:r>
      <w:r>
        <w:rPr>
          <w:spacing w:val="-4"/>
          <w:sz w:val="14"/>
        </w:rPr>
        <w:t> </w:t>
      </w:r>
      <w:r>
        <w:rPr>
          <w:sz w:val="14"/>
        </w:rPr>
        <w:t>subsequently</w:t>
      </w:r>
      <w:r>
        <w:rPr>
          <w:spacing w:val="-5"/>
          <w:sz w:val="14"/>
        </w:rPr>
        <w:t> </w:t>
      </w:r>
      <w:r>
        <w:rPr>
          <w:sz w:val="14"/>
        </w:rPr>
        <w:t>as</w:t>
      </w:r>
      <w:r>
        <w:rPr>
          <w:spacing w:val="-1"/>
          <w:sz w:val="14"/>
        </w:rPr>
        <w:t> </w:t>
      </w:r>
      <w:r>
        <w:rPr>
          <w:sz w:val="14"/>
        </w:rPr>
        <w:t>a</w:t>
      </w:r>
      <w:r>
        <w:rPr>
          <w:spacing w:val="-4"/>
          <w:sz w:val="14"/>
        </w:rPr>
        <w:t> </w:t>
      </w:r>
      <w:r>
        <w:rPr>
          <w:sz w:val="14"/>
        </w:rPr>
        <w:t>reduction</w:t>
      </w:r>
      <w:r>
        <w:rPr>
          <w:spacing w:val="-3"/>
          <w:sz w:val="14"/>
        </w:rPr>
        <w:t> </w:t>
      </w:r>
      <w:r>
        <w:rPr>
          <w:sz w:val="14"/>
        </w:rPr>
        <w:t>of</w:t>
      </w:r>
      <w:r>
        <w:rPr>
          <w:spacing w:val="-1"/>
          <w:sz w:val="14"/>
        </w:rPr>
        <w:t> </w:t>
      </w:r>
      <w:r>
        <w:rPr>
          <w:sz w:val="14"/>
        </w:rPr>
        <w:t>rentals</w:t>
      </w:r>
      <w:r>
        <w:rPr>
          <w:spacing w:val="-2"/>
          <w:sz w:val="14"/>
        </w:rPr>
        <w:t> </w:t>
      </w:r>
      <w:r>
        <w:rPr>
          <w:sz w:val="14"/>
        </w:rPr>
        <w:t>on</w:t>
      </w:r>
      <w:r>
        <w:rPr>
          <w:spacing w:val="-2"/>
          <w:sz w:val="14"/>
        </w:rPr>
        <w:t> </w:t>
      </w:r>
      <w:r>
        <w:rPr>
          <w:sz w:val="14"/>
        </w:rPr>
        <w:t>a</w:t>
      </w:r>
      <w:r>
        <w:rPr>
          <w:spacing w:val="-4"/>
          <w:sz w:val="14"/>
        </w:rPr>
        <w:t> </w:t>
      </w:r>
      <w:r>
        <w:rPr>
          <w:sz w:val="14"/>
        </w:rPr>
        <w:t>straight-line</w:t>
      </w:r>
      <w:r>
        <w:rPr>
          <w:spacing w:val="-5"/>
          <w:sz w:val="14"/>
        </w:rPr>
        <w:t> </w:t>
      </w:r>
      <w:r>
        <w:rPr>
          <w:sz w:val="14"/>
        </w:rPr>
        <w:t>basis</w:t>
      </w:r>
      <w:r>
        <w:rPr>
          <w:spacing w:val="-1"/>
          <w:sz w:val="14"/>
        </w:rPr>
        <w:t> </w:t>
      </w:r>
      <w:r>
        <w:rPr>
          <w:sz w:val="14"/>
        </w:rPr>
        <w:t>over</w:t>
      </w:r>
      <w:r>
        <w:rPr>
          <w:spacing w:val="-5"/>
          <w:sz w:val="14"/>
        </w:rPr>
        <w:t> </w:t>
      </w:r>
      <w:r>
        <w:rPr>
          <w:sz w:val="14"/>
        </w:rPr>
        <w:t>the</w:t>
      </w:r>
      <w:r>
        <w:rPr>
          <w:spacing w:val="-4"/>
          <w:sz w:val="14"/>
        </w:rPr>
        <w:t> </w:t>
      </w:r>
      <w:r>
        <w:rPr>
          <w:sz w:val="14"/>
        </w:rPr>
        <w:t>lease</w:t>
      </w:r>
      <w:r>
        <w:rPr>
          <w:spacing w:val="-4"/>
          <w:sz w:val="14"/>
        </w:rPr>
        <w:t> </w:t>
      </w:r>
      <w:r>
        <w:rPr>
          <w:sz w:val="14"/>
        </w:rPr>
        <w:t>term.</w:t>
      </w:r>
    </w:p>
    <w:p>
      <w:pPr>
        <w:spacing w:before="36"/>
        <w:ind w:left="704" w:right="0" w:firstLine="0"/>
        <w:jc w:val="left"/>
        <w:rPr>
          <w:sz w:val="14"/>
        </w:rPr>
      </w:pPr>
      <w:r>
        <w:rPr>
          <w:sz w:val="14"/>
        </w:rPr>
        <w:t>Contingent rentals are recognised as an expense in the period in which they are incurred.</w:t>
      </w:r>
    </w:p>
    <w:p>
      <w:pPr>
        <w:spacing w:line="256" w:lineRule="auto" w:before="12"/>
        <w:ind w:left="704" w:right="604" w:firstLine="0"/>
        <w:jc w:val="left"/>
        <w:rPr>
          <w:sz w:val="14"/>
        </w:rPr>
      </w:pPr>
      <w:r>
        <w:rPr>
          <w:sz w:val="14"/>
        </w:rPr>
        <w:t>Where</w:t>
      </w:r>
      <w:r>
        <w:rPr>
          <w:spacing w:val="-9"/>
          <w:sz w:val="14"/>
        </w:rPr>
        <w:t> </w:t>
      </w:r>
      <w:r>
        <w:rPr>
          <w:sz w:val="14"/>
        </w:rPr>
        <w:t>a</w:t>
      </w:r>
      <w:r>
        <w:rPr>
          <w:spacing w:val="-8"/>
          <w:sz w:val="14"/>
        </w:rPr>
        <w:t> </w:t>
      </w:r>
      <w:r>
        <w:rPr>
          <w:sz w:val="14"/>
        </w:rPr>
        <w:t>lease</w:t>
      </w:r>
      <w:r>
        <w:rPr>
          <w:spacing w:val="-11"/>
          <w:sz w:val="14"/>
        </w:rPr>
        <w:t> </w:t>
      </w:r>
      <w:r>
        <w:rPr>
          <w:sz w:val="14"/>
        </w:rPr>
        <w:t>is</w:t>
      </w:r>
      <w:r>
        <w:rPr>
          <w:spacing w:val="-5"/>
          <w:sz w:val="14"/>
        </w:rPr>
        <w:t> </w:t>
      </w:r>
      <w:r>
        <w:rPr>
          <w:sz w:val="14"/>
        </w:rPr>
        <w:t>for</w:t>
      </w:r>
      <w:r>
        <w:rPr>
          <w:spacing w:val="-11"/>
          <w:sz w:val="14"/>
        </w:rPr>
        <w:t> </w:t>
      </w:r>
      <w:r>
        <w:rPr>
          <w:sz w:val="14"/>
        </w:rPr>
        <w:t>land</w:t>
      </w:r>
      <w:r>
        <w:rPr>
          <w:spacing w:val="-8"/>
          <w:sz w:val="14"/>
        </w:rPr>
        <w:t> </w:t>
      </w:r>
      <w:r>
        <w:rPr>
          <w:sz w:val="14"/>
        </w:rPr>
        <w:t>and</w:t>
      </w:r>
      <w:r>
        <w:rPr>
          <w:spacing w:val="-8"/>
          <w:sz w:val="14"/>
        </w:rPr>
        <w:t> </w:t>
      </w:r>
      <w:r>
        <w:rPr>
          <w:sz w:val="14"/>
        </w:rPr>
        <w:t>buildings,</w:t>
      </w:r>
      <w:r>
        <w:rPr>
          <w:spacing w:val="-7"/>
          <w:sz w:val="14"/>
        </w:rPr>
        <w:t> </w:t>
      </w:r>
      <w:r>
        <w:rPr>
          <w:sz w:val="14"/>
        </w:rPr>
        <w:t>the</w:t>
      </w:r>
      <w:r>
        <w:rPr>
          <w:spacing w:val="-8"/>
          <w:sz w:val="14"/>
        </w:rPr>
        <w:t> </w:t>
      </w:r>
      <w:r>
        <w:rPr>
          <w:sz w:val="14"/>
        </w:rPr>
        <w:t>land</w:t>
      </w:r>
      <w:r>
        <w:rPr>
          <w:spacing w:val="-6"/>
          <w:sz w:val="14"/>
        </w:rPr>
        <w:t> </w:t>
      </w:r>
      <w:r>
        <w:rPr>
          <w:sz w:val="14"/>
        </w:rPr>
        <w:t>and</w:t>
      </w:r>
      <w:r>
        <w:rPr>
          <w:spacing w:val="-8"/>
          <w:sz w:val="14"/>
        </w:rPr>
        <w:t> </w:t>
      </w:r>
      <w:r>
        <w:rPr>
          <w:sz w:val="14"/>
        </w:rPr>
        <w:t>building</w:t>
      </w:r>
      <w:r>
        <w:rPr>
          <w:spacing w:val="-7"/>
          <w:sz w:val="14"/>
        </w:rPr>
        <w:t> </w:t>
      </w:r>
      <w:r>
        <w:rPr>
          <w:sz w:val="14"/>
        </w:rPr>
        <w:t>components</w:t>
      </w:r>
      <w:r>
        <w:rPr>
          <w:spacing w:val="-8"/>
          <w:sz w:val="14"/>
        </w:rPr>
        <w:t> </w:t>
      </w:r>
      <w:r>
        <w:rPr>
          <w:sz w:val="14"/>
        </w:rPr>
        <w:t>are</w:t>
      </w:r>
      <w:r>
        <w:rPr>
          <w:spacing w:val="-8"/>
          <w:sz w:val="14"/>
        </w:rPr>
        <w:t> </w:t>
      </w:r>
      <w:r>
        <w:rPr>
          <w:sz w:val="14"/>
        </w:rPr>
        <w:t>separated</w:t>
      </w:r>
      <w:r>
        <w:rPr>
          <w:spacing w:val="-6"/>
          <w:sz w:val="14"/>
        </w:rPr>
        <w:t> </w:t>
      </w:r>
      <w:r>
        <w:rPr>
          <w:sz w:val="14"/>
        </w:rPr>
        <w:t>and</w:t>
      </w:r>
      <w:r>
        <w:rPr>
          <w:spacing w:val="-9"/>
          <w:sz w:val="14"/>
        </w:rPr>
        <w:t> </w:t>
      </w:r>
      <w:r>
        <w:rPr>
          <w:sz w:val="14"/>
        </w:rPr>
        <w:t>individually</w:t>
      </w:r>
      <w:r>
        <w:rPr>
          <w:spacing w:val="-10"/>
          <w:sz w:val="14"/>
        </w:rPr>
        <w:t> </w:t>
      </w:r>
      <w:r>
        <w:rPr>
          <w:sz w:val="14"/>
        </w:rPr>
        <w:t>assessed</w:t>
      </w:r>
      <w:r>
        <w:rPr>
          <w:spacing w:val="-8"/>
          <w:sz w:val="14"/>
        </w:rPr>
        <w:t> </w:t>
      </w:r>
      <w:r>
        <w:rPr>
          <w:sz w:val="14"/>
        </w:rPr>
        <w:t>as</w:t>
      </w:r>
      <w:r>
        <w:rPr>
          <w:spacing w:val="-5"/>
          <w:sz w:val="14"/>
        </w:rPr>
        <w:t> </w:t>
      </w:r>
      <w:r>
        <w:rPr>
          <w:sz w:val="14"/>
        </w:rPr>
        <w:t>to</w:t>
      </w:r>
      <w:r>
        <w:rPr>
          <w:spacing w:val="-8"/>
          <w:sz w:val="14"/>
        </w:rPr>
        <w:t> </w:t>
      </w:r>
      <w:r>
        <w:rPr>
          <w:sz w:val="14"/>
        </w:rPr>
        <w:t>whether</w:t>
      </w:r>
      <w:r>
        <w:rPr>
          <w:spacing w:val="-9"/>
          <w:sz w:val="14"/>
        </w:rPr>
        <w:t> </w:t>
      </w:r>
      <w:r>
        <w:rPr>
          <w:sz w:val="14"/>
        </w:rPr>
        <w:t>they</w:t>
      </w:r>
      <w:r>
        <w:rPr>
          <w:spacing w:val="-10"/>
          <w:sz w:val="14"/>
        </w:rPr>
        <w:t> </w:t>
      </w:r>
      <w:r>
        <w:rPr>
          <w:sz w:val="14"/>
        </w:rPr>
        <w:t>are</w:t>
      </w:r>
      <w:r>
        <w:rPr>
          <w:spacing w:val="-9"/>
          <w:sz w:val="14"/>
        </w:rPr>
        <w:t> </w:t>
      </w:r>
      <w:r>
        <w:rPr>
          <w:sz w:val="14"/>
        </w:rPr>
        <w:t>operating</w:t>
      </w:r>
      <w:r>
        <w:rPr>
          <w:spacing w:val="-8"/>
          <w:sz w:val="14"/>
        </w:rPr>
        <w:t> </w:t>
      </w:r>
      <w:r>
        <w:rPr>
          <w:sz w:val="14"/>
        </w:rPr>
        <w:t>or finance</w:t>
      </w:r>
      <w:r>
        <w:rPr>
          <w:spacing w:val="-5"/>
          <w:sz w:val="14"/>
        </w:rPr>
        <w:t> </w:t>
      </w:r>
      <w:r>
        <w:rPr>
          <w:sz w:val="14"/>
        </w:rPr>
        <w:t>leases.</w:t>
      </w:r>
    </w:p>
    <w:p>
      <w:pPr>
        <w:pStyle w:val="ListParagraph"/>
        <w:numPr>
          <w:ilvl w:val="1"/>
          <w:numId w:val="19"/>
        </w:numPr>
        <w:tabs>
          <w:tab w:pos="705" w:val="left" w:leader="none"/>
        </w:tabs>
        <w:spacing w:line="240" w:lineRule="auto" w:before="104" w:after="0"/>
        <w:ind w:left="704" w:right="0" w:hanging="390"/>
        <w:jc w:val="left"/>
        <w:rPr>
          <w:b/>
          <w:sz w:val="14"/>
        </w:rPr>
      </w:pPr>
      <w:r>
        <w:rPr>
          <w:b/>
          <w:sz w:val="14"/>
        </w:rPr>
        <w:t>Cash &amp; Cash</w:t>
      </w:r>
      <w:r>
        <w:rPr>
          <w:b/>
          <w:spacing w:val="-11"/>
          <w:sz w:val="14"/>
        </w:rPr>
        <w:t> </w:t>
      </w:r>
      <w:r>
        <w:rPr>
          <w:b/>
          <w:sz w:val="14"/>
        </w:rPr>
        <w:t>Equivalents</w:t>
      </w:r>
    </w:p>
    <w:p>
      <w:pPr>
        <w:spacing w:line="256" w:lineRule="auto" w:before="7"/>
        <w:ind w:left="704" w:right="690" w:firstLine="0"/>
        <w:jc w:val="left"/>
        <w:rPr>
          <w:sz w:val="14"/>
        </w:rPr>
      </w:pPr>
      <w:r>
        <w:rPr>
          <w:sz w:val="14"/>
        </w:rPr>
        <w:t>Cash is cash in hand and deposits with any financial institution repayable without penalty on notice of not more than 24 hours. Cash equivalents are investments</w:t>
      </w:r>
      <w:r>
        <w:rPr>
          <w:spacing w:val="-9"/>
          <w:sz w:val="14"/>
        </w:rPr>
        <w:t> </w:t>
      </w:r>
      <w:r>
        <w:rPr>
          <w:sz w:val="14"/>
        </w:rPr>
        <w:t>that</w:t>
      </w:r>
      <w:r>
        <w:rPr>
          <w:spacing w:val="-8"/>
          <w:sz w:val="14"/>
        </w:rPr>
        <w:t> </w:t>
      </w:r>
      <w:r>
        <w:rPr>
          <w:sz w:val="14"/>
        </w:rPr>
        <w:t>mature</w:t>
      </w:r>
      <w:r>
        <w:rPr>
          <w:spacing w:val="-8"/>
          <w:sz w:val="14"/>
        </w:rPr>
        <w:t> </w:t>
      </w:r>
      <w:r>
        <w:rPr>
          <w:sz w:val="14"/>
        </w:rPr>
        <w:t>in</w:t>
      </w:r>
      <w:r>
        <w:rPr>
          <w:spacing w:val="-6"/>
          <w:sz w:val="14"/>
        </w:rPr>
        <w:t> </w:t>
      </w:r>
      <w:r>
        <w:rPr>
          <w:sz w:val="14"/>
        </w:rPr>
        <w:t>3</w:t>
      </w:r>
      <w:r>
        <w:rPr>
          <w:spacing w:val="-8"/>
          <w:sz w:val="14"/>
        </w:rPr>
        <w:t> </w:t>
      </w:r>
      <w:r>
        <w:rPr>
          <w:sz w:val="14"/>
        </w:rPr>
        <w:t>months</w:t>
      </w:r>
      <w:r>
        <w:rPr>
          <w:spacing w:val="-5"/>
          <w:sz w:val="14"/>
        </w:rPr>
        <w:t> </w:t>
      </w:r>
      <w:r>
        <w:rPr>
          <w:sz w:val="14"/>
        </w:rPr>
        <w:t>or</w:t>
      </w:r>
      <w:r>
        <w:rPr>
          <w:spacing w:val="-9"/>
          <w:sz w:val="14"/>
        </w:rPr>
        <w:t> </w:t>
      </w:r>
      <w:r>
        <w:rPr>
          <w:sz w:val="14"/>
        </w:rPr>
        <w:t>less</w:t>
      </w:r>
      <w:r>
        <w:rPr>
          <w:spacing w:val="-8"/>
          <w:sz w:val="14"/>
        </w:rPr>
        <w:t> </w:t>
      </w:r>
      <w:r>
        <w:rPr>
          <w:sz w:val="14"/>
        </w:rPr>
        <w:t>from</w:t>
      </w:r>
      <w:r>
        <w:rPr>
          <w:spacing w:val="-5"/>
          <w:sz w:val="14"/>
        </w:rPr>
        <w:t> </w:t>
      </w:r>
      <w:r>
        <w:rPr>
          <w:sz w:val="14"/>
        </w:rPr>
        <w:t>the</w:t>
      </w:r>
      <w:r>
        <w:rPr>
          <w:spacing w:val="-8"/>
          <w:sz w:val="14"/>
        </w:rPr>
        <w:t> </w:t>
      </w:r>
      <w:r>
        <w:rPr>
          <w:sz w:val="14"/>
        </w:rPr>
        <w:t>date</w:t>
      </w:r>
      <w:r>
        <w:rPr>
          <w:spacing w:val="-8"/>
          <w:sz w:val="14"/>
        </w:rPr>
        <w:t> </w:t>
      </w:r>
      <w:r>
        <w:rPr>
          <w:sz w:val="14"/>
        </w:rPr>
        <w:t>of</w:t>
      </w:r>
      <w:r>
        <w:rPr>
          <w:spacing w:val="-8"/>
          <w:sz w:val="14"/>
        </w:rPr>
        <w:t> </w:t>
      </w:r>
      <w:r>
        <w:rPr>
          <w:sz w:val="14"/>
        </w:rPr>
        <w:t>acquisition</w:t>
      </w:r>
      <w:r>
        <w:rPr>
          <w:spacing w:val="-6"/>
          <w:sz w:val="14"/>
        </w:rPr>
        <w:t> </w:t>
      </w:r>
      <w:r>
        <w:rPr>
          <w:sz w:val="14"/>
        </w:rPr>
        <w:t>and</w:t>
      </w:r>
      <w:r>
        <w:rPr>
          <w:spacing w:val="-8"/>
          <w:sz w:val="14"/>
        </w:rPr>
        <w:t> </w:t>
      </w:r>
      <w:r>
        <w:rPr>
          <w:sz w:val="14"/>
        </w:rPr>
        <w:t>that</w:t>
      </w:r>
      <w:r>
        <w:rPr>
          <w:spacing w:val="-6"/>
          <w:sz w:val="14"/>
        </w:rPr>
        <w:t> </w:t>
      </w:r>
      <w:r>
        <w:rPr>
          <w:sz w:val="14"/>
        </w:rPr>
        <w:t>are</w:t>
      </w:r>
      <w:r>
        <w:rPr>
          <w:spacing w:val="-8"/>
          <w:sz w:val="14"/>
        </w:rPr>
        <w:t> </w:t>
      </w:r>
      <w:r>
        <w:rPr>
          <w:sz w:val="14"/>
        </w:rPr>
        <w:t>readily</w:t>
      </w:r>
      <w:r>
        <w:rPr>
          <w:spacing w:val="-10"/>
          <w:sz w:val="14"/>
        </w:rPr>
        <w:t> </w:t>
      </w:r>
      <w:r>
        <w:rPr>
          <w:sz w:val="14"/>
        </w:rPr>
        <w:t>convertible</w:t>
      </w:r>
      <w:r>
        <w:rPr>
          <w:spacing w:val="-9"/>
          <w:sz w:val="14"/>
        </w:rPr>
        <w:t> </w:t>
      </w:r>
      <w:r>
        <w:rPr>
          <w:sz w:val="14"/>
        </w:rPr>
        <w:t>to</w:t>
      </w:r>
      <w:r>
        <w:rPr>
          <w:spacing w:val="-6"/>
          <w:sz w:val="14"/>
        </w:rPr>
        <w:t> </w:t>
      </w:r>
      <w:r>
        <w:rPr>
          <w:sz w:val="14"/>
        </w:rPr>
        <w:t>known</w:t>
      </w:r>
      <w:r>
        <w:rPr>
          <w:spacing w:val="-9"/>
          <w:sz w:val="14"/>
        </w:rPr>
        <w:t> </w:t>
      </w:r>
      <w:r>
        <w:rPr>
          <w:sz w:val="14"/>
        </w:rPr>
        <w:t>amounts</w:t>
      </w:r>
      <w:r>
        <w:rPr>
          <w:spacing w:val="-8"/>
          <w:sz w:val="14"/>
        </w:rPr>
        <w:t> </w:t>
      </w:r>
      <w:r>
        <w:rPr>
          <w:sz w:val="14"/>
        </w:rPr>
        <w:t>of</w:t>
      </w:r>
      <w:r>
        <w:rPr>
          <w:spacing w:val="-8"/>
          <w:sz w:val="14"/>
        </w:rPr>
        <w:t> </w:t>
      </w:r>
      <w:r>
        <w:rPr>
          <w:sz w:val="14"/>
        </w:rPr>
        <w:t>cash</w:t>
      </w:r>
      <w:r>
        <w:rPr>
          <w:spacing w:val="-11"/>
          <w:sz w:val="14"/>
        </w:rPr>
        <w:t> </w:t>
      </w:r>
      <w:r>
        <w:rPr>
          <w:sz w:val="14"/>
        </w:rPr>
        <w:t>with</w:t>
      </w:r>
      <w:r>
        <w:rPr>
          <w:spacing w:val="-8"/>
          <w:sz w:val="14"/>
        </w:rPr>
        <w:t> </w:t>
      </w:r>
      <w:r>
        <w:rPr>
          <w:sz w:val="14"/>
        </w:rPr>
        <w:t>insignificant</w:t>
      </w:r>
      <w:r>
        <w:rPr>
          <w:spacing w:val="-5"/>
          <w:sz w:val="14"/>
        </w:rPr>
        <w:t> </w:t>
      </w:r>
      <w:r>
        <w:rPr>
          <w:sz w:val="14"/>
        </w:rPr>
        <w:t>risk of change in value. Cash, bank and overdraft balances are recorded at</w:t>
      </w:r>
      <w:r>
        <w:rPr>
          <w:spacing w:val="-9"/>
          <w:sz w:val="14"/>
        </w:rPr>
        <w:t> </w:t>
      </w:r>
      <w:r>
        <w:rPr>
          <w:sz w:val="14"/>
        </w:rPr>
        <w:t>currentvalues.</w:t>
      </w:r>
    </w:p>
    <w:p>
      <w:pPr>
        <w:spacing w:line="256" w:lineRule="auto" w:before="2"/>
        <w:ind w:left="703" w:right="604" w:firstLine="0"/>
        <w:jc w:val="left"/>
        <w:rPr>
          <w:sz w:val="14"/>
        </w:rPr>
      </w:pPr>
      <w:r>
        <w:rPr>
          <w:sz w:val="14"/>
        </w:rPr>
        <w:t>In</w:t>
      </w:r>
      <w:r>
        <w:rPr>
          <w:spacing w:val="-11"/>
          <w:sz w:val="14"/>
        </w:rPr>
        <w:t> </w:t>
      </w:r>
      <w:r>
        <w:rPr>
          <w:sz w:val="14"/>
        </w:rPr>
        <w:t>the</w:t>
      </w:r>
      <w:r>
        <w:rPr>
          <w:spacing w:val="-8"/>
          <w:sz w:val="14"/>
        </w:rPr>
        <w:t> </w:t>
      </w:r>
      <w:r>
        <w:rPr>
          <w:sz w:val="14"/>
        </w:rPr>
        <w:t>Statement</w:t>
      </w:r>
      <w:r>
        <w:rPr>
          <w:spacing w:val="-8"/>
          <w:sz w:val="14"/>
        </w:rPr>
        <w:t> </w:t>
      </w:r>
      <w:r>
        <w:rPr>
          <w:sz w:val="14"/>
        </w:rPr>
        <w:t>of</w:t>
      </w:r>
      <w:r>
        <w:rPr>
          <w:spacing w:val="-8"/>
          <w:sz w:val="14"/>
        </w:rPr>
        <w:t> </w:t>
      </w:r>
      <w:r>
        <w:rPr>
          <w:sz w:val="14"/>
        </w:rPr>
        <w:t>Cash</w:t>
      </w:r>
      <w:r>
        <w:rPr>
          <w:spacing w:val="-7"/>
          <w:sz w:val="14"/>
        </w:rPr>
        <w:t> </w:t>
      </w:r>
      <w:r>
        <w:rPr>
          <w:sz w:val="14"/>
        </w:rPr>
        <w:t>Flows,</w:t>
      </w:r>
      <w:r>
        <w:rPr>
          <w:spacing w:val="-9"/>
          <w:sz w:val="14"/>
        </w:rPr>
        <w:t> </w:t>
      </w:r>
      <w:r>
        <w:rPr>
          <w:sz w:val="14"/>
        </w:rPr>
        <w:t>cash</w:t>
      </w:r>
      <w:r>
        <w:rPr>
          <w:spacing w:val="-9"/>
          <w:sz w:val="14"/>
        </w:rPr>
        <w:t> </w:t>
      </w:r>
      <w:r>
        <w:rPr>
          <w:sz w:val="14"/>
        </w:rPr>
        <w:t>and</w:t>
      </w:r>
      <w:r>
        <w:rPr>
          <w:spacing w:val="-8"/>
          <w:sz w:val="14"/>
        </w:rPr>
        <w:t> </w:t>
      </w:r>
      <w:r>
        <w:rPr>
          <w:sz w:val="14"/>
        </w:rPr>
        <w:t>cash</w:t>
      </w:r>
      <w:r>
        <w:rPr>
          <w:spacing w:val="-8"/>
          <w:sz w:val="14"/>
        </w:rPr>
        <w:t> </w:t>
      </w:r>
      <w:r>
        <w:rPr>
          <w:sz w:val="14"/>
        </w:rPr>
        <w:t>equivalents</w:t>
      </w:r>
      <w:r>
        <w:rPr>
          <w:spacing w:val="-8"/>
          <w:sz w:val="14"/>
        </w:rPr>
        <w:t> </w:t>
      </w:r>
      <w:r>
        <w:rPr>
          <w:sz w:val="14"/>
        </w:rPr>
        <w:t>are</w:t>
      </w:r>
      <w:r>
        <w:rPr>
          <w:spacing w:val="-9"/>
          <w:sz w:val="14"/>
        </w:rPr>
        <w:t> </w:t>
      </w:r>
      <w:r>
        <w:rPr>
          <w:sz w:val="14"/>
        </w:rPr>
        <w:t>shown</w:t>
      </w:r>
      <w:r>
        <w:rPr>
          <w:spacing w:val="-8"/>
          <w:sz w:val="14"/>
        </w:rPr>
        <w:t> </w:t>
      </w:r>
      <w:r>
        <w:rPr>
          <w:sz w:val="14"/>
        </w:rPr>
        <w:t>net</w:t>
      </w:r>
      <w:r>
        <w:rPr>
          <w:spacing w:val="-8"/>
          <w:sz w:val="14"/>
        </w:rPr>
        <w:t> </w:t>
      </w:r>
      <w:r>
        <w:rPr>
          <w:sz w:val="14"/>
        </w:rPr>
        <w:t>of</w:t>
      </w:r>
      <w:r>
        <w:rPr>
          <w:spacing w:val="-8"/>
          <w:sz w:val="14"/>
        </w:rPr>
        <w:t> </w:t>
      </w:r>
      <w:r>
        <w:rPr>
          <w:sz w:val="14"/>
        </w:rPr>
        <w:t>bank</w:t>
      </w:r>
      <w:r>
        <w:rPr>
          <w:spacing w:val="-5"/>
          <w:sz w:val="14"/>
        </w:rPr>
        <w:t> </w:t>
      </w:r>
      <w:r>
        <w:rPr>
          <w:sz w:val="14"/>
        </w:rPr>
        <w:t>overdrafts</w:t>
      </w:r>
      <w:r>
        <w:rPr>
          <w:spacing w:val="-5"/>
          <w:sz w:val="14"/>
        </w:rPr>
        <w:t> </w:t>
      </w:r>
      <w:r>
        <w:rPr>
          <w:sz w:val="14"/>
        </w:rPr>
        <w:t>that</w:t>
      </w:r>
      <w:r>
        <w:rPr>
          <w:spacing w:val="-8"/>
          <w:sz w:val="14"/>
        </w:rPr>
        <w:t> </w:t>
      </w:r>
      <w:r>
        <w:rPr>
          <w:sz w:val="14"/>
        </w:rPr>
        <w:t>are</w:t>
      </w:r>
      <w:r>
        <w:rPr>
          <w:spacing w:val="-8"/>
          <w:sz w:val="14"/>
        </w:rPr>
        <w:t> </w:t>
      </w:r>
      <w:r>
        <w:rPr>
          <w:sz w:val="14"/>
        </w:rPr>
        <w:t>repayable</w:t>
      </w:r>
      <w:r>
        <w:rPr>
          <w:spacing w:val="-9"/>
          <w:sz w:val="14"/>
        </w:rPr>
        <w:t> </w:t>
      </w:r>
      <w:r>
        <w:rPr>
          <w:sz w:val="14"/>
        </w:rPr>
        <w:t>on</w:t>
      </w:r>
      <w:r>
        <w:rPr>
          <w:spacing w:val="-6"/>
          <w:sz w:val="14"/>
        </w:rPr>
        <w:t> </w:t>
      </w:r>
      <w:r>
        <w:rPr>
          <w:sz w:val="14"/>
        </w:rPr>
        <w:t>demand</w:t>
      </w:r>
      <w:r>
        <w:rPr>
          <w:spacing w:val="-9"/>
          <w:sz w:val="14"/>
        </w:rPr>
        <w:t> </w:t>
      </w:r>
      <w:r>
        <w:rPr>
          <w:sz w:val="14"/>
        </w:rPr>
        <w:t>and</w:t>
      </w:r>
      <w:r>
        <w:rPr>
          <w:spacing w:val="-8"/>
          <w:sz w:val="14"/>
        </w:rPr>
        <w:t> </w:t>
      </w:r>
      <w:r>
        <w:rPr>
          <w:sz w:val="14"/>
        </w:rPr>
        <w:t>that</w:t>
      </w:r>
      <w:r>
        <w:rPr>
          <w:spacing w:val="-8"/>
          <w:sz w:val="14"/>
        </w:rPr>
        <w:t> </w:t>
      </w:r>
      <w:r>
        <w:rPr>
          <w:sz w:val="14"/>
        </w:rPr>
        <w:t>form</w:t>
      </w:r>
      <w:r>
        <w:rPr>
          <w:spacing w:val="-6"/>
          <w:sz w:val="14"/>
        </w:rPr>
        <w:t> </w:t>
      </w:r>
      <w:r>
        <w:rPr>
          <w:sz w:val="14"/>
        </w:rPr>
        <w:t>an</w:t>
      </w:r>
      <w:r>
        <w:rPr>
          <w:spacing w:val="-8"/>
          <w:sz w:val="14"/>
        </w:rPr>
        <w:t> </w:t>
      </w:r>
      <w:r>
        <w:rPr>
          <w:sz w:val="14"/>
        </w:rPr>
        <w:t>integral</w:t>
      </w:r>
      <w:r>
        <w:rPr>
          <w:spacing w:val="-9"/>
          <w:sz w:val="14"/>
        </w:rPr>
        <w:t> </w:t>
      </w:r>
      <w:r>
        <w:rPr>
          <w:sz w:val="14"/>
        </w:rPr>
        <w:t>part of the clinical commissioning group’s cash</w:t>
      </w:r>
      <w:r>
        <w:rPr>
          <w:spacing w:val="-16"/>
          <w:sz w:val="14"/>
        </w:rPr>
        <w:t> </w:t>
      </w:r>
      <w:r>
        <w:rPr>
          <w:sz w:val="14"/>
        </w:rPr>
        <w:t>management.</w:t>
      </w:r>
    </w:p>
    <w:p>
      <w:pPr>
        <w:pStyle w:val="ListParagraph"/>
        <w:numPr>
          <w:ilvl w:val="1"/>
          <w:numId w:val="19"/>
        </w:numPr>
        <w:tabs>
          <w:tab w:pos="705" w:val="left" w:leader="none"/>
        </w:tabs>
        <w:spacing w:line="240" w:lineRule="auto" w:before="85" w:after="0"/>
        <w:ind w:left="704" w:right="0" w:hanging="390"/>
        <w:jc w:val="left"/>
        <w:rPr>
          <w:b/>
          <w:sz w:val="14"/>
        </w:rPr>
      </w:pPr>
      <w:r>
        <w:rPr>
          <w:b/>
          <w:sz w:val="14"/>
        </w:rPr>
        <w:t>Provisions</w:t>
      </w:r>
    </w:p>
    <w:p>
      <w:pPr>
        <w:spacing w:line="256" w:lineRule="auto" w:before="7"/>
        <w:ind w:left="704" w:right="690" w:firstLine="0"/>
        <w:jc w:val="left"/>
        <w:rPr>
          <w:sz w:val="14"/>
        </w:rPr>
      </w:pPr>
      <w:r>
        <w:rPr>
          <w:sz w:val="14"/>
        </w:rPr>
        <w:t>Provisions</w:t>
      </w:r>
      <w:r>
        <w:rPr>
          <w:spacing w:val="-6"/>
          <w:sz w:val="14"/>
        </w:rPr>
        <w:t> </w:t>
      </w:r>
      <w:r>
        <w:rPr>
          <w:sz w:val="14"/>
        </w:rPr>
        <w:t>are</w:t>
      </w:r>
      <w:r>
        <w:rPr>
          <w:spacing w:val="-8"/>
          <w:sz w:val="14"/>
        </w:rPr>
        <w:t> </w:t>
      </w:r>
      <w:r>
        <w:rPr>
          <w:sz w:val="14"/>
        </w:rPr>
        <w:t>recognised</w:t>
      </w:r>
      <w:r>
        <w:rPr>
          <w:spacing w:val="-11"/>
          <w:sz w:val="14"/>
        </w:rPr>
        <w:t> </w:t>
      </w:r>
      <w:r>
        <w:rPr>
          <w:sz w:val="14"/>
        </w:rPr>
        <w:t>when</w:t>
      </w:r>
      <w:r>
        <w:rPr>
          <w:spacing w:val="-9"/>
          <w:sz w:val="14"/>
        </w:rPr>
        <w:t> </w:t>
      </w:r>
      <w:r>
        <w:rPr>
          <w:sz w:val="14"/>
        </w:rPr>
        <w:t>the</w:t>
      </w:r>
      <w:r>
        <w:rPr>
          <w:spacing w:val="-8"/>
          <w:sz w:val="14"/>
        </w:rPr>
        <w:t> </w:t>
      </w:r>
      <w:r>
        <w:rPr>
          <w:sz w:val="14"/>
        </w:rPr>
        <w:t>clinical</w:t>
      </w:r>
      <w:r>
        <w:rPr>
          <w:spacing w:val="-7"/>
          <w:sz w:val="14"/>
        </w:rPr>
        <w:t> </w:t>
      </w:r>
      <w:r>
        <w:rPr>
          <w:sz w:val="14"/>
        </w:rPr>
        <w:t>commissioning</w:t>
      </w:r>
      <w:r>
        <w:rPr>
          <w:spacing w:val="-6"/>
          <w:sz w:val="14"/>
        </w:rPr>
        <w:t> </w:t>
      </w:r>
      <w:r>
        <w:rPr>
          <w:sz w:val="14"/>
        </w:rPr>
        <w:t>group</w:t>
      </w:r>
      <w:r>
        <w:rPr>
          <w:spacing w:val="-9"/>
          <w:sz w:val="14"/>
        </w:rPr>
        <w:t> </w:t>
      </w:r>
      <w:r>
        <w:rPr>
          <w:sz w:val="14"/>
        </w:rPr>
        <w:t>has</w:t>
      </w:r>
      <w:r>
        <w:rPr>
          <w:spacing w:val="-8"/>
          <w:sz w:val="14"/>
        </w:rPr>
        <w:t> </w:t>
      </w:r>
      <w:r>
        <w:rPr>
          <w:sz w:val="14"/>
        </w:rPr>
        <w:t>a</w:t>
      </w:r>
      <w:r>
        <w:rPr>
          <w:spacing w:val="-8"/>
          <w:sz w:val="14"/>
        </w:rPr>
        <w:t> </w:t>
      </w:r>
      <w:r>
        <w:rPr>
          <w:sz w:val="14"/>
        </w:rPr>
        <w:t>present</w:t>
      </w:r>
      <w:r>
        <w:rPr>
          <w:spacing w:val="-7"/>
          <w:sz w:val="14"/>
        </w:rPr>
        <w:t> </w:t>
      </w:r>
      <w:r>
        <w:rPr>
          <w:sz w:val="14"/>
        </w:rPr>
        <w:t>legal</w:t>
      </w:r>
      <w:r>
        <w:rPr>
          <w:spacing w:val="-5"/>
          <w:sz w:val="14"/>
        </w:rPr>
        <w:t> </w:t>
      </w:r>
      <w:r>
        <w:rPr>
          <w:sz w:val="14"/>
        </w:rPr>
        <w:t>or</w:t>
      </w:r>
      <w:r>
        <w:rPr>
          <w:spacing w:val="-6"/>
          <w:sz w:val="14"/>
        </w:rPr>
        <w:t> </w:t>
      </w:r>
      <w:r>
        <w:rPr>
          <w:sz w:val="14"/>
        </w:rPr>
        <w:t>constructive</w:t>
      </w:r>
      <w:r>
        <w:rPr>
          <w:spacing w:val="-9"/>
          <w:sz w:val="14"/>
        </w:rPr>
        <w:t> </w:t>
      </w:r>
      <w:r>
        <w:rPr>
          <w:sz w:val="14"/>
        </w:rPr>
        <w:t>obligation</w:t>
      </w:r>
      <w:r>
        <w:rPr>
          <w:spacing w:val="-6"/>
          <w:sz w:val="14"/>
        </w:rPr>
        <w:t> </w:t>
      </w:r>
      <w:r>
        <w:rPr>
          <w:sz w:val="14"/>
        </w:rPr>
        <w:t>as</w:t>
      </w:r>
      <w:r>
        <w:rPr>
          <w:spacing w:val="-6"/>
          <w:sz w:val="14"/>
        </w:rPr>
        <w:t> </w:t>
      </w:r>
      <w:r>
        <w:rPr>
          <w:sz w:val="14"/>
        </w:rPr>
        <w:t>a</w:t>
      </w:r>
      <w:r>
        <w:rPr>
          <w:spacing w:val="-8"/>
          <w:sz w:val="14"/>
        </w:rPr>
        <w:t> </w:t>
      </w:r>
      <w:r>
        <w:rPr>
          <w:sz w:val="14"/>
        </w:rPr>
        <w:t>result</w:t>
      </w:r>
      <w:r>
        <w:rPr>
          <w:spacing w:val="-8"/>
          <w:sz w:val="14"/>
        </w:rPr>
        <w:t> </w:t>
      </w:r>
      <w:r>
        <w:rPr>
          <w:sz w:val="14"/>
        </w:rPr>
        <w:t>of</w:t>
      </w:r>
      <w:r>
        <w:rPr>
          <w:spacing w:val="-6"/>
          <w:sz w:val="14"/>
        </w:rPr>
        <w:t> </w:t>
      </w:r>
      <w:r>
        <w:rPr>
          <w:sz w:val="14"/>
        </w:rPr>
        <w:t>a</w:t>
      </w:r>
      <w:r>
        <w:rPr>
          <w:spacing w:val="-9"/>
          <w:sz w:val="14"/>
        </w:rPr>
        <w:t> </w:t>
      </w:r>
      <w:r>
        <w:rPr>
          <w:sz w:val="14"/>
        </w:rPr>
        <w:t>past</w:t>
      </w:r>
      <w:r>
        <w:rPr>
          <w:spacing w:val="-6"/>
          <w:sz w:val="14"/>
        </w:rPr>
        <w:t> </w:t>
      </w:r>
      <w:r>
        <w:rPr>
          <w:sz w:val="14"/>
        </w:rPr>
        <w:t>event,</w:t>
      </w:r>
      <w:r>
        <w:rPr>
          <w:spacing w:val="-8"/>
          <w:sz w:val="14"/>
        </w:rPr>
        <w:t> </w:t>
      </w:r>
      <w:r>
        <w:rPr>
          <w:sz w:val="14"/>
        </w:rPr>
        <w:t>it</w:t>
      </w:r>
      <w:r>
        <w:rPr>
          <w:spacing w:val="-9"/>
          <w:sz w:val="14"/>
        </w:rPr>
        <w:t> </w:t>
      </w:r>
      <w:r>
        <w:rPr>
          <w:sz w:val="14"/>
        </w:rPr>
        <w:t>is</w:t>
      </w:r>
      <w:r>
        <w:rPr>
          <w:spacing w:val="-8"/>
          <w:sz w:val="14"/>
        </w:rPr>
        <w:t> </w:t>
      </w:r>
      <w:r>
        <w:rPr>
          <w:sz w:val="14"/>
        </w:rPr>
        <w:t>probable that the clinical commissioning group will be required to settle the obligation, and a reliable estimate can be made of the amount of the obligation. The amount recognised as a provision is the best estimate of the expenditure required to settle the obligation at the end of the reporting period, taking into account the risks and uncertainties. Where a provision is measured using the cash flows estimated to settle the obligation, its carrying amount is the present value of those cash flows using HM Treasury’s discount rate as</w:t>
      </w:r>
      <w:r>
        <w:rPr>
          <w:spacing w:val="-31"/>
          <w:sz w:val="14"/>
        </w:rPr>
        <w:t> </w:t>
      </w:r>
      <w:r>
        <w:rPr>
          <w:sz w:val="14"/>
        </w:rPr>
        <w:t>follows:</w:t>
      </w:r>
    </w:p>
    <w:p>
      <w:pPr>
        <w:spacing w:line="254" w:lineRule="auto" w:before="5"/>
        <w:ind w:left="703" w:right="604" w:firstLine="0"/>
        <w:jc w:val="left"/>
        <w:rPr>
          <w:sz w:val="14"/>
        </w:rPr>
      </w:pPr>
      <w:r>
        <w:rPr>
          <w:sz w:val="14"/>
        </w:rPr>
        <w:t>All</w:t>
      </w:r>
      <w:r>
        <w:rPr>
          <w:spacing w:val="-11"/>
          <w:sz w:val="14"/>
        </w:rPr>
        <w:t> </w:t>
      </w:r>
      <w:r>
        <w:rPr>
          <w:sz w:val="14"/>
        </w:rPr>
        <w:t>general</w:t>
      </w:r>
      <w:r>
        <w:rPr>
          <w:spacing w:val="-9"/>
          <w:sz w:val="14"/>
        </w:rPr>
        <w:t> </w:t>
      </w:r>
      <w:r>
        <w:rPr>
          <w:sz w:val="14"/>
        </w:rPr>
        <w:t>provisions</w:t>
      </w:r>
      <w:r>
        <w:rPr>
          <w:spacing w:val="-6"/>
          <w:sz w:val="14"/>
        </w:rPr>
        <w:t> </w:t>
      </w:r>
      <w:r>
        <w:rPr>
          <w:sz w:val="14"/>
        </w:rPr>
        <w:t>are</w:t>
      </w:r>
      <w:r>
        <w:rPr>
          <w:spacing w:val="-12"/>
          <w:sz w:val="14"/>
        </w:rPr>
        <w:t> </w:t>
      </w:r>
      <w:r>
        <w:rPr>
          <w:sz w:val="14"/>
        </w:rPr>
        <w:t>subject</w:t>
      </w:r>
      <w:r>
        <w:rPr>
          <w:spacing w:val="-9"/>
          <w:sz w:val="14"/>
        </w:rPr>
        <w:t> </w:t>
      </w:r>
      <w:r>
        <w:rPr>
          <w:sz w:val="14"/>
        </w:rPr>
        <w:t>to</w:t>
      </w:r>
      <w:r>
        <w:rPr>
          <w:spacing w:val="-8"/>
          <w:sz w:val="14"/>
        </w:rPr>
        <w:t> </w:t>
      </w:r>
      <w:r>
        <w:rPr>
          <w:sz w:val="14"/>
        </w:rPr>
        <w:t>four</w:t>
      </w:r>
      <w:r>
        <w:rPr>
          <w:spacing w:val="-10"/>
          <w:sz w:val="14"/>
        </w:rPr>
        <w:t> </w:t>
      </w:r>
      <w:r>
        <w:rPr>
          <w:sz w:val="14"/>
        </w:rPr>
        <w:t>separate</w:t>
      </w:r>
      <w:r>
        <w:rPr>
          <w:spacing w:val="-8"/>
          <w:sz w:val="14"/>
        </w:rPr>
        <w:t> </w:t>
      </w:r>
      <w:r>
        <w:rPr>
          <w:sz w:val="14"/>
        </w:rPr>
        <w:t>discount</w:t>
      </w:r>
      <w:r>
        <w:rPr>
          <w:spacing w:val="-9"/>
          <w:sz w:val="14"/>
        </w:rPr>
        <w:t> </w:t>
      </w:r>
      <w:r>
        <w:rPr>
          <w:sz w:val="14"/>
        </w:rPr>
        <w:t>rates</w:t>
      </w:r>
      <w:r>
        <w:rPr>
          <w:spacing w:val="-6"/>
          <w:sz w:val="14"/>
        </w:rPr>
        <w:t> </w:t>
      </w:r>
      <w:r>
        <w:rPr>
          <w:sz w:val="14"/>
        </w:rPr>
        <w:t>according</w:t>
      </w:r>
      <w:r>
        <w:rPr>
          <w:spacing w:val="-10"/>
          <w:sz w:val="14"/>
        </w:rPr>
        <w:t> </w:t>
      </w:r>
      <w:r>
        <w:rPr>
          <w:sz w:val="14"/>
        </w:rPr>
        <w:t>to</w:t>
      </w:r>
      <w:r>
        <w:rPr>
          <w:spacing w:val="-11"/>
          <w:sz w:val="14"/>
        </w:rPr>
        <w:t> </w:t>
      </w:r>
      <w:r>
        <w:rPr>
          <w:sz w:val="14"/>
        </w:rPr>
        <w:t>the</w:t>
      </w:r>
      <w:r>
        <w:rPr>
          <w:spacing w:val="-9"/>
          <w:sz w:val="14"/>
        </w:rPr>
        <w:t> </w:t>
      </w:r>
      <w:r>
        <w:rPr>
          <w:sz w:val="14"/>
        </w:rPr>
        <w:t>expected</w:t>
      </w:r>
      <w:r>
        <w:rPr>
          <w:spacing w:val="-8"/>
          <w:sz w:val="14"/>
        </w:rPr>
        <w:t> </w:t>
      </w:r>
      <w:r>
        <w:rPr>
          <w:sz w:val="14"/>
        </w:rPr>
        <w:t>timing</w:t>
      </w:r>
      <w:r>
        <w:rPr>
          <w:spacing w:val="-9"/>
          <w:sz w:val="14"/>
        </w:rPr>
        <w:t> </w:t>
      </w:r>
      <w:r>
        <w:rPr>
          <w:sz w:val="14"/>
        </w:rPr>
        <w:t>of</w:t>
      </w:r>
      <w:r>
        <w:rPr>
          <w:spacing w:val="-9"/>
          <w:sz w:val="14"/>
        </w:rPr>
        <w:t> </w:t>
      </w:r>
      <w:r>
        <w:rPr>
          <w:sz w:val="14"/>
        </w:rPr>
        <w:t>cashflows</w:t>
      </w:r>
      <w:r>
        <w:rPr>
          <w:spacing w:val="-8"/>
          <w:sz w:val="14"/>
        </w:rPr>
        <w:t> </w:t>
      </w:r>
      <w:r>
        <w:rPr>
          <w:sz w:val="14"/>
        </w:rPr>
        <w:t>from</w:t>
      </w:r>
      <w:r>
        <w:rPr>
          <w:spacing w:val="-5"/>
          <w:sz w:val="14"/>
        </w:rPr>
        <w:t> </w:t>
      </w:r>
      <w:r>
        <w:rPr>
          <w:sz w:val="14"/>
        </w:rPr>
        <w:t>the</w:t>
      </w:r>
      <w:r>
        <w:rPr>
          <w:spacing w:val="-9"/>
          <w:sz w:val="14"/>
        </w:rPr>
        <w:t> </w:t>
      </w:r>
      <w:r>
        <w:rPr>
          <w:sz w:val="14"/>
        </w:rPr>
        <w:t>Statement</w:t>
      </w:r>
      <w:r>
        <w:rPr>
          <w:spacing w:val="-9"/>
          <w:sz w:val="14"/>
        </w:rPr>
        <w:t> </w:t>
      </w:r>
      <w:r>
        <w:rPr>
          <w:sz w:val="14"/>
        </w:rPr>
        <w:t>of</w:t>
      </w:r>
      <w:r>
        <w:rPr>
          <w:spacing w:val="-8"/>
          <w:sz w:val="14"/>
        </w:rPr>
        <w:t> </w:t>
      </w:r>
      <w:r>
        <w:rPr>
          <w:sz w:val="14"/>
        </w:rPr>
        <w:t>Financial</w:t>
      </w:r>
      <w:r>
        <w:rPr>
          <w:spacing w:val="-9"/>
          <w:sz w:val="14"/>
        </w:rPr>
        <w:t> </w:t>
      </w:r>
      <w:r>
        <w:rPr>
          <w:sz w:val="14"/>
        </w:rPr>
        <w:t>Position date:</w:t>
      </w:r>
    </w:p>
    <w:p>
      <w:pPr>
        <w:pStyle w:val="ListParagraph"/>
        <w:numPr>
          <w:ilvl w:val="0"/>
          <w:numId w:val="20"/>
        </w:numPr>
        <w:tabs>
          <w:tab w:pos="792" w:val="left" w:leader="none"/>
        </w:tabs>
        <w:spacing w:line="256" w:lineRule="auto" w:before="2" w:after="0"/>
        <w:ind w:left="704" w:right="607" w:firstLine="0"/>
        <w:jc w:val="left"/>
        <w:rPr>
          <w:sz w:val="14"/>
        </w:rPr>
      </w:pPr>
      <w:r>
        <w:rPr>
          <w:sz w:val="14"/>
        </w:rPr>
        <w:t>A</w:t>
      </w:r>
      <w:r>
        <w:rPr>
          <w:spacing w:val="-8"/>
          <w:sz w:val="14"/>
        </w:rPr>
        <w:t> </w:t>
      </w:r>
      <w:r>
        <w:rPr>
          <w:sz w:val="14"/>
        </w:rPr>
        <w:t>nominal</w:t>
      </w:r>
      <w:r>
        <w:rPr>
          <w:spacing w:val="-9"/>
          <w:sz w:val="14"/>
        </w:rPr>
        <w:t> </w:t>
      </w:r>
      <w:r>
        <w:rPr>
          <w:sz w:val="14"/>
        </w:rPr>
        <w:t>short-term</w:t>
      </w:r>
      <w:r>
        <w:rPr>
          <w:spacing w:val="-5"/>
          <w:sz w:val="14"/>
        </w:rPr>
        <w:t> </w:t>
      </w:r>
      <w:r>
        <w:rPr>
          <w:sz w:val="14"/>
        </w:rPr>
        <w:t>rate</w:t>
      </w:r>
      <w:r>
        <w:rPr>
          <w:spacing w:val="-10"/>
          <w:sz w:val="14"/>
        </w:rPr>
        <w:t> </w:t>
      </w:r>
      <w:r>
        <w:rPr>
          <w:sz w:val="14"/>
        </w:rPr>
        <w:t>of</w:t>
      </w:r>
      <w:r>
        <w:rPr>
          <w:spacing w:val="-9"/>
          <w:sz w:val="14"/>
        </w:rPr>
        <w:t> </w:t>
      </w:r>
      <w:r>
        <w:rPr>
          <w:sz w:val="14"/>
        </w:rPr>
        <w:t>0.47%</w:t>
      </w:r>
      <w:r>
        <w:rPr>
          <w:spacing w:val="-7"/>
          <w:sz w:val="14"/>
        </w:rPr>
        <w:t> </w:t>
      </w:r>
      <w:r>
        <w:rPr>
          <w:sz w:val="14"/>
        </w:rPr>
        <w:t>(2020-21:</w:t>
      </w:r>
      <w:r>
        <w:rPr>
          <w:spacing w:val="-7"/>
          <w:sz w:val="14"/>
        </w:rPr>
        <w:t> </w:t>
      </w:r>
      <w:r>
        <w:rPr>
          <w:sz w:val="14"/>
        </w:rPr>
        <w:t>-0.02%)</w:t>
      </w:r>
      <w:r>
        <w:rPr>
          <w:spacing w:val="-10"/>
          <w:sz w:val="14"/>
        </w:rPr>
        <w:t> </w:t>
      </w:r>
      <w:r>
        <w:rPr>
          <w:sz w:val="14"/>
        </w:rPr>
        <w:t>for</w:t>
      </w:r>
      <w:r>
        <w:rPr>
          <w:spacing w:val="-11"/>
          <w:sz w:val="14"/>
        </w:rPr>
        <w:t> </w:t>
      </w:r>
      <w:r>
        <w:rPr>
          <w:sz w:val="14"/>
        </w:rPr>
        <w:t>inflation</w:t>
      </w:r>
      <w:r>
        <w:rPr>
          <w:spacing w:val="-12"/>
          <w:sz w:val="14"/>
        </w:rPr>
        <w:t> </w:t>
      </w:r>
      <w:r>
        <w:rPr>
          <w:sz w:val="14"/>
        </w:rPr>
        <w:t>adjusted</w:t>
      </w:r>
      <w:r>
        <w:rPr>
          <w:spacing w:val="-7"/>
          <w:sz w:val="14"/>
        </w:rPr>
        <w:t> </w:t>
      </w:r>
      <w:r>
        <w:rPr>
          <w:sz w:val="14"/>
        </w:rPr>
        <w:t>expected</w:t>
      </w:r>
      <w:r>
        <w:rPr>
          <w:spacing w:val="-11"/>
          <w:sz w:val="14"/>
        </w:rPr>
        <w:t> </w:t>
      </w:r>
      <w:r>
        <w:rPr>
          <w:sz w:val="14"/>
        </w:rPr>
        <w:t>cash</w:t>
      </w:r>
      <w:r>
        <w:rPr>
          <w:spacing w:val="-9"/>
          <w:sz w:val="14"/>
        </w:rPr>
        <w:t> </w:t>
      </w:r>
      <w:r>
        <w:rPr>
          <w:sz w:val="14"/>
        </w:rPr>
        <w:t>flows</w:t>
      </w:r>
      <w:r>
        <w:rPr>
          <w:spacing w:val="-9"/>
          <w:sz w:val="14"/>
        </w:rPr>
        <w:t> </w:t>
      </w:r>
      <w:r>
        <w:rPr>
          <w:sz w:val="14"/>
        </w:rPr>
        <w:t>up</w:t>
      </w:r>
      <w:r>
        <w:rPr>
          <w:spacing w:val="-9"/>
          <w:sz w:val="14"/>
        </w:rPr>
        <w:t> </w:t>
      </w:r>
      <w:r>
        <w:rPr>
          <w:sz w:val="14"/>
        </w:rPr>
        <w:t>to</w:t>
      </w:r>
      <w:r>
        <w:rPr>
          <w:spacing w:val="-8"/>
          <w:sz w:val="14"/>
        </w:rPr>
        <w:t> </w:t>
      </w:r>
      <w:r>
        <w:rPr>
          <w:sz w:val="14"/>
        </w:rPr>
        <w:t>and</w:t>
      </w:r>
      <w:r>
        <w:rPr>
          <w:spacing w:val="-10"/>
          <w:sz w:val="14"/>
        </w:rPr>
        <w:t> </w:t>
      </w:r>
      <w:r>
        <w:rPr>
          <w:sz w:val="14"/>
        </w:rPr>
        <w:t>including</w:t>
      </w:r>
      <w:r>
        <w:rPr>
          <w:spacing w:val="-9"/>
          <w:sz w:val="14"/>
        </w:rPr>
        <w:t> </w:t>
      </w:r>
      <w:r>
        <w:rPr>
          <w:sz w:val="14"/>
        </w:rPr>
        <w:t>5</w:t>
      </w:r>
      <w:r>
        <w:rPr>
          <w:spacing w:val="-8"/>
          <w:sz w:val="14"/>
        </w:rPr>
        <w:t> </w:t>
      </w:r>
      <w:r>
        <w:rPr>
          <w:sz w:val="14"/>
        </w:rPr>
        <w:t>years</w:t>
      </w:r>
      <w:r>
        <w:rPr>
          <w:spacing w:val="-9"/>
          <w:sz w:val="14"/>
        </w:rPr>
        <w:t> </w:t>
      </w:r>
      <w:r>
        <w:rPr>
          <w:sz w:val="14"/>
        </w:rPr>
        <w:t>from</w:t>
      </w:r>
      <w:r>
        <w:rPr>
          <w:spacing w:val="-7"/>
          <w:sz w:val="14"/>
        </w:rPr>
        <w:t> </w:t>
      </w:r>
      <w:r>
        <w:rPr>
          <w:sz w:val="14"/>
        </w:rPr>
        <w:t>Statement</w:t>
      </w:r>
      <w:r>
        <w:rPr>
          <w:spacing w:val="-9"/>
          <w:sz w:val="14"/>
        </w:rPr>
        <w:t> </w:t>
      </w:r>
      <w:r>
        <w:rPr>
          <w:sz w:val="14"/>
        </w:rPr>
        <w:t>of</w:t>
      </w:r>
      <w:r>
        <w:rPr>
          <w:spacing w:val="-7"/>
          <w:sz w:val="14"/>
        </w:rPr>
        <w:t> </w:t>
      </w:r>
      <w:r>
        <w:rPr>
          <w:sz w:val="14"/>
        </w:rPr>
        <w:t>Financial Position</w:t>
      </w:r>
      <w:r>
        <w:rPr>
          <w:spacing w:val="-5"/>
          <w:sz w:val="14"/>
        </w:rPr>
        <w:t> </w:t>
      </w:r>
      <w:r>
        <w:rPr>
          <w:sz w:val="14"/>
        </w:rPr>
        <w:t>date.</w:t>
      </w:r>
    </w:p>
    <w:p>
      <w:pPr>
        <w:pStyle w:val="ListParagraph"/>
        <w:numPr>
          <w:ilvl w:val="0"/>
          <w:numId w:val="20"/>
        </w:numPr>
        <w:tabs>
          <w:tab w:pos="792" w:val="left" w:leader="none"/>
        </w:tabs>
        <w:spacing w:line="256" w:lineRule="auto" w:before="1" w:after="0"/>
        <w:ind w:left="704" w:right="778" w:firstLine="0"/>
        <w:jc w:val="left"/>
        <w:rPr>
          <w:sz w:val="14"/>
        </w:rPr>
      </w:pPr>
      <w:r>
        <w:rPr>
          <w:sz w:val="14"/>
        </w:rPr>
        <w:t>A</w:t>
      </w:r>
      <w:r>
        <w:rPr>
          <w:spacing w:val="-8"/>
          <w:sz w:val="14"/>
        </w:rPr>
        <w:t> </w:t>
      </w:r>
      <w:r>
        <w:rPr>
          <w:sz w:val="14"/>
        </w:rPr>
        <w:t>nominal</w:t>
      </w:r>
      <w:r>
        <w:rPr>
          <w:spacing w:val="-8"/>
          <w:sz w:val="14"/>
        </w:rPr>
        <w:t> </w:t>
      </w:r>
      <w:r>
        <w:rPr>
          <w:sz w:val="14"/>
        </w:rPr>
        <w:t>medium-term</w:t>
      </w:r>
      <w:r>
        <w:rPr>
          <w:spacing w:val="-4"/>
          <w:sz w:val="14"/>
        </w:rPr>
        <w:t> </w:t>
      </w:r>
      <w:r>
        <w:rPr>
          <w:sz w:val="14"/>
        </w:rPr>
        <w:t>rate</w:t>
      </w:r>
      <w:r>
        <w:rPr>
          <w:spacing w:val="-11"/>
          <w:sz w:val="14"/>
        </w:rPr>
        <w:t> </w:t>
      </w:r>
      <w:r>
        <w:rPr>
          <w:sz w:val="14"/>
        </w:rPr>
        <w:t>of</w:t>
      </w:r>
      <w:r>
        <w:rPr>
          <w:spacing w:val="-9"/>
          <w:sz w:val="14"/>
        </w:rPr>
        <w:t> </w:t>
      </w:r>
      <w:r>
        <w:rPr>
          <w:sz w:val="14"/>
        </w:rPr>
        <w:t>0.70%</w:t>
      </w:r>
      <w:r>
        <w:rPr>
          <w:spacing w:val="-4"/>
          <w:sz w:val="14"/>
        </w:rPr>
        <w:t> </w:t>
      </w:r>
      <w:r>
        <w:rPr>
          <w:sz w:val="14"/>
        </w:rPr>
        <w:t>(2020-21:</w:t>
      </w:r>
      <w:r>
        <w:rPr>
          <w:spacing w:val="-8"/>
          <w:sz w:val="14"/>
        </w:rPr>
        <w:t> </w:t>
      </w:r>
      <w:r>
        <w:rPr>
          <w:sz w:val="14"/>
        </w:rPr>
        <w:t>0.18%)</w:t>
      </w:r>
      <w:r>
        <w:rPr>
          <w:spacing w:val="-11"/>
          <w:sz w:val="14"/>
        </w:rPr>
        <w:t> </w:t>
      </w:r>
      <w:r>
        <w:rPr>
          <w:sz w:val="14"/>
        </w:rPr>
        <w:t>for</w:t>
      </w:r>
      <w:r>
        <w:rPr>
          <w:spacing w:val="-9"/>
          <w:sz w:val="14"/>
        </w:rPr>
        <w:t> </w:t>
      </w:r>
      <w:r>
        <w:rPr>
          <w:sz w:val="14"/>
        </w:rPr>
        <w:t>inflation</w:t>
      </w:r>
      <w:r>
        <w:rPr>
          <w:spacing w:val="-9"/>
          <w:sz w:val="14"/>
        </w:rPr>
        <w:t> </w:t>
      </w:r>
      <w:r>
        <w:rPr>
          <w:sz w:val="14"/>
        </w:rPr>
        <w:t>adjusted</w:t>
      </w:r>
      <w:r>
        <w:rPr>
          <w:spacing w:val="-9"/>
          <w:sz w:val="14"/>
        </w:rPr>
        <w:t> </w:t>
      </w:r>
      <w:r>
        <w:rPr>
          <w:sz w:val="14"/>
        </w:rPr>
        <w:t>expected</w:t>
      </w:r>
      <w:r>
        <w:rPr>
          <w:spacing w:val="-9"/>
          <w:sz w:val="14"/>
        </w:rPr>
        <w:t> </w:t>
      </w:r>
      <w:r>
        <w:rPr>
          <w:sz w:val="14"/>
        </w:rPr>
        <w:t>cash</w:t>
      </w:r>
      <w:r>
        <w:rPr>
          <w:spacing w:val="-8"/>
          <w:sz w:val="14"/>
        </w:rPr>
        <w:t> </w:t>
      </w:r>
      <w:r>
        <w:rPr>
          <w:sz w:val="14"/>
        </w:rPr>
        <w:t>flows</w:t>
      </w:r>
      <w:r>
        <w:rPr>
          <w:spacing w:val="-8"/>
          <w:sz w:val="14"/>
        </w:rPr>
        <w:t> </w:t>
      </w:r>
      <w:r>
        <w:rPr>
          <w:sz w:val="14"/>
        </w:rPr>
        <w:t>over</w:t>
      </w:r>
      <w:r>
        <w:rPr>
          <w:spacing w:val="-9"/>
          <w:sz w:val="14"/>
        </w:rPr>
        <w:t> </w:t>
      </w:r>
      <w:r>
        <w:rPr>
          <w:sz w:val="14"/>
        </w:rPr>
        <w:t>5</w:t>
      </w:r>
      <w:r>
        <w:rPr>
          <w:spacing w:val="-8"/>
          <w:sz w:val="14"/>
        </w:rPr>
        <w:t> </w:t>
      </w:r>
      <w:r>
        <w:rPr>
          <w:sz w:val="14"/>
        </w:rPr>
        <w:t>years</w:t>
      </w:r>
      <w:r>
        <w:rPr>
          <w:spacing w:val="-9"/>
          <w:sz w:val="14"/>
        </w:rPr>
        <w:t> </w:t>
      </w:r>
      <w:r>
        <w:rPr>
          <w:sz w:val="14"/>
        </w:rPr>
        <w:t>up</w:t>
      </w:r>
      <w:r>
        <w:rPr>
          <w:spacing w:val="-8"/>
          <w:sz w:val="14"/>
        </w:rPr>
        <w:t> </w:t>
      </w:r>
      <w:r>
        <w:rPr>
          <w:sz w:val="14"/>
        </w:rPr>
        <w:t>to</w:t>
      </w:r>
      <w:r>
        <w:rPr>
          <w:spacing w:val="-8"/>
          <w:sz w:val="14"/>
        </w:rPr>
        <w:t> </w:t>
      </w:r>
      <w:r>
        <w:rPr>
          <w:sz w:val="14"/>
        </w:rPr>
        <w:t>and</w:t>
      </w:r>
      <w:r>
        <w:rPr>
          <w:spacing w:val="-8"/>
          <w:sz w:val="14"/>
        </w:rPr>
        <w:t> </w:t>
      </w:r>
      <w:r>
        <w:rPr>
          <w:sz w:val="14"/>
        </w:rPr>
        <w:t>including</w:t>
      </w:r>
      <w:r>
        <w:rPr>
          <w:spacing w:val="-8"/>
          <w:sz w:val="14"/>
        </w:rPr>
        <w:t> </w:t>
      </w:r>
      <w:r>
        <w:rPr>
          <w:sz w:val="14"/>
        </w:rPr>
        <w:t>10</w:t>
      </w:r>
      <w:r>
        <w:rPr>
          <w:spacing w:val="-9"/>
          <w:sz w:val="14"/>
        </w:rPr>
        <w:t> </w:t>
      </w:r>
      <w:r>
        <w:rPr>
          <w:sz w:val="14"/>
        </w:rPr>
        <w:t>years</w:t>
      </w:r>
      <w:r>
        <w:rPr>
          <w:spacing w:val="-10"/>
          <w:sz w:val="14"/>
        </w:rPr>
        <w:t> </w:t>
      </w:r>
      <w:r>
        <w:rPr>
          <w:sz w:val="14"/>
        </w:rPr>
        <w:t>from</w:t>
      </w:r>
      <w:r>
        <w:rPr>
          <w:spacing w:val="-4"/>
          <w:sz w:val="14"/>
        </w:rPr>
        <w:t> </w:t>
      </w:r>
      <w:r>
        <w:rPr>
          <w:sz w:val="14"/>
        </w:rPr>
        <w:t>the Statement of Financial Position</w:t>
      </w:r>
      <w:r>
        <w:rPr>
          <w:spacing w:val="-4"/>
          <w:sz w:val="14"/>
        </w:rPr>
        <w:t> </w:t>
      </w:r>
      <w:r>
        <w:rPr>
          <w:sz w:val="14"/>
        </w:rPr>
        <w:t>date.</w:t>
      </w:r>
    </w:p>
    <w:p>
      <w:pPr>
        <w:pStyle w:val="ListParagraph"/>
        <w:numPr>
          <w:ilvl w:val="0"/>
          <w:numId w:val="20"/>
        </w:numPr>
        <w:tabs>
          <w:tab w:pos="792" w:val="left" w:leader="none"/>
        </w:tabs>
        <w:spacing w:line="256" w:lineRule="auto" w:before="0" w:after="0"/>
        <w:ind w:left="704" w:right="704" w:firstLine="0"/>
        <w:jc w:val="left"/>
        <w:rPr>
          <w:sz w:val="14"/>
        </w:rPr>
      </w:pPr>
      <w:r>
        <w:rPr>
          <w:sz w:val="14"/>
        </w:rPr>
        <w:t>A</w:t>
      </w:r>
      <w:r>
        <w:rPr>
          <w:spacing w:val="-8"/>
          <w:sz w:val="14"/>
        </w:rPr>
        <w:t> </w:t>
      </w:r>
      <w:r>
        <w:rPr>
          <w:sz w:val="14"/>
        </w:rPr>
        <w:t>nominal</w:t>
      </w:r>
      <w:r>
        <w:rPr>
          <w:spacing w:val="-8"/>
          <w:sz w:val="14"/>
        </w:rPr>
        <w:t> </w:t>
      </w:r>
      <w:r>
        <w:rPr>
          <w:sz w:val="14"/>
        </w:rPr>
        <w:t>long-term</w:t>
      </w:r>
      <w:r>
        <w:rPr>
          <w:spacing w:val="-4"/>
          <w:sz w:val="14"/>
        </w:rPr>
        <w:t> </w:t>
      </w:r>
      <w:r>
        <w:rPr>
          <w:sz w:val="14"/>
        </w:rPr>
        <w:t>rate</w:t>
      </w:r>
      <w:r>
        <w:rPr>
          <w:spacing w:val="-10"/>
          <w:sz w:val="14"/>
        </w:rPr>
        <w:t> </w:t>
      </w:r>
      <w:r>
        <w:rPr>
          <w:sz w:val="14"/>
        </w:rPr>
        <w:t>of</w:t>
      </w:r>
      <w:r>
        <w:rPr>
          <w:spacing w:val="-8"/>
          <w:sz w:val="14"/>
        </w:rPr>
        <w:t> </w:t>
      </w:r>
      <w:r>
        <w:rPr>
          <w:sz w:val="14"/>
        </w:rPr>
        <w:t>0.95%</w:t>
      </w:r>
      <w:r>
        <w:rPr>
          <w:spacing w:val="-4"/>
          <w:sz w:val="14"/>
        </w:rPr>
        <w:t> </w:t>
      </w:r>
      <w:r>
        <w:rPr>
          <w:sz w:val="14"/>
        </w:rPr>
        <w:t>(2020-21</w:t>
      </w:r>
      <w:r>
        <w:rPr>
          <w:spacing w:val="-9"/>
          <w:sz w:val="14"/>
        </w:rPr>
        <w:t> </w:t>
      </w:r>
      <w:r>
        <w:rPr>
          <w:sz w:val="14"/>
        </w:rPr>
        <w:t>1.99%)</w:t>
      </w:r>
      <w:r>
        <w:rPr>
          <w:spacing w:val="-9"/>
          <w:sz w:val="14"/>
        </w:rPr>
        <w:t> </w:t>
      </w:r>
      <w:r>
        <w:rPr>
          <w:sz w:val="14"/>
        </w:rPr>
        <w:t>for</w:t>
      </w:r>
      <w:r>
        <w:rPr>
          <w:spacing w:val="-11"/>
          <w:sz w:val="14"/>
        </w:rPr>
        <w:t> </w:t>
      </w:r>
      <w:r>
        <w:rPr>
          <w:sz w:val="14"/>
        </w:rPr>
        <w:t>inflation</w:t>
      </w:r>
      <w:r>
        <w:rPr>
          <w:spacing w:val="-6"/>
          <w:sz w:val="14"/>
        </w:rPr>
        <w:t> </w:t>
      </w:r>
      <w:r>
        <w:rPr>
          <w:sz w:val="14"/>
        </w:rPr>
        <w:t>adjusted</w:t>
      </w:r>
      <w:r>
        <w:rPr>
          <w:spacing w:val="-9"/>
          <w:sz w:val="14"/>
        </w:rPr>
        <w:t> </w:t>
      </w:r>
      <w:r>
        <w:rPr>
          <w:sz w:val="14"/>
        </w:rPr>
        <w:t>expected</w:t>
      </w:r>
      <w:r>
        <w:rPr>
          <w:spacing w:val="-9"/>
          <w:sz w:val="14"/>
        </w:rPr>
        <w:t> </w:t>
      </w:r>
      <w:r>
        <w:rPr>
          <w:sz w:val="14"/>
        </w:rPr>
        <w:t>cash</w:t>
      </w:r>
      <w:r>
        <w:rPr>
          <w:spacing w:val="-9"/>
          <w:sz w:val="14"/>
        </w:rPr>
        <w:t> </w:t>
      </w:r>
      <w:r>
        <w:rPr>
          <w:sz w:val="14"/>
        </w:rPr>
        <w:t>flows</w:t>
      </w:r>
      <w:r>
        <w:rPr>
          <w:spacing w:val="-8"/>
          <w:sz w:val="14"/>
        </w:rPr>
        <w:t> </w:t>
      </w:r>
      <w:r>
        <w:rPr>
          <w:sz w:val="14"/>
        </w:rPr>
        <w:t>over</w:t>
      </w:r>
      <w:r>
        <w:rPr>
          <w:spacing w:val="-9"/>
          <w:sz w:val="14"/>
        </w:rPr>
        <w:t> </w:t>
      </w:r>
      <w:r>
        <w:rPr>
          <w:sz w:val="14"/>
        </w:rPr>
        <w:t>10</w:t>
      </w:r>
      <w:r>
        <w:rPr>
          <w:spacing w:val="-6"/>
          <w:sz w:val="14"/>
        </w:rPr>
        <w:t> </w:t>
      </w:r>
      <w:r>
        <w:rPr>
          <w:sz w:val="14"/>
        </w:rPr>
        <w:t>years</w:t>
      </w:r>
      <w:r>
        <w:rPr>
          <w:spacing w:val="-9"/>
          <w:sz w:val="14"/>
        </w:rPr>
        <w:t> </w:t>
      </w:r>
      <w:r>
        <w:rPr>
          <w:sz w:val="14"/>
        </w:rPr>
        <w:t>and</w:t>
      </w:r>
      <w:r>
        <w:rPr>
          <w:spacing w:val="-8"/>
          <w:sz w:val="14"/>
        </w:rPr>
        <w:t> </w:t>
      </w:r>
      <w:r>
        <w:rPr>
          <w:sz w:val="14"/>
        </w:rPr>
        <w:t>up</w:t>
      </w:r>
      <w:r>
        <w:rPr>
          <w:spacing w:val="-8"/>
          <w:sz w:val="14"/>
        </w:rPr>
        <w:t> </w:t>
      </w:r>
      <w:r>
        <w:rPr>
          <w:sz w:val="14"/>
        </w:rPr>
        <w:t>to</w:t>
      </w:r>
      <w:r>
        <w:rPr>
          <w:spacing w:val="-6"/>
          <w:sz w:val="14"/>
        </w:rPr>
        <w:t> </w:t>
      </w:r>
      <w:r>
        <w:rPr>
          <w:sz w:val="14"/>
        </w:rPr>
        <w:t>and</w:t>
      </w:r>
      <w:r>
        <w:rPr>
          <w:spacing w:val="-9"/>
          <w:sz w:val="14"/>
        </w:rPr>
        <w:t> </w:t>
      </w:r>
      <w:r>
        <w:rPr>
          <w:sz w:val="14"/>
        </w:rPr>
        <w:t>including</w:t>
      </w:r>
      <w:r>
        <w:rPr>
          <w:spacing w:val="-9"/>
          <w:sz w:val="14"/>
        </w:rPr>
        <w:t> </w:t>
      </w:r>
      <w:r>
        <w:rPr>
          <w:sz w:val="14"/>
        </w:rPr>
        <w:t>40</w:t>
      </w:r>
      <w:r>
        <w:rPr>
          <w:spacing w:val="-8"/>
          <w:sz w:val="14"/>
        </w:rPr>
        <w:t> </w:t>
      </w:r>
      <w:r>
        <w:rPr>
          <w:sz w:val="14"/>
        </w:rPr>
        <w:t>years</w:t>
      </w:r>
      <w:r>
        <w:rPr>
          <w:spacing w:val="-8"/>
          <w:sz w:val="14"/>
        </w:rPr>
        <w:t> </w:t>
      </w:r>
      <w:r>
        <w:rPr>
          <w:sz w:val="14"/>
        </w:rPr>
        <w:t>from</w:t>
      </w:r>
      <w:r>
        <w:rPr>
          <w:spacing w:val="-6"/>
          <w:sz w:val="14"/>
        </w:rPr>
        <w:t> </w:t>
      </w:r>
      <w:r>
        <w:rPr>
          <w:sz w:val="14"/>
        </w:rPr>
        <w:t>the Statement of Financial Position</w:t>
      </w:r>
      <w:r>
        <w:rPr>
          <w:spacing w:val="-4"/>
          <w:sz w:val="14"/>
        </w:rPr>
        <w:t> </w:t>
      </w:r>
      <w:r>
        <w:rPr>
          <w:sz w:val="14"/>
        </w:rPr>
        <w:t>date.</w:t>
      </w:r>
    </w:p>
    <w:p>
      <w:pPr>
        <w:pStyle w:val="ListParagraph"/>
        <w:numPr>
          <w:ilvl w:val="0"/>
          <w:numId w:val="20"/>
        </w:numPr>
        <w:tabs>
          <w:tab w:pos="792" w:val="left" w:leader="none"/>
        </w:tabs>
        <w:spacing w:line="256" w:lineRule="auto" w:before="0" w:after="0"/>
        <w:ind w:left="704" w:right="626" w:firstLine="0"/>
        <w:jc w:val="left"/>
        <w:rPr>
          <w:sz w:val="14"/>
        </w:rPr>
      </w:pPr>
      <w:r>
        <w:rPr>
          <w:sz w:val="14"/>
        </w:rPr>
        <w:t>A</w:t>
      </w:r>
      <w:r>
        <w:rPr>
          <w:spacing w:val="-8"/>
          <w:sz w:val="14"/>
        </w:rPr>
        <w:t> </w:t>
      </w:r>
      <w:r>
        <w:rPr>
          <w:sz w:val="14"/>
        </w:rPr>
        <w:t>nominal</w:t>
      </w:r>
      <w:r>
        <w:rPr>
          <w:spacing w:val="-9"/>
          <w:sz w:val="14"/>
        </w:rPr>
        <w:t> </w:t>
      </w:r>
      <w:r>
        <w:rPr>
          <w:sz w:val="14"/>
        </w:rPr>
        <w:t>very</w:t>
      </w:r>
      <w:r>
        <w:rPr>
          <w:spacing w:val="-13"/>
          <w:sz w:val="14"/>
        </w:rPr>
        <w:t> </w:t>
      </w:r>
      <w:r>
        <w:rPr>
          <w:sz w:val="14"/>
        </w:rPr>
        <w:t>long-term</w:t>
      </w:r>
      <w:r>
        <w:rPr>
          <w:spacing w:val="-7"/>
          <w:sz w:val="14"/>
        </w:rPr>
        <w:t> </w:t>
      </w:r>
      <w:r>
        <w:rPr>
          <w:sz w:val="14"/>
        </w:rPr>
        <w:t>rate</w:t>
      </w:r>
      <w:r>
        <w:rPr>
          <w:spacing w:val="-10"/>
          <w:sz w:val="14"/>
        </w:rPr>
        <w:t> </w:t>
      </w:r>
      <w:r>
        <w:rPr>
          <w:sz w:val="14"/>
        </w:rPr>
        <w:t>of</w:t>
      </w:r>
      <w:r>
        <w:rPr>
          <w:spacing w:val="-8"/>
          <w:sz w:val="14"/>
        </w:rPr>
        <w:t> </w:t>
      </w:r>
      <w:r>
        <w:rPr>
          <w:sz w:val="14"/>
        </w:rPr>
        <w:t>0.66%</w:t>
      </w:r>
      <w:r>
        <w:rPr>
          <w:spacing w:val="-6"/>
          <w:sz w:val="14"/>
        </w:rPr>
        <w:t> </w:t>
      </w:r>
      <w:r>
        <w:rPr>
          <w:sz w:val="14"/>
        </w:rPr>
        <w:t>(2020-21:</w:t>
      </w:r>
      <w:r>
        <w:rPr>
          <w:spacing w:val="-10"/>
          <w:sz w:val="14"/>
        </w:rPr>
        <w:t> </w:t>
      </w:r>
      <w:r>
        <w:rPr>
          <w:sz w:val="14"/>
        </w:rPr>
        <w:t>1.99%)</w:t>
      </w:r>
      <w:r>
        <w:rPr>
          <w:spacing w:val="-12"/>
          <w:sz w:val="14"/>
        </w:rPr>
        <w:t> </w:t>
      </w:r>
      <w:r>
        <w:rPr>
          <w:sz w:val="14"/>
        </w:rPr>
        <w:t>for</w:t>
      </w:r>
      <w:r>
        <w:rPr>
          <w:spacing w:val="-9"/>
          <w:sz w:val="14"/>
        </w:rPr>
        <w:t> </w:t>
      </w:r>
      <w:r>
        <w:rPr>
          <w:sz w:val="14"/>
        </w:rPr>
        <w:t>inflation</w:t>
      </w:r>
      <w:r>
        <w:rPr>
          <w:spacing w:val="-9"/>
          <w:sz w:val="14"/>
        </w:rPr>
        <w:t> </w:t>
      </w:r>
      <w:r>
        <w:rPr>
          <w:sz w:val="14"/>
        </w:rPr>
        <w:t>adjusted</w:t>
      </w:r>
      <w:r>
        <w:rPr>
          <w:spacing w:val="-9"/>
          <w:sz w:val="14"/>
        </w:rPr>
        <w:t> </w:t>
      </w:r>
      <w:r>
        <w:rPr>
          <w:sz w:val="14"/>
        </w:rPr>
        <w:t>expected</w:t>
      </w:r>
      <w:r>
        <w:rPr>
          <w:spacing w:val="-12"/>
          <w:sz w:val="14"/>
        </w:rPr>
        <w:t> </w:t>
      </w:r>
      <w:r>
        <w:rPr>
          <w:sz w:val="14"/>
        </w:rPr>
        <w:t>cash</w:t>
      </w:r>
      <w:r>
        <w:rPr>
          <w:spacing w:val="-9"/>
          <w:sz w:val="14"/>
        </w:rPr>
        <w:t> </w:t>
      </w:r>
      <w:r>
        <w:rPr>
          <w:sz w:val="14"/>
        </w:rPr>
        <w:t>flows</w:t>
      </w:r>
      <w:r>
        <w:rPr>
          <w:spacing w:val="-8"/>
          <w:sz w:val="14"/>
        </w:rPr>
        <w:t> </w:t>
      </w:r>
      <w:r>
        <w:rPr>
          <w:sz w:val="14"/>
        </w:rPr>
        <w:t>exceeding</w:t>
      </w:r>
      <w:r>
        <w:rPr>
          <w:spacing w:val="-12"/>
          <w:sz w:val="14"/>
        </w:rPr>
        <w:t> </w:t>
      </w:r>
      <w:r>
        <w:rPr>
          <w:sz w:val="14"/>
        </w:rPr>
        <w:t>40</w:t>
      </w:r>
      <w:r>
        <w:rPr>
          <w:spacing w:val="-9"/>
          <w:sz w:val="14"/>
        </w:rPr>
        <w:t> </w:t>
      </w:r>
      <w:r>
        <w:rPr>
          <w:sz w:val="14"/>
        </w:rPr>
        <w:t>years</w:t>
      </w:r>
      <w:r>
        <w:rPr>
          <w:spacing w:val="-10"/>
          <w:sz w:val="14"/>
        </w:rPr>
        <w:t> </w:t>
      </w:r>
      <w:r>
        <w:rPr>
          <w:sz w:val="14"/>
        </w:rPr>
        <w:t>from</w:t>
      </w:r>
      <w:r>
        <w:rPr>
          <w:spacing w:val="-7"/>
          <w:sz w:val="14"/>
        </w:rPr>
        <w:t> </w:t>
      </w:r>
      <w:r>
        <w:rPr>
          <w:sz w:val="14"/>
        </w:rPr>
        <w:t>the</w:t>
      </w:r>
      <w:r>
        <w:rPr>
          <w:spacing w:val="-11"/>
          <w:sz w:val="14"/>
        </w:rPr>
        <w:t> </w:t>
      </w:r>
      <w:r>
        <w:rPr>
          <w:sz w:val="14"/>
        </w:rPr>
        <w:t>Statement</w:t>
      </w:r>
      <w:r>
        <w:rPr>
          <w:spacing w:val="-9"/>
          <w:sz w:val="14"/>
        </w:rPr>
        <w:t> </w:t>
      </w:r>
      <w:r>
        <w:rPr>
          <w:sz w:val="14"/>
        </w:rPr>
        <w:t>of</w:t>
      </w:r>
      <w:r>
        <w:rPr>
          <w:spacing w:val="-9"/>
          <w:sz w:val="14"/>
        </w:rPr>
        <w:t> </w:t>
      </w:r>
      <w:r>
        <w:rPr>
          <w:sz w:val="14"/>
        </w:rPr>
        <w:t>Financial Position</w:t>
      </w:r>
      <w:r>
        <w:rPr>
          <w:spacing w:val="-5"/>
          <w:sz w:val="14"/>
        </w:rPr>
        <w:t> </w:t>
      </w:r>
      <w:r>
        <w:rPr>
          <w:sz w:val="14"/>
        </w:rPr>
        <w:t>date.</w:t>
      </w:r>
    </w:p>
    <w:p>
      <w:pPr>
        <w:pStyle w:val="BodyText"/>
        <w:spacing w:before="1"/>
        <w:rPr>
          <w:sz w:val="15"/>
        </w:rPr>
      </w:pPr>
    </w:p>
    <w:p>
      <w:pPr>
        <w:spacing w:line="254" w:lineRule="auto" w:before="0"/>
        <w:ind w:left="704" w:right="644" w:firstLine="0"/>
        <w:jc w:val="left"/>
        <w:rPr>
          <w:sz w:val="14"/>
        </w:rPr>
      </w:pPr>
      <w:r>
        <w:rPr>
          <w:sz w:val="14"/>
        </w:rPr>
        <w:t>When</w:t>
      </w:r>
      <w:r>
        <w:rPr>
          <w:spacing w:val="-8"/>
          <w:sz w:val="14"/>
        </w:rPr>
        <w:t> </w:t>
      </w:r>
      <w:r>
        <w:rPr>
          <w:sz w:val="14"/>
        </w:rPr>
        <w:t>some</w:t>
      </w:r>
      <w:r>
        <w:rPr>
          <w:spacing w:val="-8"/>
          <w:sz w:val="14"/>
        </w:rPr>
        <w:t> </w:t>
      </w:r>
      <w:r>
        <w:rPr>
          <w:sz w:val="14"/>
        </w:rPr>
        <w:t>or</w:t>
      </w:r>
      <w:r>
        <w:rPr>
          <w:spacing w:val="-6"/>
          <w:sz w:val="14"/>
        </w:rPr>
        <w:t> </w:t>
      </w:r>
      <w:r>
        <w:rPr>
          <w:sz w:val="14"/>
        </w:rPr>
        <w:t>all</w:t>
      </w:r>
      <w:r>
        <w:rPr>
          <w:spacing w:val="-8"/>
          <w:sz w:val="14"/>
        </w:rPr>
        <w:t> </w:t>
      </w:r>
      <w:r>
        <w:rPr>
          <w:sz w:val="14"/>
        </w:rPr>
        <w:t>of</w:t>
      </w:r>
      <w:r>
        <w:rPr>
          <w:spacing w:val="-8"/>
          <w:sz w:val="14"/>
        </w:rPr>
        <w:t> </w:t>
      </w:r>
      <w:r>
        <w:rPr>
          <w:sz w:val="14"/>
        </w:rPr>
        <w:t>the</w:t>
      </w:r>
      <w:r>
        <w:rPr>
          <w:spacing w:val="-8"/>
          <w:sz w:val="14"/>
        </w:rPr>
        <w:t> </w:t>
      </w:r>
      <w:r>
        <w:rPr>
          <w:sz w:val="14"/>
        </w:rPr>
        <w:t>economic</w:t>
      </w:r>
      <w:r>
        <w:rPr>
          <w:spacing w:val="-8"/>
          <w:sz w:val="14"/>
        </w:rPr>
        <w:t> </w:t>
      </w:r>
      <w:r>
        <w:rPr>
          <w:sz w:val="14"/>
        </w:rPr>
        <w:t>benefits</w:t>
      </w:r>
      <w:r>
        <w:rPr>
          <w:spacing w:val="-7"/>
          <w:sz w:val="14"/>
        </w:rPr>
        <w:t> </w:t>
      </w:r>
      <w:r>
        <w:rPr>
          <w:sz w:val="14"/>
        </w:rPr>
        <w:t>required</w:t>
      </w:r>
      <w:r>
        <w:rPr>
          <w:spacing w:val="-9"/>
          <w:sz w:val="14"/>
        </w:rPr>
        <w:t> </w:t>
      </w:r>
      <w:r>
        <w:rPr>
          <w:sz w:val="14"/>
        </w:rPr>
        <w:t>to</w:t>
      </w:r>
      <w:r>
        <w:rPr>
          <w:spacing w:val="-6"/>
          <w:sz w:val="14"/>
        </w:rPr>
        <w:t> </w:t>
      </w:r>
      <w:r>
        <w:rPr>
          <w:sz w:val="14"/>
        </w:rPr>
        <w:t>settle</w:t>
      </w:r>
      <w:r>
        <w:rPr>
          <w:spacing w:val="-8"/>
          <w:sz w:val="14"/>
        </w:rPr>
        <w:t> </w:t>
      </w:r>
      <w:r>
        <w:rPr>
          <w:sz w:val="14"/>
        </w:rPr>
        <w:t>a</w:t>
      </w:r>
      <w:r>
        <w:rPr>
          <w:spacing w:val="-6"/>
          <w:sz w:val="14"/>
        </w:rPr>
        <w:t> </w:t>
      </w:r>
      <w:r>
        <w:rPr>
          <w:sz w:val="14"/>
        </w:rPr>
        <w:t>provision</w:t>
      </w:r>
      <w:r>
        <w:rPr>
          <w:spacing w:val="-8"/>
          <w:sz w:val="14"/>
        </w:rPr>
        <w:t> </w:t>
      </w:r>
      <w:r>
        <w:rPr>
          <w:sz w:val="14"/>
        </w:rPr>
        <w:t>are</w:t>
      </w:r>
      <w:r>
        <w:rPr>
          <w:spacing w:val="-8"/>
          <w:sz w:val="14"/>
        </w:rPr>
        <w:t> </w:t>
      </w:r>
      <w:r>
        <w:rPr>
          <w:sz w:val="14"/>
        </w:rPr>
        <w:t>expected</w:t>
      </w:r>
      <w:r>
        <w:rPr>
          <w:spacing w:val="-8"/>
          <w:sz w:val="14"/>
        </w:rPr>
        <w:t> </w:t>
      </w:r>
      <w:r>
        <w:rPr>
          <w:sz w:val="14"/>
        </w:rPr>
        <w:t>to</w:t>
      </w:r>
      <w:r>
        <w:rPr>
          <w:spacing w:val="-6"/>
          <w:sz w:val="14"/>
        </w:rPr>
        <w:t> </w:t>
      </w:r>
      <w:r>
        <w:rPr>
          <w:sz w:val="14"/>
        </w:rPr>
        <w:t>be</w:t>
      </w:r>
      <w:r>
        <w:rPr>
          <w:spacing w:val="-7"/>
          <w:sz w:val="14"/>
        </w:rPr>
        <w:t> </w:t>
      </w:r>
      <w:r>
        <w:rPr>
          <w:sz w:val="14"/>
        </w:rPr>
        <w:t>recovered</w:t>
      </w:r>
      <w:r>
        <w:rPr>
          <w:spacing w:val="-8"/>
          <w:sz w:val="14"/>
        </w:rPr>
        <w:t> </w:t>
      </w:r>
      <w:r>
        <w:rPr>
          <w:sz w:val="14"/>
        </w:rPr>
        <w:t>from</w:t>
      </w:r>
      <w:r>
        <w:rPr>
          <w:spacing w:val="-6"/>
          <w:sz w:val="14"/>
        </w:rPr>
        <w:t> </w:t>
      </w:r>
      <w:r>
        <w:rPr>
          <w:sz w:val="14"/>
        </w:rPr>
        <w:t>a</w:t>
      </w:r>
      <w:r>
        <w:rPr>
          <w:spacing w:val="-6"/>
          <w:sz w:val="14"/>
        </w:rPr>
        <w:t> </w:t>
      </w:r>
      <w:r>
        <w:rPr>
          <w:sz w:val="14"/>
        </w:rPr>
        <w:t>third</w:t>
      </w:r>
      <w:r>
        <w:rPr>
          <w:spacing w:val="-8"/>
          <w:sz w:val="14"/>
        </w:rPr>
        <w:t> </w:t>
      </w:r>
      <w:r>
        <w:rPr>
          <w:sz w:val="14"/>
        </w:rPr>
        <w:t>party,</w:t>
      </w:r>
      <w:r>
        <w:rPr>
          <w:spacing w:val="-8"/>
          <w:sz w:val="14"/>
        </w:rPr>
        <w:t> </w:t>
      </w:r>
      <w:r>
        <w:rPr>
          <w:sz w:val="14"/>
        </w:rPr>
        <w:t>the</w:t>
      </w:r>
      <w:r>
        <w:rPr>
          <w:spacing w:val="-8"/>
          <w:sz w:val="14"/>
        </w:rPr>
        <w:t> </w:t>
      </w:r>
      <w:r>
        <w:rPr>
          <w:sz w:val="14"/>
        </w:rPr>
        <w:t>receivable</w:t>
      </w:r>
      <w:r>
        <w:rPr>
          <w:spacing w:val="-8"/>
          <w:sz w:val="14"/>
        </w:rPr>
        <w:t> </w:t>
      </w:r>
      <w:r>
        <w:rPr>
          <w:sz w:val="14"/>
        </w:rPr>
        <w:t>is</w:t>
      </w:r>
      <w:r>
        <w:rPr>
          <w:spacing w:val="-5"/>
          <w:sz w:val="14"/>
        </w:rPr>
        <w:t> </w:t>
      </w:r>
      <w:r>
        <w:rPr>
          <w:sz w:val="14"/>
        </w:rPr>
        <w:t>recognised</w:t>
      </w:r>
      <w:r>
        <w:rPr>
          <w:spacing w:val="-7"/>
          <w:sz w:val="14"/>
        </w:rPr>
        <w:t> </w:t>
      </w:r>
      <w:r>
        <w:rPr>
          <w:sz w:val="14"/>
        </w:rPr>
        <w:t>as an</w:t>
      </w:r>
      <w:r>
        <w:rPr>
          <w:spacing w:val="-5"/>
          <w:sz w:val="14"/>
        </w:rPr>
        <w:t> </w:t>
      </w:r>
      <w:r>
        <w:rPr>
          <w:sz w:val="14"/>
        </w:rPr>
        <w:t>asset</w:t>
      </w:r>
      <w:r>
        <w:rPr>
          <w:spacing w:val="-5"/>
          <w:sz w:val="14"/>
        </w:rPr>
        <w:t> </w:t>
      </w:r>
      <w:r>
        <w:rPr>
          <w:sz w:val="14"/>
        </w:rPr>
        <w:t>if</w:t>
      </w:r>
      <w:r>
        <w:rPr>
          <w:spacing w:val="-4"/>
          <w:sz w:val="14"/>
        </w:rPr>
        <w:t> </w:t>
      </w:r>
      <w:r>
        <w:rPr>
          <w:sz w:val="14"/>
        </w:rPr>
        <w:t>it</w:t>
      </w:r>
      <w:r>
        <w:rPr>
          <w:spacing w:val="-7"/>
          <w:sz w:val="14"/>
        </w:rPr>
        <w:t> </w:t>
      </w:r>
      <w:r>
        <w:rPr>
          <w:sz w:val="14"/>
        </w:rPr>
        <w:t>is</w:t>
      </w:r>
      <w:r>
        <w:rPr>
          <w:spacing w:val="-3"/>
          <w:sz w:val="14"/>
        </w:rPr>
        <w:t> </w:t>
      </w:r>
      <w:r>
        <w:rPr>
          <w:sz w:val="14"/>
        </w:rPr>
        <w:t>virtually</w:t>
      </w:r>
      <w:r>
        <w:rPr>
          <w:spacing w:val="-9"/>
          <w:sz w:val="14"/>
        </w:rPr>
        <w:t> </w:t>
      </w:r>
      <w:r>
        <w:rPr>
          <w:sz w:val="14"/>
        </w:rPr>
        <w:t>certain</w:t>
      </w:r>
      <w:r>
        <w:rPr>
          <w:spacing w:val="-4"/>
          <w:sz w:val="14"/>
        </w:rPr>
        <w:t> </w:t>
      </w:r>
      <w:r>
        <w:rPr>
          <w:sz w:val="14"/>
        </w:rPr>
        <w:t>that</w:t>
      </w:r>
      <w:r>
        <w:rPr>
          <w:spacing w:val="-2"/>
          <w:sz w:val="14"/>
        </w:rPr>
        <w:t> </w:t>
      </w:r>
      <w:r>
        <w:rPr>
          <w:sz w:val="14"/>
        </w:rPr>
        <w:t>reimbursements</w:t>
      </w:r>
      <w:r>
        <w:rPr>
          <w:spacing w:val="-4"/>
          <w:sz w:val="14"/>
        </w:rPr>
        <w:t> </w:t>
      </w:r>
      <w:r>
        <w:rPr>
          <w:sz w:val="14"/>
        </w:rPr>
        <w:t>will</w:t>
      </w:r>
      <w:r>
        <w:rPr>
          <w:spacing w:val="-1"/>
          <w:sz w:val="14"/>
        </w:rPr>
        <w:t> </w:t>
      </w:r>
      <w:r>
        <w:rPr>
          <w:sz w:val="14"/>
        </w:rPr>
        <w:t>be</w:t>
      </w:r>
      <w:r>
        <w:rPr>
          <w:spacing w:val="-5"/>
          <w:sz w:val="14"/>
        </w:rPr>
        <w:t> </w:t>
      </w:r>
      <w:r>
        <w:rPr>
          <w:sz w:val="14"/>
        </w:rPr>
        <w:t>received</w:t>
      </w:r>
      <w:r>
        <w:rPr>
          <w:spacing w:val="-3"/>
          <w:sz w:val="14"/>
        </w:rPr>
        <w:t> </w:t>
      </w:r>
      <w:r>
        <w:rPr>
          <w:sz w:val="14"/>
        </w:rPr>
        <w:t>and</w:t>
      </w:r>
      <w:r>
        <w:rPr>
          <w:spacing w:val="-4"/>
          <w:sz w:val="14"/>
        </w:rPr>
        <w:t> </w:t>
      </w:r>
      <w:r>
        <w:rPr>
          <w:sz w:val="14"/>
        </w:rPr>
        <w:t>the</w:t>
      </w:r>
      <w:r>
        <w:rPr>
          <w:spacing w:val="-5"/>
          <w:sz w:val="14"/>
        </w:rPr>
        <w:t> </w:t>
      </w:r>
      <w:r>
        <w:rPr>
          <w:sz w:val="14"/>
        </w:rPr>
        <w:t>amount</w:t>
      </w:r>
      <w:r>
        <w:rPr>
          <w:spacing w:val="-4"/>
          <w:sz w:val="14"/>
        </w:rPr>
        <w:t> </w:t>
      </w:r>
      <w:r>
        <w:rPr>
          <w:sz w:val="14"/>
        </w:rPr>
        <w:t>of</w:t>
      </w:r>
      <w:r>
        <w:rPr>
          <w:spacing w:val="-7"/>
          <w:sz w:val="14"/>
        </w:rPr>
        <w:t> </w:t>
      </w:r>
      <w:r>
        <w:rPr>
          <w:sz w:val="14"/>
        </w:rPr>
        <w:t>the</w:t>
      </w:r>
      <w:r>
        <w:rPr>
          <w:spacing w:val="-2"/>
          <w:sz w:val="14"/>
        </w:rPr>
        <w:t> </w:t>
      </w:r>
      <w:r>
        <w:rPr>
          <w:sz w:val="14"/>
        </w:rPr>
        <w:t>receivable</w:t>
      </w:r>
      <w:r>
        <w:rPr>
          <w:spacing w:val="-5"/>
          <w:sz w:val="14"/>
        </w:rPr>
        <w:t> </w:t>
      </w:r>
      <w:r>
        <w:rPr>
          <w:sz w:val="14"/>
        </w:rPr>
        <w:t>can</w:t>
      </w:r>
      <w:r>
        <w:rPr>
          <w:spacing w:val="-5"/>
          <w:sz w:val="14"/>
        </w:rPr>
        <w:t> </w:t>
      </w:r>
      <w:r>
        <w:rPr>
          <w:sz w:val="14"/>
        </w:rPr>
        <w:t>be</w:t>
      </w:r>
      <w:r>
        <w:rPr>
          <w:spacing w:val="-6"/>
          <w:sz w:val="14"/>
        </w:rPr>
        <w:t> </w:t>
      </w:r>
      <w:r>
        <w:rPr>
          <w:sz w:val="14"/>
        </w:rPr>
        <w:t>measured</w:t>
      </w:r>
      <w:r>
        <w:rPr>
          <w:spacing w:val="-3"/>
          <w:sz w:val="14"/>
        </w:rPr>
        <w:t> </w:t>
      </w:r>
      <w:r>
        <w:rPr>
          <w:sz w:val="14"/>
        </w:rPr>
        <w:t>reliably.</w:t>
      </w:r>
    </w:p>
    <w:p>
      <w:pPr>
        <w:spacing w:line="256" w:lineRule="auto" w:before="2"/>
        <w:ind w:left="703" w:right="604" w:firstLine="0"/>
        <w:jc w:val="left"/>
        <w:rPr>
          <w:sz w:val="14"/>
        </w:rPr>
      </w:pPr>
      <w:r>
        <w:rPr>
          <w:sz w:val="14"/>
        </w:rPr>
        <w:t>A</w:t>
      </w:r>
      <w:r>
        <w:rPr>
          <w:spacing w:val="-11"/>
          <w:sz w:val="14"/>
        </w:rPr>
        <w:t> </w:t>
      </w:r>
      <w:r>
        <w:rPr>
          <w:sz w:val="14"/>
        </w:rPr>
        <w:t>restructuring</w:t>
      </w:r>
      <w:r>
        <w:rPr>
          <w:spacing w:val="-9"/>
          <w:sz w:val="14"/>
        </w:rPr>
        <w:t> </w:t>
      </w:r>
      <w:r>
        <w:rPr>
          <w:sz w:val="14"/>
        </w:rPr>
        <w:t>provision</w:t>
      </w:r>
      <w:r>
        <w:rPr>
          <w:spacing w:val="-10"/>
          <w:sz w:val="14"/>
        </w:rPr>
        <w:t> </w:t>
      </w:r>
      <w:r>
        <w:rPr>
          <w:sz w:val="14"/>
        </w:rPr>
        <w:t>is</w:t>
      </w:r>
      <w:r>
        <w:rPr>
          <w:spacing w:val="-8"/>
          <w:sz w:val="14"/>
        </w:rPr>
        <w:t> </w:t>
      </w:r>
      <w:r>
        <w:rPr>
          <w:sz w:val="14"/>
        </w:rPr>
        <w:t>recognised</w:t>
      </w:r>
      <w:r>
        <w:rPr>
          <w:spacing w:val="-7"/>
          <w:sz w:val="14"/>
        </w:rPr>
        <w:t> </w:t>
      </w:r>
      <w:r>
        <w:rPr>
          <w:sz w:val="14"/>
        </w:rPr>
        <w:t>when</w:t>
      </w:r>
      <w:r>
        <w:rPr>
          <w:spacing w:val="-8"/>
          <w:sz w:val="14"/>
        </w:rPr>
        <w:t> </w:t>
      </w:r>
      <w:r>
        <w:rPr>
          <w:sz w:val="14"/>
        </w:rPr>
        <w:t>the</w:t>
      </w:r>
      <w:r>
        <w:rPr>
          <w:spacing w:val="-9"/>
          <w:sz w:val="14"/>
        </w:rPr>
        <w:t> </w:t>
      </w:r>
      <w:r>
        <w:rPr>
          <w:sz w:val="14"/>
        </w:rPr>
        <w:t>clinical</w:t>
      </w:r>
      <w:r>
        <w:rPr>
          <w:spacing w:val="-8"/>
          <w:sz w:val="14"/>
        </w:rPr>
        <w:t> </w:t>
      </w:r>
      <w:r>
        <w:rPr>
          <w:sz w:val="14"/>
        </w:rPr>
        <w:t>commissioning</w:t>
      </w:r>
      <w:r>
        <w:rPr>
          <w:spacing w:val="-9"/>
          <w:sz w:val="14"/>
        </w:rPr>
        <w:t> </w:t>
      </w:r>
      <w:r>
        <w:rPr>
          <w:sz w:val="14"/>
        </w:rPr>
        <w:t>group</w:t>
      </w:r>
      <w:r>
        <w:rPr>
          <w:spacing w:val="-9"/>
          <w:sz w:val="14"/>
        </w:rPr>
        <w:t> </w:t>
      </w:r>
      <w:r>
        <w:rPr>
          <w:sz w:val="14"/>
        </w:rPr>
        <w:t>has</w:t>
      </w:r>
      <w:r>
        <w:rPr>
          <w:spacing w:val="-5"/>
          <w:sz w:val="14"/>
        </w:rPr>
        <w:t> </w:t>
      </w:r>
      <w:r>
        <w:rPr>
          <w:sz w:val="14"/>
        </w:rPr>
        <w:t>developed</w:t>
      </w:r>
      <w:r>
        <w:rPr>
          <w:spacing w:val="-10"/>
          <w:sz w:val="14"/>
        </w:rPr>
        <w:t> </w:t>
      </w:r>
      <w:r>
        <w:rPr>
          <w:sz w:val="14"/>
        </w:rPr>
        <w:t>a</w:t>
      </w:r>
      <w:r>
        <w:rPr>
          <w:spacing w:val="-8"/>
          <w:sz w:val="14"/>
        </w:rPr>
        <w:t> </w:t>
      </w:r>
      <w:r>
        <w:rPr>
          <w:sz w:val="14"/>
        </w:rPr>
        <w:t>detailed</w:t>
      </w:r>
      <w:r>
        <w:rPr>
          <w:spacing w:val="-10"/>
          <w:sz w:val="14"/>
        </w:rPr>
        <w:t> </w:t>
      </w:r>
      <w:r>
        <w:rPr>
          <w:sz w:val="14"/>
        </w:rPr>
        <w:t>formal</w:t>
      </w:r>
      <w:r>
        <w:rPr>
          <w:spacing w:val="-5"/>
          <w:sz w:val="14"/>
        </w:rPr>
        <w:t> </w:t>
      </w:r>
      <w:r>
        <w:rPr>
          <w:sz w:val="14"/>
        </w:rPr>
        <w:t>plan</w:t>
      </w:r>
      <w:r>
        <w:rPr>
          <w:spacing w:val="-9"/>
          <w:sz w:val="14"/>
        </w:rPr>
        <w:t> </w:t>
      </w:r>
      <w:r>
        <w:rPr>
          <w:sz w:val="14"/>
        </w:rPr>
        <w:t>for</w:t>
      </w:r>
      <w:r>
        <w:rPr>
          <w:spacing w:val="-9"/>
          <w:sz w:val="14"/>
        </w:rPr>
        <w:t> </w:t>
      </w:r>
      <w:r>
        <w:rPr>
          <w:sz w:val="14"/>
        </w:rPr>
        <w:t>the</w:t>
      </w:r>
      <w:r>
        <w:rPr>
          <w:spacing w:val="-9"/>
          <w:sz w:val="14"/>
        </w:rPr>
        <w:t> </w:t>
      </w:r>
      <w:r>
        <w:rPr>
          <w:sz w:val="14"/>
        </w:rPr>
        <w:t>restructuring</w:t>
      </w:r>
      <w:r>
        <w:rPr>
          <w:spacing w:val="-11"/>
          <w:sz w:val="14"/>
        </w:rPr>
        <w:t> </w:t>
      </w:r>
      <w:r>
        <w:rPr>
          <w:sz w:val="14"/>
        </w:rPr>
        <w:t>and</w:t>
      </w:r>
      <w:r>
        <w:rPr>
          <w:spacing w:val="-7"/>
          <w:sz w:val="14"/>
        </w:rPr>
        <w:t> </w:t>
      </w:r>
      <w:r>
        <w:rPr>
          <w:sz w:val="14"/>
        </w:rPr>
        <w:t>has</w:t>
      </w:r>
      <w:r>
        <w:rPr>
          <w:spacing w:val="-6"/>
          <w:sz w:val="14"/>
        </w:rPr>
        <w:t> </w:t>
      </w:r>
      <w:r>
        <w:rPr>
          <w:sz w:val="14"/>
        </w:rPr>
        <w:t>raised</w:t>
      </w:r>
      <w:r>
        <w:rPr>
          <w:spacing w:val="-9"/>
          <w:sz w:val="14"/>
        </w:rPr>
        <w:t> </w:t>
      </w:r>
      <w:r>
        <w:rPr>
          <w:sz w:val="14"/>
        </w:rPr>
        <w:t>a valid</w:t>
      </w:r>
      <w:r>
        <w:rPr>
          <w:spacing w:val="-8"/>
          <w:sz w:val="14"/>
        </w:rPr>
        <w:t> </w:t>
      </w:r>
      <w:r>
        <w:rPr>
          <w:sz w:val="14"/>
        </w:rPr>
        <w:t>expectation</w:t>
      </w:r>
      <w:r>
        <w:rPr>
          <w:spacing w:val="-9"/>
          <w:sz w:val="14"/>
        </w:rPr>
        <w:t> </w:t>
      </w:r>
      <w:r>
        <w:rPr>
          <w:sz w:val="14"/>
        </w:rPr>
        <w:t>in</w:t>
      </w:r>
      <w:r>
        <w:rPr>
          <w:spacing w:val="-8"/>
          <w:sz w:val="14"/>
        </w:rPr>
        <w:t> </w:t>
      </w:r>
      <w:r>
        <w:rPr>
          <w:sz w:val="14"/>
        </w:rPr>
        <w:t>those</w:t>
      </w:r>
      <w:r>
        <w:rPr>
          <w:spacing w:val="-8"/>
          <w:sz w:val="14"/>
        </w:rPr>
        <w:t> </w:t>
      </w:r>
      <w:r>
        <w:rPr>
          <w:sz w:val="14"/>
        </w:rPr>
        <w:t>affected</w:t>
      </w:r>
      <w:r>
        <w:rPr>
          <w:spacing w:val="-8"/>
          <w:sz w:val="14"/>
        </w:rPr>
        <w:t> </w:t>
      </w:r>
      <w:r>
        <w:rPr>
          <w:sz w:val="14"/>
        </w:rPr>
        <w:t>that</w:t>
      </w:r>
      <w:r>
        <w:rPr>
          <w:spacing w:val="-8"/>
          <w:sz w:val="14"/>
        </w:rPr>
        <w:t> </w:t>
      </w:r>
      <w:r>
        <w:rPr>
          <w:sz w:val="14"/>
        </w:rPr>
        <w:t>it</w:t>
      </w:r>
      <w:r>
        <w:rPr>
          <w:spacing w:val="-8"/>
          <w:sz w:val="14"/>
        </w:rPr>
        <w:t> </w:t>
      </w:r>
      <w:r>
        <w:rPr>
          <w:sz w:val="14"/>
        </w:rPr>
        <w:t>will</w:t>
      </w:r>
      <w:r>
        <w:rPr>
          <w:spacing w:val="-7"/>
          <w:sz w:val="14"/>
        </w:rPr>
        <w:t> </w:t>
      </w:r>
      <w:r>
        <w:rPr>
          <w:sz w:val="14"/>
        </w:rPr>
        <w:t>carry</w:t>
      </w:r>
      <w:r>
        <w:rPr>
          <w:spacing w:val="-10"/>
          <w:sz w:val="14"/>
        </w:rPr>
        <w:t> </w:t>
      </w:r>
      <w:r>
        <w:rPr>
          <w:sz w:val="14"/>
        </w:rPr>
        <w:t>out</w:t>
      </w:r>
      <w:r>
        <w:rPr>
          <w:spacing w:val="-8"/>
          <w:sz w:val="14"/>
        </w:rPr>
        <w:t> </w:t>
      </w:r>
      <w:r>
        <w:rPr>
          <w:sz w:val="14"/>
        </w:rPr>
        <w:t>the</w:t>
      </w:r>
      <w:r>
        <w:rPr>
          <w:spacing w:val="-6"/>
          <w:sz w:val="14"/>
        </w:rPr>
        <w:t> </w:t>
      </w:r>
      <w:r>
        <w:rPr>
          <w:sz w:val="14"/>
        </w:rPr>
        <w:t>restructuring</w:t>
      </w:r>
      <w:r>
        <w:rPr>
          <w:spacing w:val="-6"/>
          <w:sz w:val="14"/>
        </w:rPr>
        <w:t> </w:t>
      </w:r>
      <w:r>
        <w:rPr>
          <w:sz w:val="14"/>
        </w:rPr>
        <w:t>by</w:t>
      </w:r>
      <w:r>
        <w:rPr>
          <w:spacing w:val="-12"/>
          <w:sz w:val="14"/>
        </w:rPr>
        <w:t> </w:t>
      </w:r>
      <w:r>
        <w:rPr>
          <w:sz w:val="14"/>
        </w:rPr>
        <w:t>starting</w:t>
      </w:r>
      <w:r>
        <w:rPr>
          <w:spacing w:val="-11"/>
          <w:sz w:val="14"/>
        </w:rPr>
        <w:t> </w:t>
      </w:r>
      <w:r>
        <w:rPr>
          <w:sz w:val="14"/>
        </w:rPr>
        <w:t>to</w:t>
      </w:r>
      <w:r>
        <w:rPr>
          <w:spacing w:val="-8"/>
          <w:sz w:val="14"/>
        </w:rPr>
        <w:t> </w:t>
      </w:r>
      <w:r>
        <w:rPr>
          <w:sz w:val="14"/>
        </w:rPr>
        <w:t>implement</w:t>
      </w:r>
      <w:r>
        <w:rPr>
          <w:spacing w:val="-8"/>
          <w:sz w:val="14"/>
        </w:rPr>
        <w:t> </w:t>
      </w:r>
      <w:r>
        <w:rPr>
          <w:sz w:val="14"/>
        </w:rPr>
        <w:t>the</w:t>
      </w:r>
      <w:r>
        <w:rPr>
          <w:spacing w:val="-8"/>
          <w:sz w:val="14"/>
        </w:rPr>
        <w:t> </w:t>
      </w:r>
      <w:r>
        <w:rPr>
          <w:sz w:val="14"/>
        </w:rPr>
        <w:t>plan</w:t>
      </w:r>
      <w:r>
        <w:rPr>
          <w:spacing w:val="-6"/>
          <w:sz w:val="14"/>
        </w:rPr>
        <w:t> </w:t>
      </w:r>
      <w:r>
        <w:rPr>
          <w:sz w:val="14"/>
        </w:rPr>
        <w:t>or</w:t>
      </w:r>
      <w:r>
        <w:rPr>
          <w:spacing w:val="-9"/>
          <w:sz w:val="14"/>
        </w:rPr>
        <w:t> </w:t>
      </w:r>
      <w:r>
        <w:rPr>
          <w:sz w:val="14"/>
        </w:rPr>
        <w:t>announcing</w:t>
      </w:r>
      <w:r>
        <w:rPr>
          <w:spacing w:val="-10"/>
          <w:sz w:val="14"/>
        </w:rPr>
        <w:t> </w:t>
      </w:r>
      <w:r>
        <w:rPr>
          <w:sz w:val="14"/>
        </w:rPr>
        <w:t>its</w:t>
      </w:r>
      <w:r>
        <w:rPr>
          <w:spacing w:val="-8"/>
          <w:sz w:val="14"/>
        </w:rPr>
        <w:t> </w:t>
      </w:r>
      <w:r>
        <w:rPr>
          <w:sz w:val="14"/>
        </w:rPr>
        <w:t>main</w:t>
      </w:r>
      <w:r>
        <w:rPr>
          <w:spacing w:val="-8"/>
          <w:sz w:val="14"/>
        </w:rPr>
        <w:t> </w:t>
      </w:r>
      <w:r>
        <w:rPr>
          <w:sz w:val="14"/>
        </w:rPr>
        <w:t>features</w:t>
      </w:r>
      <w:r>
        <w:rPr>
          <w:spacing w:val="-8"/>
          <w:sz w:val="14"/>
        </w:rPr>
        <w:t> </w:t>
      </w:r>
      <w:r>
        <w:rPr>
          <w:sz w:val="14"/>
        </w:rPr>
        <w:t>to</w:t>
      </w:r>
      <w:r>
        <w:rPr>
          <w:spacing w:val="-8"/>
          <w:sz w:val="14"/>
        </w:rPr>
        <w:t> </w:t>
      </w:r>
      <w:r>
        <w:rPr>
          <w:sz w:val="14"/>
        </w:rPr>
        <w:t>those</w:t>
      </w:r>
      <w:r>
        <w:rPr>
          <w:spacing w:val="-6"/>
          <w:sz w:val="14"/>
        </w:rPr>
        <w:t> </w:t>
      </w:r>
      <w:r>
        <w:rPr>
          <w:sz w:val="14"/>
        </w:rPr>
        <w:t>affected by</w:t>
      </w:r>
      <w:r>
        <w:rPr>
          <w:spacing w:val="-13"/>
          <w:sz w:val="14"/>
        </w:rPr>
        <w:t> </w:t>
      </w:r>
      <w:r>
        <w:rPr>
          <w:sz w:val="14"/>
        </w:rPr>
        <w:t>it.</w:t>
      </w:r>
      <w:r>
        <w:rPr>
          <w:spacing w:val="-9"/>
          <w:sz w:val="14"/>
        </w:rPr>
        <w:t> </w:t>
      </w:r>
      <w:r>
        <w:rPr>
          <w:sz w:val="14"/>
        </w:rPr>
        <w:t>The</w:t>
      </w:r>
      <w:r>
        <w:rPr>
          <w:spacing w:val="-11"/>
          <w:sz w:val="14"/>
        </w:rPr>
        <w:t> </w:t>
      </w:r>
      <w:r>
        <w:rPr>
          <w:sz w:val="14"/>
        </w:rPr>
        <w:t>measurement</w:t>
      </w:r>
      <w:r>
        <w:rPr>
          <w:spacing w:val="-8"/>
          <w:sz w:val="14"/>
        </w:rPr>
        <w:t> </w:t>
      </w:r>
      <w:r>
        <w:rPr>
          <w:sz w:val="14"/>
        </w:rPr>
        <w:t>of</w:t>
      </w:r>
      <w:r>
        <w:rPr>
          <w:spacing w:val="-8"/>
          <w:sz w:val="14"/>
        </w:rPr>
        <w:t> </w:t>
      </w:r>
      <w:r>
        <w:rPr>
          <w:sz w:val="14"/>
        </w:rPr>
        <w:t>a</w:t>
      </w:r>
      <w:r>
        <w:rPr>
          <w:spacing w:val="-9"/>
          <w:sz w:val="14"/>
        </w:rPr>
        <w:t> </w:t>
      </w:r>
      <w:r>
        <w:rPr>
          <w:sz w:val="14"/>
        </w:rPr>
        <w:t>restructuring</w:t>
      </w:r>
      <w:r>
        <w:rPr>
          <w:spacing w:val="-8"/>
          <w:sz w:val="14"/>
        </w:rPr>
        <w:t> </w:t>
      </w:r>
      <w:r>
        <w:rPr>
          <w:sz w:val="14"/>
        </w:rPr>
        <w:t>provision</w:t>
      </w:r>
      <w:r>
        <w:rPr>
          <w:spacing w:val="-11"/>
          <w:sz w:val="14"/>
        </w:rPr>
        <w:t> </w:t>
      </w:r>
      <w:r>
        <w:rPr>
          <w:sz w:val="14"/>
        </w:rPr>
        <w:t>includes</w:t>
      </w:r>
      <w:r>
        <w:rPr>
          <w:spacing w:val="-6"/>
          <w:sz w:val="14"/>
        </w:rPr>
        <w:t> </w:t>
      </w:r>
      <w:r>
        <w:rPr>
          <w:sz w:val="14"/>
        </w:rPr>
        <w:t>only</w:t>
      </w:r>
      <w:r>
        <w:rPr>
          <w:spacing w:val="-13"/>
          <w:sz w:val="14"/>
        </w:rPr>
        <w:t> </w:t>
      </w:r>
      <w:r>
        <w:rPr>
          <w:sz w:val="14"/>
        </w:rPr>
        <w:t>the</w:t>
      </w:r>
      <w:r>
        <w:rPr>
          <w:spacing w:val="-8"/>
          <w:sz w:val="14"/>
        </w:rPr>
        <w:t> </w:t>
      </w:r>
      <w:r>
        <w:rPr>
          <w:sz w:val="14"/>
        </w:rPr>
        <w:t>direct</w:t>
      </w:r>
      <w:r>
        <w:rPr>
          <w:spacing w:val="-8"/>
          <w:sz w:val="14"/>
        </w:rPr>
        <w:t> </w:t>
      </w:r>
      <w:r>
        <w:rPr>
          <w:sz w:val="14"/>
        </w:rPr>
        <w:t>expenditures</w:t>
      </w:r>
      <w:r>
        <w:rPr>
          <w:spacing w:val="-8"/>
          <w:sz w:val="14"/>
        </w:rPr>
        <w:t> </w:t>
      </w:r>
      <w:r>
        <w:rPr>
          <w:sz w:val="14"/>
        </w:rPr>
        <w:t>arising</w:t>
      </w:r>
      <w:r>
        <w:rPr>
          <w:spacing w:val="-9"/>
          <w:sz w:val="14"/>
        </w:rPr>
        <w:t> </w:t>
      </w:r>
      <w:r>
        <w:rPr>
          <w:sz w:val="14"/>
        </w:rPr>
        <w:t>from</w:t>
      </w:r>
      <w:r>
        <w:rPr>
          <w:spacing w:val="-6"/>
          <w:sz w:val="14"/>
        </w:rPr>
        <w:t> </w:t>
      </w:r>
      <w:r>
        <w:rPr>
          <w:sz w:val="14"/>
        </w:rPr>
        <w:t>the</w:t>
      </w:r>
      <w:r>
        <w:rPr>
          <w:spacing w:val="-8"/>
          <w:sz w:val="14"/>
        </w:rPr>
        <w:t> </w:t>
      </w:r>
      <w:r>
        <w:rPr>
          <w:sz w:val="14"/>
        </w:rPr>
        <w:t>restructuring,</w:t>
      </w:r>
      <w:r>
        <w:rPr>
          <w:spacing w:val="-7"/>
          <w:sz w:val="14"/>
        </w:rPr>
        <w:t> </w:t>
      </w:r>
      <w:r>
        <w:rPr>
          <w:sz w:val="14"/>
        </w:rPr>
        <w:t>which</w:t>
      </w:r>
      <w:r>
        <w:rPr>
          <w:spacing w:val="-8"/>
          <w:sz w:val="14"/>
        </w:rPr>
        <w:t> </w:t>
      </w:r>
      <w:r>
        <w:rPr>
          <w:sz w:val="14"/>
        </w:rPr>
        <w:t>are</w:t>
      </w:r>
      <w:r>
        <w:rPr>
          <w:spacing w:val="-11"/>
          <w:sz w:val="14"/>
        </w:rPr>
        <w:t> </w:t>
      </w:r>
      <w:r>
        <w:rPr>
          <w:sz w:val="14"/>
        </w:rPr>
        <w:t>those</w:t>
      </w:r>
      <w:r>
        <w:rPr>
          <w:spacing w:val="-9"/>
          <w:sz w:val="14"/>
        </w:rPr>
        <w:t> </w:t>
      </w:r>
      <w:r>
        <w:rPr>
          <w:sz w:val="14"/>
        </w:rPr>
        <w:t>amounts</w:t>
      </w:r>
      <w:r>
        <w:rPr>
          <w:spacing w:val="-5"/>
          <w:sz w:val="14"/>
        </w:rPr>
        <w:t> </w:t>
      </w:r>
      <w:r>
        <w:rPr>
          <w:sz w:val="14"/>
        </w:rPr>
        <w:t>that</w:t>
      </w:r>
      <w:r>
        <w:rPr>
          <w:spacing w:val="-8"/>
          <w:sz w:val="14"/>
        </w:rPr>
        <w:t> </w:t>
      </w:r>
      <w:r>
        <w:rPr>
          <w:sz w:val="14"/>
        </w:rPr>
        <w:t>are both</w:t>
      </w:r>
      <w:r>
        <w:rPr>
          <w:spacing w:val="-5"/>
          <w:sz w:val="14"/>
        </w:rPr>
        <w:t> </w:t>
      </w:r>
      <w:r>
        <w:rPr>
          <w:sz w:val="14"/>
        </w:rPr>
        <w:t>necessarily</w:t>
      </w:r>
      <w:r>
        <w:rPr>
          <w:spacing w:val="-6"/>
          <w:sz w:val="14"/>
        </w:rPr>
        <w:t> </w:t>
      </w:r>
      <w:r>
        <w:rPr>
          <w:sz w:val="14"/>
        </w:rPr>
        <w:t>entailed</w:t>
      </w:r>
      <w:r>
        <w:rPr>
          <w:spacing w:val="-5"/>
          <w:sz w:val="14"/>
        </w:rPr>
        <w:t> </w:t>
      </w:r>
      <w:r>
        <w:rPr>
          <w:sz w:val="14"/>
        </w:rPr>
        <w:t>by</w:t>
      </w:r>
      <w:r>
        <w:rPr>
          <w:spacing w:val="-8"/>
          <w:sz w:val="14"/>
        </w:rPr>
        <w:t> </w:t>
      </w:r>
      <w:r>
        <w:rPr>
          <w:sz w:val="14"/>
        </w:rPr>
        <w:t>the</w:t>
      </w:r>
      <w:r>
        <w:rPr>
          <w:spacing w:val="-2"/>
          <w:sz w:val="14"/>
        </w:rPr>
        <w:t> </w:t>
      </w:r>
      <w:r>
        <w:rPr>
          <w:sz w:val="14"/>
        </w:rPr>
        <w:t>restructuring</w:t>
      </w:r>
      <w:r>
        <w:rPr>
          <w:spacing w:val="-5"/>
          <w:sz w:val="14"/>
        </w:rPr>
        <w:t> </w:t>
      </w:r>
      <w:r>
        <w:rPr>
          <w:sz w:val="14"/>
        </w:rPr>
        <w:t>and</w:t>
      </w:r>
      <w:r>
        <w:rPr>
          <w:spacing w:val="-4"/>
          <w:sz w:val="14"/>
        </w:rPr>
        <w:t> </w:t>
      </w:r>
      <w:r>
        <w:rPr>
          <w:sz w:val="14"/>
        </w:rPr>
        <w:t>not</w:t>
      </w:r>
      <w:r>
        <w:rPr>
          <w:spacing w:val="-1"/>
          <w:sz w:val="14"/>
        </w:rPr>
        <w:t> </w:t>
      </w:r>
      <w:r>
        <w:rPr>
          <w:sz w:val="14"/>
        </w:rPr>
        <w:t>associated</w:t>
      </w:r>
      <w:r>
        <w:rPr>
          <w:spacing w:val="-5"/>
          <w:sz w:val="14"/>
        </w:rPr>
        <w:t> </w:t>
      </w:r>
      <w:r>
        <w:rPr>
          <w:sz w:val="14"/>
        </w:rPr>
        <w:t>with</w:t>
      </w:r>
      <w:r>
        <w:rPr>
          <w:spacing w:val="-1"/>
          <w:sz w:val="14"/>
        </w:rPr>
        <w:t> </w:t>
      </w:r>
      <w:r>
        <w:rPr>
          <w:sz w:val="14"/>
        </w:rPr>
        <w:t>on-going</w:t>
      </w:r>
      <w:r>
        <w:rPr>
          <w:spacing w:val="-3"/>
          <w:sz w:val="14"/>
        </w:rPr>
        <w:t> </w:t>
      </w:r>
      <w:r>
        <w:rPr>
          <w:sz w:val="14"/>
        </w:rPr>
        <w:t>activities</w:t>
      </w:r>
      <w:r>
        <w:rPr>
          <w:spacing w:val="-1"/>
          <w:sz w:val="14"/>
        </w:rPr>
        <w:t> </w:t>
      </w:r>
      <w:r>
        <w:rPr>
          <w:sz w:val="14"/>
        </w:rPr>
        <w:t>of</w:t>
      </w:r>
      <w:r>
        <w:rPr>
          <w:spacing w:val="-4"/>
          <w:sz w:val="14"/>
        </w:rPr>
        <w:t> </w:t>
      </w:r>
      <w:r>
        <w:rPr>
          <w:sz w:val="14"/>
        </w:rPr>
        <w:t>the</w:t>
      </w:r>
      <w:r>
        <w:rPr>
          <w:spacing w:val="-3"/>
          <w:sz w:val="14"/>
        </w:rPr>
        <w:t> </w:t>
      </w:r>
      <w:r>
        <w:rPr>
          <w:sz w:val="14"/>
        </w:rPr>
        <w:t>entity.</w:t>
      </w:r>
    </w:p>
    <w:p>
      <w:pPr>
        <w:pStyle w:val="BodyText"/>
        <w:spacing w:before="5"/>
        <w:rPr>
          <w:sz w:val="15"/>
        </w:rPr>
      </w:pPr>
    </w:p>
    <w:p>
      <w:pPr>
        <w:pStyle w:val="ListParagraph"/>
        <w:numPr>
          <w:ilvl w:val="1"/>
          <w:numId w:val="19"/>
        </w:numPr>
        <w:tabs>
          <w:tab w:pos="705" w:val="left" w:leader="none"/>
        </w:tabs>
        <w:spacing w:line="240" w:lineRule="auto" w:before="0" w:after="0"/>
        <w:ind w:left="704" w:right="0" w:hanging="390"/>
        <w:jc w:val="both"/>
        <w:rPr>
          <w:b/>
          <w:sz w:val="14"/>
        </w:rPr>
      </w:pPr>
      <w:r>
        <w:rPr>
          <w:b/>
          <w:sz w:val="14"/>
        </w:rPr>
        <w:t>Clinical Negligence</w:t>
      </w:r>
      <w:r>
        <w:rPr>
          <w:b/>
          <w:spacing w:val="-4"/>
          <w:sz w:val="14"/>
        </w:rPr>
        <w:t> </w:t>
      </w:r>
      <w:r>
        <w:rPr>
          <w:b/>
          <w:sz w:val="14"/>
        </w:rPr>
        <w:t>Costs</w:t>
      </w:r>
    </w:p>
    <w:p>
      <w:pPr>
        <w:spacing w:line="256" w:lineRule="auto" w:before="7"/>
        <w:ind w:left="704" w:right="708" w:firstLine="0"/>
        <w:jc w:val="both"/>
        <w:rPr>
          <w:sz w:val="14"/>
        </w:rPr>
      </w:pPr>
      <w:r>
        <w:rPr>
          <w:sz w:val="14"/>
        </w:rPr>
        <w:t>NHS</w:t>
      </w:r>
      <w:r>
        <w:rPr>
          <w:spacing w:val="-10"/>
          <w:sz w:val="14"/>
        </w:rPr>
        <w:t> </w:t>
      </w:r>
      <w:r>
        <w:rPr>
          <w:sz w:val="14"/>
        </w:rPr>
        <w:t>Resolution</w:t>
      </w:r>
      <w:r>
        <w:rPr>
          <w:spacing w:val="-8"/>
          <w:sz w:val="14"/>
        </w:rPr>
        <w:t> </w:t>
      </w:r>
      <w:r>
        <w:rPr>
          <w:sz w:val="14"/>
        </w:rPr>
        <w:t>operates</w:t>
      </w:r>
      <w:r>
        <w:rPr>
          <w:spacing w:val="-5"/>
          <w:sz w:val="14"/>
        </w:rPr>
        <w:t> </w:t>
      </w:r>
      <w:r>
        <w:rPr>
          <w:sz w:val="14"/>
        </w:rPr>
        <w:t>a</w:t>
      </w:r>
      <w:r>
        <w:rPr>
          <w:spacing w:val="-9"/>
          <w:sz w:val="14"/>
        </w:rPr>
        <w:t> </w:t>
      </w:r>
      <w:r>
        <w:rPr>
          <w:sz w:val="14"/>
        </w:rPr>
        <w:t>risk</w:t>
      </w:r>
      <w:r>
        <w:rPr>
          <w:spacing w:val="-3"/>
          <w:sz w:val="14"/>
        </w:rPr>
        <w:t> </w:t>
      </w:r>
      <w:r>
        <w:rPr>
          <w:sz w:val="14"/>
        </w:rPr>
        <w:t>pooling</w:t>
      </w:r>
      <w:r>
        <w:rPr>
          <w:spacing w:val="-7"/>
          <w:sz w:val="14"/>
        </w:rPr>
        <w:t> </w:t>
      </w:r>
      <w:r>
        <w:rPr>
          <w:sz w:val="14"/>
        </w:rPr>
        <w:t>scheme</w:t>
      </w:r>
      <w:r>
        <w:rPr>
          <w:spacing w:val="-9"/>
          <w:sz w:val="14"/>
        </w:rPr>
        <w:t> </w:t>
      </w:r>
      <w:r>
        <w:rPr>
          <w:sz w:val="14"/>
        </w:rPr>
        <w:t>under</w:t>
      </w:r>
      <w:r>
        <w:rPr>
          <w:spacing w:val="-9"/>
          <w:sz w:val="14"/>
        </w:rPr>
        <w:t> </w:t>
      </w:r>
      <w:r>
        <w:rPr>
          <w:sz w:val="14"/>
        </w:rPr>
        <w:t>which</w:t>
      </w:r>
      <w:r>
        <w:rPr>
          <w:spacing w:val="-9"/>
          <w:sz w:val="14"/>
        </w:rPr>
        <w:t> </w:t>
      </w:r>
      <w:r>
        <w:rPr>
          <w:sz w:val="14"/>
        </w:rPr>
        <w:t>the</w:t>
      </w:r>
      <w:r>
        <w:rPr>
          <w:spacing w:val="-8"/>
          <w:sz w:val="14"/>
        </w:rPr>
        <w:t> </w:t>
      </w:r>
      <w:r>
        <w:rPr>
          <w:sz w:val="14"/>
        </w:rPr>
        <w:t>clinical</w:t>
      </w:r>
      <w:r>
        <w:rPr>
          <w:spacing w:val="-8"/>
          <w:sz w:val="14"/>
        </w:rPr>
        <w:t> </w:t>
      </w:r>
      <w:r>
        <w:rPr>
          <w:sz w:val="14"/>
        </w:rPr>
        <w:t>commissioning</w:t>
      </w:r>
      <w:r>
        <w:rPr>
          <w:spacing w:val="-9"/>
          <w:sz w:val="14"/>
        </w:rPr>
        <w:t> </w:t>
      </w:r>
      <w:r>
        <w:rPr>
          <w:sz w:val="14"/>
        </w:rPr>
        <w:t>group</w:t>
      </w:r>
      <w:r>
        <w:rPr>
          <w:spacing w:val="-9"/>
          <w:sz w:val="14"/>
        </w:rPr>
        <w:t> </w:t>
      </w:r>
      <w:r>
        <w:rPr>
          <w:sz w:val="14"/>
        </w:rPr>
        <w:t>pays</w:t>
      </w:r>
      <w:r>
        <w:rPr>
          <w:spacing w:val="-5"/>
          <w:sz w:val="14"/>
        </w:rPr>
        <w:t> </w:t>
      </w:r>
      <w:r>
        <w:rPr>
          <w:sz w:val="14"/>
        </w:rPr>
        <w:t>an</w:t>
      </w:r>
      <w:r>
        <w:rPr>
          <w:spacing w:val="-8"/>
          <w:sz w:val="14"/>
        </w:rPr>
        <w:t> </w:t>
      </w:r>
      <w:r>
        <w:rPr>
          <w:sz w:val="14"/>
        </w:rPr>
        <w:t>annual</w:t>
      </w:r>
      <w:r>
        <w:rPr>
          <w:spacing w:val="-9"/>
          <w:sz w:val="14"/>
        </w:rPr>
        <w:t> </w:t>
      </w:r>
      <w:r>
        <w:rPr>
          <w:sz w:val="14"/>
        </w:rPr>
        <w:t>contribution</w:t>
      </w:r>
      <w:r>
        <w:rPr>
          <w:spacing w:val="-8"/>
          <w:sz w:val="14"/>
        </w:rPr>
        <w:t> </w:t>
      </w:r>
      <w:r>
        <w:rPr>
          <w:sz w:val="14"/>
        </w:rPr>
        <w:t>to</w:t>
      </w:r>
      <w:r>
        <w:rPr>
          <w:spacing w:val="-11"/>
          <w:sz w:val="14"/>
        </w:rPr>
        <w:t> </w:t>
      </w:r>
      <w:r>
        <w:rPr>
          <w:sz w:val="14"/>
        </w:rPr>
        <w:t>NHS</w:t>
      </w:r>
      <w:r>
        <w:rPr>
          <w:spacing w:val="-7"/>
          <w:sz w:val="14"/>
        </w:rPr>
        <w:t> </w:t>
      </w:r>
      <w:r>
        <w:rPr>
          <w:sz w:val="14"/>
        </w:rPr>
        <w:t>Resolution,</w:t>
      </w:r>
      <w:r>
        <w:rPr>
          <w:spacing w:val="-9"/>
          <w:sz w:val="14"/>
        </w:rPr>
        <w:t> </w:t>
      </w:r>
      <w:r>
        <w:rPr>
          <w:sz w:val="14"/>
        </w:rPr>
        <w:t>which</w:t>
      </w:r>
      <w:r>
        <w:rPr>
          <w:spacing w:val="-8"/>
          <w:sz w:val="14"/>
        </w:rPr>
        <w:t> </w:t>
      </w:r>
      <w:r>
        <w:rPr>
          <w:sz w:val="14"/>
        </w:rPr>
        <w:t>in return settles all clinical negligence claims. The contribution is charged to expenditure. Although NHS Resolution is administratively responsible for all clinical negligence cases, the legal liability remains with clinical commissioning</w:t>
      </w:r>
      <w:r>
        <w:rPr>
          <w:spacing w:val="-29"/>
          <w:sz w:val="14"/>
        </w:rPr>
        <w:t> </w:t>
      </w:r>
      <w:r>
        <w:rPr>
          <w:sz w:val="14"/>
        </w:rPr>
        <w:t>group.</w:t>
      </w:r>
    </w:p>
    <w:p>
      <w:pPr>
        <w:pStyle w:val="ListParagraph"/>
        <w:numPr>
          <w:ilvl w:val="1"/>
          <w:numId w:val="19"/>
        </w:numPr>
        <w:tabs>
          <w:tab w:pos="705" w:val="left" w:leader="none"/>
        </w:tabs>
        <w:spacing w:line="240" w:lineRule="auto" w:before="98" w:after="0"/>
        <w:ind w:left="704" w:right="0" w:hanging="390"/>
        <w:jc w:val="left"/>
        <w:rPr>
          <w:b/>
          <w:sz w:val="14"/>
        </w:rPr>
      </w:pPr>
      <w:r>
        <w:rPr>
          <w:b/>
          <w:sz w:val="14"/>
        </w:rPr>
        <w:t>Non-clinical Risk</w:t>
      </w:r>
      <w:r>
        <w:rPr>
          <w:b/>
          <w:spacing w:val="-6"/>
          <w:sz w:val="14"/>
        </w:rPr>
        <w:t> </w:t>
      </w:r>
      <w:r>
        <w:rPr>
          <w:b/>
          <w:sz w:val="14"/>
        </w:rPr>
        <w:t>Pooling</w:t>
      </w:r>
    </w:p>
    <w:p>
      <w:pPr>
        <w:spacing w:line="256" w:lineRule="auto" w:before="7"/>
        <w:ind w:left="704" w:right="604" w:firstLine="0"/>
        <w:jc w:val="left"/>
        <w:rPr>
          <w:sz w:val="14"/>
        </w:rPr>
      </w:pPr>
      <w:r>
        <w:rPr>
          <w:sz w:val="14"/>
        </w:rPr>
        <w:t>The clinical commissioning group participates in the Property Expenses Scheme and the Liabilities to Third Parties Scheme. Both are risk pooling schemes</w:t>
      </w:r>
      <w:r>
        <w:rPr>
          <w:spacing w:val="-7"/>
          <w:sz w:val="14"/>
        </w:rPr>
        <w:t> </w:t>
      </w:r>
      <w:r>
        <w:rPr>
          <w:sz w:val="14"/>
        </w:rPr>
        <w:t>under</w:t>
      </w:r>
      <w:r>
        <w:rPr>
          <w:spacing w:val="-9"/>
          <w:sz w:val="14"/>
        </w:rPr>
        <w:t> </w:t>
      </w:r>
      <w:r>
        <w:rPr>
          <w:sz w:val="14"/>
        </w:rPr>
        <w:t>which</w:t>
      </w:r>
      <w:r>
        <w:rPr>
          <w:spacing w:val="-9"/>
          <w:sz w:val="14"/>
        </w:rPr>
        <w:t> </w:t>
      </w:r>
      <w:r>
        <w:rPr>
          <w:sz w:val="14"/>
        </w:rPr>
        <w:t>the</w:t>
      </w:r>
      <w:r>
        <w:rPr>
          <w:spacing w:val="-11"/>
          <w:sz w:val="14"/>
        </w:rPr>
        <w:t> </w:t>
      </w:r>
      <w:r>
        <w:rPr>
          <w:sz w:val="14"/>
        </w:rPr>
        <w:t>clinical</w:t>
      </w:r>
      <w:r>
        <w:rPr>
          <w:spacing w:val="-9"/>
          <w:sz w:val="14"/>
        </w:rPr>
        <w:t> </w:t>
      </w:r>
      <w:r>
        <w:rPr>
          <w:sz w:val="14"/>
        </w:rPr>
        <w:t>commissioning</w:t>
      </w:r>
      <w:r>
        <w:rPr>
          <w:spacing w:val="-9"/>
          <w:sz w:val="14"/>
        </w:rPr>
        <w:t> </w:t>
      </w:r>
      <w:r>
        <w:rPr>
          <w:sz w:val="14"/>
        </w:rPr>
        <w:t>group</w:t>
      </w:r>
      <w:r>
        <w:rPr>
          <w:spacing w:val="-8"/>
          <w:sz w:val="14"/>
        </w:rPr>
        <w:t> </w:t>
      </w:r>
      <w:r>
        <w:rPr>
          <w:sz w:val="14"/>
        </w:rPr>
        <w:t>pays</w:t>
      </w:r>
      <w:r>
        <w:rPr>
          <w:spacing w:val="-6"/>
          <w:sz w:val="14"/>
        </w:rPr>
        <w:t> </w:t>
      </w:r>
      <w:r>
        <w:rPr>
          <w:sz w:val="14"/>
        </w:rPr>
        <w:t>an</w:t>
      </w:r>
      <w:r>
        <w:rPr>
          <w:spacing w:val="-9"/>
          <w:sz w:val="14"/>
        </w:rPr>
        <w:t> </w:t>
      </w:r>
      <w:r>
        <w:rPr>
          <w:sz w:val="14"/>
        </w:rPr>
        <w:t>annual</w:t>
      </w:r>
      <w:r>
        <w:rPr>
          <w:spacing w:val="-8"/>
          <w:sz w:val="14"/>
        </w:rPr>
        <w:t> </w:t>
      </w:r>
      <w:r>
        <w:rPr>
          <w:sz w:val="14"/>
        </w:rPr>
        <w:t>contribution</w:t>
      </w:r>
      <w:r>
        <w:rPr>
          <w:spacing w:val="-9"/>
          <w:sz w:val="14"/>
        </w:rPr>
        <w:t> </w:t>
      </w:r>
      <w:r>
        <w:rPr>
          <w:sz w:val="14"/>
        </w:rPr>
        <w:t>to</w:t>
      </w:r>
      <w:r>
        <w:rPr>
          <w:spacing w:val="-11"/>
          <w:sz w:val="14"/>
        </w:rPr>
        <w:t> </w:t>
      </w:r>
      <w:r>
        <w:rPr>
          <w:sz w:val="14"/>
        </w:rPr>
        <w:t>the</w:t>
      </w:r>
      <w:r>
        <w:rPr>
          <w:spacing w:val="-8"/>
          <w:sz w:val="14"/>
        </w:rPr>
        <w:t> </w:t>
      </w:r>
      <w:r>
        <w:rPr>
          <w:sz w:val="14"/>
        </w:rPr>
        <w:t>NHS</w:t>
      </w:r>
      <w:r>
        <w:rPr>
          <w:spacing w:val="-8"/>
          <w:sz w:val="14"/>
        </w:rPr>
        <w:t> </w:t>
      </w:r>
      <w:r>
        <w:rPr>
          <w:sz w:val="14"/>
        </w:rPr>
        <w:t>Resolution</w:t>
      </w:r>
      <w:r>
        <w:rPr>
          <w:spacing w:val="-8"/>
          <w:sz w:val="14"/>
        </w:rPr>
        <w:t> </w:t>
      </w:r>
      <w:r>
        <w:rPr>
          <w:sz w:val="14"/>
        </w:rPr>
        <w:t>and,</w:t>
      </w:r>
      <w:r>
        <w:rPr>
          <w:spacing w:val="-9"/>
          <w:sz w:val="14"/>
        </w:rPr>
        <w:t> </w:t>
      </w:r>
      <w:r>
        <w:rPr>
          <w:sz w:val="14"/>
        </w:rPr>
        <w:t>in</w:t>
      </w:r>
      <w:r>
        <w:rPr>
          <w:spacing w:val="-8"/>
          <w:sz w:val="14"/>
        </w:rPr>
        <w:t> </w:t>
      </w:r>
      <w:r>
        <w:rPr>
          <w:sz w:val="14"/>
        </w:rPr>
        <w:t>return,</w:t>
      </w:r>
      <w:r>
        <w:rPr>
          <w:spacing w:val="-10"/>
          <w:sz w:val="14"/>
        </w:rPr>
        <w:t> </w:t>
      </w:r>
      <w:r>
        <w:rPr>
          <w:sz w:val="14"/>
        </w:rPr>
        <w:t>receives</w:t>
      </w:r>
      <w:r>
        <w:rPr>
          <w:spacing w:val="-6"/>
          <w:sz w:val="14"/>
        </w:rPr>
        <w:t> </w:t>
      </w:r>
      <w:r>
        <w:rPr>
          <w:sz w:val="14"/>
        </w:rPr>
        <w:t>assistance</w:t>
      </w:r>
      <w:r>
        <w:rPr>
          <w:spacing w:val="-9"/>
          <w:sz w:val="14"/>
        </w:rPr>
        <w:t> </w:t>
      </w:r>
      <w:r>
        <w:rPr>
          <w:sz w:val="14"/>
        </w:rPr>
        <w:t>with</w:t>
      </w:r>
      <w:r>
        <w:rPr>
          <w:spacing w:val="-8"/>
          <w:sz w:val="14"/>
        </w:rPr>
        <w:t> </w:t>
      </w:r>
      <w:r>
        <w:rPr>
          <w:sz w:val="14"/>
        </w:rPr>
        <w:t>the costs of claims arising. The annual membership contributions, and any excesses payable in respect of particular claims are charged to operating expenses as and when they become</w:t>
      </w:r>
      <w:r>
        <w:rPr>
          <w:spacing w:val="-22"/>
          <w:sz w:val="14"/>
        </w:rPr>
        <w:t> </w:t>
      </w:r>
      <w:r>
        <w:rPr>
          <w:sz w:val="14"/>
        </w:rPr>
        <w:t>due.</w:t>
      </w:r>
    </w:p>
    <w:p>
      <w:pPr>
        <w:pStyle w:val="ListParagraph"/>
        <w:numPr>
          <w:ilvl w:val="1"/>
          <w:numId w:val="19"/>
        </w:numPr>
        <w:tabs>
          <w:tab w:pos="705" w:val="left" w:leader="none"/>
        </w:tabs>
        <w:spacing w:line="240" w:lineRule="auto" w:before="86" w:after="0"/>
        <w:ind w:left="704" w:right="0" w:hanging="390"/>
        <w:jc w:val="left"/>
        <w:rPr>
          <w:b/>
          <w:sz w:val="14"/>
        </w:rPr>
      </w:pPr>
      <w:r>
        <w:rPr>
          <w:b/>
          <w:sz w:val="14"/>
        </w:rPr>
        <w:t>Contingent liabilities and contingent</w:t>
      </w:r>
      <w:r>
        <w:rPr>
          <w:b/>
          <w:spacing w:val="-16"/>
          <w:sz w:val="14"/>
        </w:rPr>
        <w:t> </w:t>
      </w:r>
      <w:r>
        <w:rPr>
          <w:b/>
          <w:sz w:val="14"/>
        </w:rPr>
        <w:t>assets</w:t>
      </w:r>
    </w:p>
    <w:p>
      <w:pPr>
        <w:spacing w:line="256" w:lineRule="auto" w:before="7"/>
        <w:ind w:left="704" w:right="604" w:firstLine="0"/>
        <w:jc w:val="left"/>
        <w:rPr>
          <w:sz w:val="14"/>
        </w:rPr>
      </w:pPr>
      <w:r>
        <w:rPr>
          <w:sz w:val="14"/>
        </w:rPr>
        <w:t>A</w:t>
      </w:r>
      <w:r>
        <w:rPr>
          <w:spacing w:val="-11"/>
          <w:sz w:val="14"/>
        </w:rPr>
        <w:t> </w:t>
      </w:r>
      <w:r>
        <w:rPr>
          <w:sz w:val="14"/>
        </w:rPr>
        <w:t>contingent</w:t>
      </w:r>
      <w:r>
        <w:rPr>
          <w:spacing w:val="-8"/>
          <w:sz w:val="14"/>
        </w:rPr>
        <w:t> </w:t>
      </w:r>
      <w:r>
        <w:rPr>
          <w:sz w:val="14"/>
        </w:rPr>
        <w:t>liability</w:t>
      </w:r>
      <w:r>
        <w:rPr>
          <w:spacing w:val="-12"/>
          <w:sz w:val="14"/>
        </w:rPr>
        <w:t> </w:t>
      </w:r>
      <w:r>
        <w:rPr>
          <w:sz w:val="14"/>
        </w:rPr>
        <w:t>is</w:t>
      </w:r>
      <w:r>
        <w:rPr>
          <w:spacing w:val="-9"/>
          <w:sz w:val="14"/>
        </w:rPr>
        <w:t> </w:t>
      </w:r>
      <w:r>
        <w:rPr>
          <w:sz w:val="14"/>
        </w:rPr>
        <w:t>a</w:t>
      </w:r>
      <w:r>
        <w:rPr>
          <w:spacing w:val="-8"/>
          <w:sz w:val="14"/>
        </w:rPr>
        <w:t> </w:t>
      </w:r>
      <w:r>
        <w:rPr>
          <w:sz w:val="14"/>
        </w:rPr>
        <w:t>possible</w:t>
      </w:r>
      <w:r>
        <w:rPr>
          <w:spacing w:val="-11"/>
          <w:sz w:val="14"/>
        </w:rPr>
        <w:t> </w:t>
      </w:r>
      <w:r>
        <w:rPr>
          <w:sz w:val="14"/>
        </w:rPr>
        <w:t>obligation</w:t>
      </w:r>
      <w:r>
        <w:rPr>
          <w:spacing w:val="-9"/>
          <w:sz w:val="14"/>
        </w:rPr>
        <w:t> </w:t>
      </w:r>
      <w:r>
        <w:rPr>
          <w:sz w:val="14"/>
        </w:rPr>
        <w:t>that</w:t>
      </w:r>
      <w:r>
        <w:rPr>
          <w:spacing w:val="-8"/>
          <w:sz w:val="14"/>
        </w:rPr>
        <w:t> </w:t>
      </w:r>
      <w:r>
        <w:rPr>
          <w:sz w:val="14"/>
        </w:rPr>
        <w:t>arises</w:t>
      </w:r>
      <w:r>
        <w:rPr>
          <w:spacing w:val="-6"/>
          <w:sz w:val="14"/>
        </w:rPr>
        <w:t> </w:t>
      </w:r>
      <w:r>
        <w:rPr>
          <w:sz w:val="14"/>
        </w:rPr>
        <w:t>from</w:t>
      </w:r>
      <w:r>
        <w:rPr>
          <w:spacing w:val="-6"/>
          <w:sz w:val="14"/>
        </w:rPr>
        <w:t> </w:t>
      </w:r>
      <w:r>
        <w:rPr>
          <w:sz w:val="14"/>
        </w:rPr>
        <w:t>past</w:t>
      </w:r>
      <w:r>
        <w:rPr>
          <w:spacing w:val="-7"/>
          <w:sz w:val="14"/>
        </w:rPr>
        <w:t> </w:t>
      </w:r>
      <w:r>
        <w:rPr>
          <w:sz w:val="14"/>
        </w:rPr>
        <w:t>events</w:t>
      </w:r>
      <w:r>
        <w:rPr>
          <w:spacing w:val="-8"/>
          <w:sz w:val="14"/>
        </w:rPr>
        <w:t> </w:t>
      </w:r>
      <w:r>
        <w:rPr>
          <w:sz w:val="14"/>
        </w:rPr>
        <w:t>and</w:t>
      </w:r>
      <w:r>
        <w:rPr>
          <w:spacing w:val="-11"/>
          <w:sz w:val="14"/>
        </w:rPr>
        <w:t> </w:t>
      </w:r>
      <w:r>
        <w:rPr>
          <w:sz w:val="14"/>
        </w:rPr>
        <w:t>whose</w:t>
      </w:r>
      <w:r>
        <w:rPr>
          <w:spacing w:val="-9"/>
          <w:sz w:val="14"/>
        </w:rPr>
        <w:t> </w:t>
      </w:r>
      <w:r>
        <w:rPr>
          <w:sz w:val="14"/>
        </w:rPr>
        <w:t>existence</w:t>
      </w:r>
      <w:r>
        <w:rPr>
          <w:spacing w:val="-8"/>
          <w:sz w:val="14"/>
        </w:rPr>
        <w:t> </w:t>
      </w:r>
      <w:r>
        <w:rPr>
          <w:sz w:val="14"/>
        </w:rPr>
        <w:t>will</w:t>
      </w:r>
      <w:r>
        <w:rPr>
          <w:spacing w:val="-8"/>
          <w:sz w:val="14"/>
        </w:rPr>
        <w:t> </w:t>
      </w:r>
      <w:r>
        <w:rPr>
          <w:sz w:val="14"/>
        </w:rPr>
        <w:t>be</w:t>
      </w:r>
      <w:r>
        <w:rPr>
          <w:spacing w:val="-8"/>
          <w:sz w:val="14"/>
        </w:rPr>
        <w:t> </w:t>
      </w:r>
      <w:r>
        <w:rPr>
          <w:sz w:val="14"/>
        </w:rPr>
        <w:t>confirmed</w:t>
      </w:r>
      <w:r>
        <w:rPr>
          <w:spacing w:val="-9"/>
          <w:sz w:val="14"/>
        </w:rPr>
        <w:t> </w:t>
      </w:r>
      <w:r>
        <w:rPr>
          <w:sz w:val="14"/>
        </w:rPr>
        <w:t>only</w:t>
      </w:r>
      <w:r>
        <w:rPr>
          <w:spacing w:val="-13"/>
          <w:sz w:val="14"/>
        </w:rPr>
        <w:t> </w:t>
      </w:r>
      <w:r>
        <w:rPr>
          <w:sz w:val="14"/>
        </w:rPr>
        <w:t>by</w:t>
      </w:r>
      <w:r>
        <w:rPr>
          <w:spacing w:val="-10"/>
          <w:sz w:val="14"/>
        </w:rPr>
        <w:t> </w:t>
      </w:r>
      <w:r>
        <w:rPr>
          <w:sz w:val="14"/>
        </w:rPr>
        <w:t>the</w:t>
      </w:r>
      <w:r>
        <w:rPr>
          <w:spacing w:val="-8"/>
          <w:sz w:val="14"/>
        </w:rPr>
        <w:t> </w:t>
      </w:r>
      <w:r>
        <w:rPr>
          <w:sz w:val="14"/>
        </w:rPr>
        <w:t>occurrence</w:t>
      </w:r>
      <w:r>
        <w:rPr>
          <w:spacing w:val="-9"/>
          <w:sz w:val="14"/>
        </w:rPr>
        <w:t> </w:t>
      </w:r>
      <w:r>
        <w:rPr>
          <w:sz w:val="14"/>
        </w:rPr>
        <w:t>or</w:t>
      </w:r>
      <w:r>
        <w:rPr>
          <w:spacing w:val="-9"/>
          <w:sz w:val="14"/>
        </w:rPr>
        <w:t> </w:t>
      </w:r>
      <w:r>
        <w:rPr>
          <w:sz w:val="14"/>
        </w:rPr>
        <w:t>non-occurrence of one or more uncertain future events not wholly within the control of the clinical commissioning group, or a present obligation that is not recognised because</w:t>
      </w:r>
      <w:r>
        <w:rPr>
          <w:spacing w:val="-8"/>
          <w:sz w:val="14"/>
        </w:rPr>
        <w:t> </w:t>
      </w:r>
      <w:r>
        <w:rPr>
          <w:sz w:val="14"/>
        </w:rPr>
        <w:t>it</w:t>
      </w:r>
      <w:r>
        <w:rPr>
          <w:spacing w:val="-6"/>
          <w:sz w:val="14"/>
        </w:rPr>
        <w:t> </w:t>
      </w:r>
      <w:r>
        <w:rPr>
          <w:sz w:val="14"/>
        </w:rPr>
        <w:t>is</w:t>
      </w:r>
      <w:r>
        <w:rPr>
          <w:spacing w:val="-4"/>
          <w:sz w:val="14"/>
        </w:rPr>
        <w:t> </w:t>
      </w:r>
      <w:r>
        <w:rPr>
          <w:sz w:val="14"/>
        </w:rPr>
        <w:t>not</w:t>
      </w:r>
      <w:r>
        <w:rPr>
          <w:spacing w:val="-4"/>
          <w:sz w:val="14"/>
        </w:rPr>
        <w:t> </w:t>
      </w:r>
      <w:r>
        <w:rPr>
          <w:sz w:val="14"/>
        </w:rPr>
        <w:t>probable</w:t>
      </w:r>
      <w:r>
        <w:rPr>
          <w:spacing w:val="-6"/>
          <w:sz w:val="14"/>
        </w:rPr>
        <w:t> </w:t>
      </w:r>
      <w:r>
        <w:rPr>
          <w:sz w:val="14"/>
        </w:rPr>
        <w:t>that</w:t>
      </w:r>
      <w:r>
        <w:rPr>
          <w:spacing w:val="-2"/>
          <w:sz w:val="14"/>
        </w:rPr>
        <w:t> </w:t>
      </w:r>
      <w:r>
        <w:rPr>
          <w:sz w:val="14"/>
        </w:rPr>
        <w:t>a</w:t>
      </w:r>
      <w:r>
        <w:rPr>
          <w:spacing w:val="-6"/>
          <w:sz w:val="14"/>
        </w:rPr>
        <w:t> </w:t>
      </w:r>
      <w:r>
        <w:rPr>
          <w:sz w:val="14"/>
        </w:rPr>
        <w:t>payment</w:t>
      </w:r>
      <w:r>
        <w:rPr>
          <w:spacing w:val="-7"/>
          <w:sz w:val="14"/>
        </w:rPr>
        <w:t> </w:t>
      </w:r>
      <w:r>
        <w:rPr>
          <w:sz w:val="14"/>
        </w:rPr>
        <w:t>will</w:t>
      </w:r>
      <w:r>
        <w:rPr>
          <w:spacing w:val="-3"/>
          <w:sz w:val="14"/>
        </w:rPr>
        <w:t> </w:t>
      </w:r>
      <w:r>
        <w:rPr>
          <w:sz w:val="14"/>
        </w:rPr>
        <w:t>be</w:t>
      </w:r>
      <w:r>
        <w:rPr>
          <w:spacing w:val="-7"/>
          <w:sz w:val="14"/>
        </w:rPr>
        <w:t> </w:t>
      </w:r>
      <w:r>
        <w:rPr>
          <w:sz w:val="14"/>
        </w:rPr>
        <w:t>required</w:t>
      </w:r>
      <w:r>
        <w:rPr>
          <w:spacing w:val="-6"/>
          <w:sz w:val="14"/>
        </w:rPr>
        <w:t> </w:t>
      </w:r>
      <w:r>
        <w:rPr>
          <w:sz w:val="14"/>
        </w:rPr>
        <w:t>to</w:t>
      </w:r>
      <w:r>
        <w:rPr>
          <w:spacing w:val="-6"/>
          <w:sz w:val="14"/>
        </w:rPr>
        <w:t> </w:t>
      </w:r>
      <w:r>
        <w:rPr>
          <w:sz w:val="14"/>
        </w:rPr>
        <w:t>settle</w:t>
      </w:r>
      <w:r>
        <w:rPr>
          <w:spacing w:val="-5"/>
          <w:sz w:val="14"/>
        </w:rPr>
        <w:t> </w:t>
      </w:r>
      <w:r>
        <w:rPr>
          <w:sz w:val="14"/>
        </w:rPr>
        <w:t>the</w:t>
      </w:r>
      <w:r>
        <w:rPr>
          <w:spacing w:val="-6"/>
          <w:sz w:val="14"/>
        </w:rPr>
        <w:t> </w:t>
      </w:r>
      <w:r>
        <w:rPr>
          <w:sz w:val="14"/>
        </w:rPr>
        <w:t>obligation</w:t>
      </w:r>
      <w:r>
        <w:rPr>
          <w:spacing w:val="-7"/>
          <w:sz w:val="14"/>
        </w:rPr>
        <w:t> </w:t>
      </w:r>
      <w:r>
        <w:rPr>
          <w:sz w:val="14"/>
        </w:rPr>
        <w:t>or</w:t>
      </w:r>
      <w:r>
        <w:rPr>
          <w:spacing w:val="-7"/>
          <w:sz w:val="14"/>
        </w:rPr>
        <w:t> </w:t>
      </w:r>
      <w:r>
        <w:rPr>
          <w:sz w:val="14"/>
        </w:rPr>
        <w:t>the</w:t>
      </w:r>
      <w:r>
        <w:rPr>
          <w:spacing w:val="-4"/>
          <w:sz w:val="14"/>
        </w:rPr>
        <w:t> </w:t>
      </w:r>
      <w:r>
        <w:rPr>
          <w:sz w:val="14"/>
        </w:rPr>
        <w:t>amount</w:t>
      </w:r>
      <w:r>
        <w:rPr>
          <w:spacing w:val="-5"/>
          <w:sz w:val="14"/>
        </w:rPr>
        <w:t> </w:t>
      </w:r>
      <w:r>
        <w:rPr>
          <w:sz w:val="14"/>
        </w:rPr>
        <w:t>of</w:t>
      </w:r>
      <w:r>
        <w:rPr>
          <w:spacing w:val="-6"/>
          <w:sz w:val="14"/>
        </w:rPr>
        <w:t> </w:t>
      </w:r>
      <w:r>
        <w:rPr>
          <w:sz w:val="14"/>
        </w:rPr>
        <w:t>the</w:t>
      </w:r>
      <w:r>
        <w:rPr>
          <w:spacing w:val="-3"/>
          <w:sz w:val="14"/>
        </w:rPr>
        <w:t> </w:t>
      </w:r>
      <w:r>
        <w:rPr>
          <w:sz w:val="14"/>
        </w:rPr>
        <w:t>obligation</w:t>
      </w:r>
      <w:r>
        <w:rPr>
          <w:spacing w:val="-7"/>
          <w:sz w:val="14"/>
        </w:rPr>
        <w:t> </w:t>
      </w:r>
      <w:r>
        <w:rPr>
          <w:sz w:val="14"/>
        </w:rPr>
        <w:t>cannot</w:t>
      </w:r>
      <w:r>
        <w:rPr>
          <w:spacing w:val="-2"/>
          <w:sz w:val="14"/>
        </w:rPr>
        <w:t> </w:t>
      </w:r>
      <w:r>
        <w:rPr>
          <w:sz w:val="14"/>
        </w:rPr>
        <w:t>be</w:t>
      </w:r>
      <w:r>
        <w:rPr>
          <w:spacing w:val="-6"/>
          <w:sz w:val="14"/>
        </w:rPr>
        <w:t> </w:t>
      </w:r>
      <w:r>
        <w:rPr>
          <w:sz w:val="14"/>
        </w:rPr>
        <w:t>measured</w:t>
      </w:r>
      <w:r>
        <w:rPr>
          <w:spacing w:val="-4"/>
          <w:sz w:val="14"/>
        </w:rPr>
        <w:t> </w:t>
      </w:r>
      <w:r>
        <w:rPr>
          <w:sz w:val="14"/>
        </w:rPr>
        <w:t>sufficiently</w:t>
      </w:r>
      <w:r>
        <w:rPr>
          <w:spacing w:val="-9"/>
          <w:sz w:val="14"/>
        </w:rPr>
        <w:t> </w:t>
      </w:r>
      <w:r>
        <w:rPr>
          <w:sz w:val="14"/>
        </w:rPr>
        <w:t>reliably. A</w:t>
      </w:r>
      <w:r>
        <w:rPr>
          <w:spacing w:val="-4"/>
          <w:sz w:val="14"/>
        </w:rPr>
        <w:t> </w:t>
      </w:r>
      <w:r>
        <w:rPr>
          <w:sz w:val="14"/>
        </w:rPr>
        <w:t>contingent</w:t>
      </w:r>
      <w:r>
        <w:rPr>
          <w:spacing w:val="-1"/>
          <w:sz w:val="14"/>
        </w:rPr>
        <w:t> </w:t>
      </w:r>
      <w:r>
        <w:rPr>
          <w:sz w:val="14"/>
        </w:rPr>
        <w:t>liability</w:t>
      </w:r>
      <w:r>
        <w:rPr>
          <w:spacing w:val="-6"/>
          <w:sz w:val="14"/>
        </w:rPr>
        <w:t> </w:t>
      </w:r>
      <w:r>
        <w:rPr>
          <w:sz w:val="14"/>
        </w:rPr>
        <w:t>is</w:t>
      </w:r>
      <w:r>
        <w:rPr>
          <w:spacing w:val="-2"/>
          <w:sz w:val="14"/>
        </w:rPr>
        <w:t> </w:t>
      </w:r>
      <w:r>
        <w:rPr>
          <w:sz w:val="14"/>
        </w:rPr>
        <w:t>disclosed</w:t>
      </w:r>
      <w:r>
        <w:rPr>
          <w:spacing w:val="-2"/>
          <w:sz w:val="14"/>
        </w:rPr>
        <w:t> </w:t>
      </w:r>
      <w:r>
        <w:rPr>
          <w:sz w:val="14"/>
        </w:rPr>
        <w:t>unless</w:t>
      </w:r>
      <w:r>
        <w:rPr>
          <w:spacing w:val="-1"/>
          <w:sz w:val="14"/>
        </w:rPr>
        <w:t> </w:t>
      </w:r>
      <w:r>
        <w:rPr>
          <w:sz w:val="14"/>
        </w:rPr>
        <w:t>the</w:t>
      </w:r>
      <w:r>
        <w:rPr>
          <w:spacing w:val="-3"/>
          <w:sz w:val="14"/>
        </w:rPr>
        <w:t> </w:t>
      </w:r>
      <w:r>
        <w:rPr>
          <w:sz w:val="14"/>
        </w:rPr>
        <w:t>possibility</w:t>
      </w:r>
      <w:r>
        <w:rPr>
          <w:spacing w:val="-6"/>
          <w:sz w:val="14"/>
        </w:rPr>
        <w:t> </w:t>
      </w:r>
      <w:r>
        <w:rPr>
          <w:sz w:val="14"/>
        </w:rPr>
        <w:t>of</w:t>
      </w:r>
      <w:r>
        <w:rPr>
          <w:spacing w:val="-1"/>
          <w:sz w:val="14"/>
        </w:rPr>
        <w:t> </w:t>
      </w:r>
      <w:r>
        <w:rPr>
          <w:sz w:val="14"/>
        </w:rPr>
        <w:t>a</w:t>
      </w:r>
      <w:r>
        <w:rPr>
          <w:spacing w:val="-4"/>
          <w:sz w:val="14"/>
        </w:rPr>
        <w:t> </w:t>
      </w:r>
      <w:r>
        <w:rPr>
          <w:sz w:val="14"/>
        </w:rPr>
        <w:t>payment</w:t>
      </w:r>
      <w:r>
        <w:rPr>
          <w:spacing w:val="-2"/>
          <w:sz w:val="14"/>
        </w:rPr>
        <w:t> </w:t>
      </w:r>
      <w:r>
        <w:rPr>
          <w:sz w:val="14"/>
        </w:rPr>
        <w:t>is</w:t>
      </w:r>
      <w:r>
        <w:rPr>
          <w:spacing w:val="-1"/>
          <w:sz w:val="14"/>
        </w:rPr>
        <w:t> </w:t>
      </w:r>
      <w:r>
        <w:rPr>
          <w:sz w:val="14"/>
        </w:rPr>
        <w:t>remote.</w:t>
      </w:r>
    </w:p>
    <w:p>
      <w:pPr>
        <w:spacing w:line="256" w:lineRule="auto" w:before="0"/>
        <w:ind w:left="705" w:right="604" w:firstLine="0"/>
        <w:jc w:val="left"/>
        <w:rPr>
          <w:sz w:val="14"/>
        </w:rPr>
      </w:pPr>
      <w:r>
        <w:rPr>
          <w:sz w:val="14"/>
        </w:rPr>
        <w:t>A</w:t>
      </w:r>
      <w:r>
        <w:rPr>
          <w:spacing w:val="-10"/>
          <w:sz w:val="14"/>
        </w:rPr>
        <w:t> </w:t>
      </w:r>
      <w:r>
        <w:rPr>
          <w:sz w:val="14"/>
        </w:rPr>
        <w:t>contingent</w:t>
      </w:r>
      <w:r>
        <w:rPr>
          <w:spacing w:val="-8"/>
          <w:sz w:val="14"/>
        </w:rPr>
        <w:t> </w:t>
      </w:r>
      <w:r>
        <w:rPr>
          <w:sz w:val="14"/>
        </w:rPr>
        <w:t>asset</w:t>
      </w:r>
      <w:r>
        <w:rPr>
          <w:spacing w:val="-8"/>
          <w:sz w:val="14"/>
        </w:rPr>
        <w:t> </w:t>
      </w:r>
      <w:r>
        <w:rPr>
          <w:sz w:val="14"/>
        </w:rPr>
        <w:t>is</w:t>
      </w:r>
      <w:r>
        <w:rPr>
          <w:spacing w:val="-8"/>
          <w:sz w:val="14"/>
        </w:rPr>
        <w:t> </w:t>
      </w:r>
      <w:r>
        <w:rPr>
          <w:sz w:val="14"/>
        </w:rPr>
        <w:t>a</w:t>
      </w:r>
      <w:r>
        <w:rPr>
          <w:spacing w:val="-6"/>
          <w:sz w:val="14"/>
        </w:rPr>
        <w:t> </w:t>
      </w:r>
      <w:r>
        <w:rPr>
          <w:sz w:val="14"/>
        </w:rPr>
        <w:t>possible</w:t>
      </w:r>
      <w:r>
        <w:rPr>
          <w:spacing w:val="-8"/>
          <w:sz w:val="14"/>
        </w:rPr>
        <w:t> </w:t>
      </w:r>
      <w:r>
        <w:rPr>
          <w:sz w:val="14"/>
        </w:rPr>
        <w:t>asset</w:t>
      </w:r>
      <w:r>
        <w:rPr>
          <w:spacing w:val="-8"/>
          <w:sz w:val="14"/>
        </w:rPr>
        <w:t> </w:t>
      </w:r>
      <w:r>
        <w:rPr>
          <w:sz w:val="14"/>
        </w:rPr>
        <w:t>that</w:t>
      </w:r>
      <w:r>
        <w:rPr>
          <w:spacing w:val="-7"/>
          <w:sz w:val="14"/>
        </w:rPr>
        <w:t> </w:t>
      </w:r>
      <w:r>
        <w:rPr>
          <w:sz w:val="14"/>
        </w:rPr>
        <w:t>arises</w:t>
      </w:r>
      <w:r>
        <w:rPr>
          <w:spacing w:val="-8"/>
          <w:sz w:val="14"/>
        </w:rPr>
        <w:t> </w:t>
      </w:r>
      <w:r>
        <w:rPr>
          <w:sz w:val="14"/>
        </w:rPr>
        <w:t>from</w:t>
      </w:r>
      <w:r>
        <w:rPr>
          <w:spacing w:val="-4"/>
          <w:sz w:val="14"/>
        </w:rPr>
        <w:t> </w:t>
      </w:r>
      <w:r>
        <w:rPr>
          <w:sz w:val="14"/>
        </w:rPr>
        <w:t>past</w:t>
      </w:r>
      <w:r>
        <w:rPr>
          <w:spacing w:val="-8"/>
          <w:sz w:val="14"/>
        </w:rPr>
        <w:t> </w:t>
      </w:r>
      <w:r>
        <w:rPr>
          <w:sz w:val="14"/>
        </w:rPr>
        <w:t>events</w:t>
      </w:r>
      <w:r>
        <w:rPr>
          <w:spacing w:val="-8"/>
          <w:sz w:val="14"/>
        </w:rPr>
        <w:t> </w:t>
      </w:r>
      <w:r>
        <w:rPr>
          <w:sz w:val="14"/>
        </w:rPr>
        <w:t>and</w:t>
      </w:r>
      <w:r>
        <w:rPr>
          <w:spacing w:val="-11"/>
          <w:sz w:val="14"/>
        </w:rPr>
        <w:t> </w:t>
      </w:r>
      <w:r>
        <w:rPr>
          <w:sz w:val="14"/>
        </w:rPr>
        <w:t>whose</w:t>
      </w:r>
      <w:r>
        <w:rPr>
          <w:spacing w:val="-8"/>
          <w:sz w:val="14"/>
        </w:rPr>
        <w:t> </w:t>
      </w:r>
      <w:r>
        <w:rPr>
          <w:sz w:val="14"/>
        </w:rPr>
        <w:t>existence</w:t>
      </w:r>
      <w:r>
        <w:rPr>
          <w:spacing w:val="-8"/>
          <w:sz w:val="14"/>
        </w:rPr>
        <w:t> </w:t>
      </w:r>
      <w:r>
        <w:rPr>
          <w:sz w:val="14"/>
        </w:rPr>
        <w:t>will</w:t>
      </w:r>
      <w:r>
        <w:rPr>
          <w:spacing w:val="-6"/>
          <w:sz w:val="14"/>
        </w:rPr>
        <w:t> </w:t>
      </w:r>
      <w:r>
        <w:rPr>
          <w:sz w:val="14"/>
        </w:rPr>
        <w:t>be</w:t>
      </w:r>
      <w:r>
        <w:rPr>
          <w:spacing w:val="-8"/>
          <w:sz w:val="14"/>
        </w:rPr>
        <w:t> </w:t>
      </w:r>
      <w:r>
        <w:rPr>
          <w:sz w:val="14"/>
        </w:rPr>
        <w:t>confirmed</w:t>
      </w:r>
      <w:r>
        <w:rPr>
          <w:spacing w:val="-8"/>
          <w:sz w:val="14"/>
        </w:rPr>
        <w:t> </w:t>
      </w:r>
      <w:r>
        <w:rPr>
          <w:sz w:val="14"/>
        </w:rPr>
        <w:t>by</w:t>
      </w:r>
      <w:r>
        <w:rPr>
          <w:spacing w:val="-10"/>
          <w:sz w:val="14"/>
        </w:rPr>
        <w:t> </w:t>
      </w:r>
      <w:r>
        <w:rPr>
          <w:sz w:val="14"/>
        </w:rPr>
        <w:t>the</w:t>
      </w:r>
      <w:r>
        <w:rPr>
          <w:spacing w:val="-8"/>
          <w:sz w:val="14"/>
        </w:rPr>
        <w:t> </w:t>
      </w:r>
      <w:r>
        <w:rPr>
          <w:sz w:val="14"/>
        </w:rPr>
        <w:t>occurrence</w:t>
      </w:r>
      <w:r>
        <w:rPr>
          <w:spacing w:val="-8"/>
          <w:sz w:val="14"/>
        </w:rPr>
        <w:t> </w:t>
      </w:r>
      <w:r>
        <w:rPr>
          <w:sz w:val="14"/>
        </w:rPr>
        <w:t>or</w:t>
      </w:r>
      <w:r>
        <w:rPr>
          <w:spacing w:val="-8"/>
          <w:sz w:val="14"/>
        </w:rPr>
        <w:t> </w:t>
      </w:r>
      <w:r>
        <w:rPr>
          <w:sz w:val="14"/>
        </w:rPr>
        <w:t>non-occurrence</w:t>
      </w:r>
      <w:r>
        <w:rPr>
          <w:spacing w:val="-8"/>
          <w:sz w:val="14"/>
        </w:rPr>
        <w:t> </w:t>
      </w:r>
      <w:r>
        <w:rPr>
          <w:sz w:val="14"/>
        </w:rPr>
        <w:t>of</w:t>
      </w:r>
      <w:r>
        <w:rPr>
          <w:spacing w:val="-6"/>
          <w:sz w:val="14"/>
        </w:rPr>
        <w:t> </w:t>
      </w:r>
      <w:r>
        <w:rPr>
          <w:sz w:val="14"/>
        </w:rPr>
        <w:t>one</w:t>
      </w:r>
      <w:r>
        <w:rPr>
          <w:spacing w:val="-8"/>
          <w:sz w:val="14"/>
        </w:rPr>
        <w:t> </w:t>
      </w:r>
      <w:r>
        <w:rPr>
          <w:sz w:val="14"/>
        </w:rPr>
        <w:t>or more uncertain future events not wholly within the control of the clinical commissioning group. A contingent asset is disclosed where an inflow of economic benefits is</w:t>
      </w:r>
      <w:r>
        <w:rPr>
          <w:spacing w:val="-9"/>
          <w:sz w:val="14"/>
        </w:rPr>
        <w:t> </w:t>
      </w:r>
      <w:r>
        <w:rPr>
          <w:sz w:val="14"/>
        </w:rPr>
        <w:t>probable.</w:t>
      </w:r>
    </w:p>
    <w:p>
      <w:pPr>
        <w:spacing w:before="20"/>
        <w:ind w:left="704" w:right="0" w:firstLine="0"/>
        <w:jc w:val="left"/>
        <w:rPr>
          <w:sz w:val="14"/>
        </w:rPr>
      </w:pPr>
      <w:r>
        <w:rPr>
          <w:sz w:val="14"/>
        </w:rPr>
        <w:t>Where the time value of money is material, contingent liabilities and contingent assets are disclosed at their present value.</w:t>
      </w:r>
    </w:p>
    <w:p>
      <w:pPr>
        <w:pStyle w:val="ListParagraph"/>
        <w:numPr>
          <w:ilvl w:val="1"/>
          <w:numId w:val="19"/>
        </w:numPr>
        <w:tabs>
          <w:tab w:pos="705" w:val="left" w:leader="none"/>
        </w:tabs>
        <w:spacing w:line="240" w:lineRule="auto" w:before="99" w:after="0"/>
        <w:ind w:left="704" w:right="0" w:hanging="390"/>
        <w:jc w:val="left"/>
        <w:rPr>
          <w:b/>
          <w:sz w:val="14"/>
        </w:rPr>
      </w:pPr>
      <w:r>
        <w:rPr>
          <w:b/>
          <w:sz w:val="14"/>
        </w:rPr>
        <w:t>Financial</w:t>
      </w:r>
      <w:r>
        <w:rPr>
          <w:b/>
          <w:spacing w:val="-5"/>
          <w:sz w:val="14"/>
        </w:rPr>
        <w:t> </w:t>
      </w:r>
      <w:r>
        <w:rPr>
          <w:b/>
          <w:sz w:val="14"/>
        </w:rPr>
        <w:t>Assets</w:t>
      </w:r>
    </w:p>
    <w:p>
      <w:pPr>
        <w:spacing w:line="256" w:lineRule="auto" w:before="7"/>
        <w:ind w:left="704" w:right="644" w:firstLine="0"/>
        <w:jc w:val="left"/>
        <w:rPr>
          <w:sz w:val="14"/>
        </w:rPr>
      </w:pPr>
      <w:r>
        <w:rPr>
          <w:sz w:val="14"/>
        </w:rPr>
        <w:t>Financial assets are recognised when the clinical commissioning group becomes party to the financial instrument contract or, in the case of trade receivables,</w:t>
      </w:r>
      <w:r>
        <w:rPr>
          <w:spacing w:val="-9"/>
          <w:sz w:val="14"/>
        </w:rPr>
        <w:t> </w:t>
      </w:r>
      <w:r>
        <w:rPr>
          <w:sz w:val="14"/>
        </w:rPr>
        <w:t>when</w:t>
      </w:r>
      <w:r>
        <w:rPr>
          <w:spacing w:val="-9"/>
          <w:sz w:val="14"/>
        </w:rPr>
        <w:t> </w:t>
      </w:r>
      <w:r>
        <w:rPr>
          <w:sz w:val="14"/>
        </w:rPr>
        <w:t>the</w:t>
      </w:r>
      <w:r>
        <w:rPr>
          <w:spacing w:val="-7"/>
          <w:sz w:val="14"/>
        </w:rPr>
        <w:t> </w:t>
      </w:r>
      <w:r>
        <w:rPr>
          <w:sz w:val="14"/>
        </w:rPr>
        <w:t>goods</w:t>
      </w:r>
      <w:r>
        <w:rPr>
          <w:spacing w:val="-9"/>
          <w:sz w:val="14"/>
        </w:rPr>
        <w:t> </w:t>
      </w:r>
      <w:r>
        <w:rPr>
          <w:sz w:val="14"/>
        </w:rPr>
        <w:t>or</w:t>
      </w:r>
      <w:r>
        <w:rPr>
          <w:spacing w:val="-10"/>
          <w:sz w:val="14"/>
        </w:rPr>
        <w:t> </w:t>
      </w:r>
      <w:r>
        <w:rPr>
          <w:sz w:val="14"/>
        </w:rPr>
        <w:t>services</w:t>
      </w:r>
      <w:r>
        <w:rPr>
          <w:spacing w:val="-11"/>
          <w:sz w:val="14"/>
        </w:rPr>
        <w:t> </w:t>
      </w:r>
      <w:r>
        <w:rPr>
          <w:sz w:val="14"/>
        </w:rPr>
        <w:t>have</w:t>
      </w:r>
      <w:r>
        <w:rPr>
          <w:spacing w:val="-9"/>
          <w:sz w:val="14"/>
        </w:rPr>
        <w:t> </w:t>
      </w:r>
      <w:r>
        <w:rPr>
          <w:sz w:val="14"/>
        </w:rPr>
        <w:t>been</w:t>
      </w:r>
      <w:r>
        <w:rPr>
          <w:spacing w:val="-10"/>
          <w:sz w:val="14"/>
        </w:rPr>
        <w:t> </w:t>
      </w:r>
      <w:r>
        <w:rPr>
          <w:sz w:val="14"/>
        </w:rPr>
        <w:t>delivered.</w:t>
      </w:r>
      <w:r>
        <w:rPr>
          <w:spacing w:val="-9"/>
          <w:sz w:val="14"/>
        </w:rPr>
        <w:t> </w:t>
      </w:r>
      <w:r>
        <w:rPr>
          <w:sz w:val="14"/>
        </w:rPr>
        <w:t>Financial</w:t>
      </w:r>
      <w:r>
        <w:rPr>
          <w:spacing w:val="-6"/>
          <w:sz w:val="14"/>
        </w:rPr>
        <w:t> </w:t>
      </w:r>
      <w:r>
        <w:rPr>
          <w:sz w:val="14"/>
        </w:rPr>
        <w:t>assets</w:t>
      </w:r>
      <w:r>
        <w:rPr>
          <w:spacing w:val="-9"/>
          <w:sz w:val="14"/>
        </w:rPr>
        <w:t> </w:t>
      </w:r>
      <w:r>
        <w:rPr>
          <w:sz w:val="14"/>
        </w:rPr>
        <w:t>are</w:t>
      </w:r>
      <w:r>
        <w:rPr>
          <w:spacing w:val="-9"/>
          <w:sz w:val="14"/>
        </w:rPr>
        <w:t> </w:t>
      </w:r>
      <w:r>
        <w:rPr>
          <w:sz w:val="14"/>
        </w:rPr>
        <w:t>derecognised</w:t>
      </w:r>
      <w:r>
        <w:rPr>
          <w:spacing w:val="-12"/>
          <w:sz w:val="14"/>
        </w:rPr>
        <w:t> </w:t>
      </w:r>
      <w:r>
        <w:rPr>
          <w:sz w:val="14"/>
        </w:rPr>
        <w:t>when</w:t>
      </w:r>
      <w:r>
        <w:rPr>
          <w:spacing w:val="-12"/>
          <w:sz w:val="14"/>
        </w:rPr>
        <w:t> </w:t>
      </w:r>
      <w:r>
        <w:rPr>
          <w:sz w:val="14"/>
        </w:rPr>
        <w:t>the</w:t>
      </w:r>
      <w:r>
        <w:rPr>
          <w:spacing w:val="-11"/>
          <w:sz w:val="14"/>
        </w:rPr>
        <w:t> </w:t>
      </w:r>
      <w:r>
        <w:rPr>
          <w:sz w:val="14"/>
        </w:rPr>
        <w:t>contractual</w:t>
      </w:r>
      <w:r>
        <w:rPr>
          <w:spacing w:val="-9"/>
          <w:sz w:val="14"/>
        </w:rPr>
        <w:t> </w:t>
      </w:r>
      <w:r>
        <w:rPr>
          <w:sz w:val="14"/>
        </w:rPr>
        <w:t>rights</w:t>
      </w:r>
      <w:r>
        <w:rPr>
          <w:spacing w:val="-11"/>
          <w:sz w:val="14"/>
        </w:rPr>
        <w:t> </w:t>
      </w:r>
      <w:r>
        <w:rPr>
          <w:sz w:val="14"/>
        </w:rPr>
        <w:t>have</w:t>
      </w:r>
      <w:r>
        <w:rPr>
          <w:spacing w:val="-9"/>
          <w:sz w:val="14"/>
        </w:rPr>
        <w:t> </w:t>
      </w:r>
      <w:r>
        <w:rPr>
          <w:sz w:val="14"/>
        </w:rPr>
        <w:t>expired</w:t>
      </w:r>
      <w:r>
        <w:rPr>
          <w:spacing w:val="-10"/>
          <w:sz w:val="14"/>
        </w:rPr>
        <w:t> </w:t>
      </w:r>
      <w:r>
        <w:rPr>
          <w:sz w:val="14"/>
        </w:rPr>
        <w:t>or</w:t>
      </w:r>
      <w:r>
        <w:rPr>
          <w:spacing w:val="-10"/>
          <w:sz w:val="14"/>
        </w:rPr>
        <w:t> </w:t>
      </w:r>
      <w:r>
        <w:rPr>
          <w:sz w:val="14"/>
        </w:rPr>
        <w:t>the</w:t>
      </w:r>
      <w:r>
        <w:rPr>
          <w:spacing w:val="-11"/>
          <w:sz w:val="14"/>
        </w:rPr>
        <w:t> </w:t>
      </w:r>
      <w:r>
        <w:rPr>
          <w:sz w:val="14"/>
        </w:rPr>
        <w:t>asset has been</w:t>
      </w:r>
      <w:r>
        <w:rPr>
          <w:spacing w:val="-4"/>
          <w:sz w:val="14"/>
        </w:rPr>
        <w:t> </w:t>
      </w:r>
      <w:r>
        <w:rPr>
          <w:sz w:val="14"/>
        </w:rPr>
        <w:t>transferred.</w:t>
      </w:r>
    </w:p>
    <w:p>
      <w:pPr>
        <w:spacing w:before="1"/>
        <w:ind w:left="704" w:right="0" w:firstLine="0"/>
        <w:jc w:val="left"/>
        <w:rPr>
          <w:sz w:val="14"/>
        </w:rPr>
      </w:pPr>
      <w:r>
        <w:rPr>
          <w:sz w:val="14"/>
        </w:rPr>
        <w:t>Financial assets are classified into the following categories:</w:t>
      </w:r>
    </w:p>
    <w:p>
      <w:pPr>
        <w:pStyle w:val="ListParagraph"/>
        <w:numPr>
          <w:ilvl w:val="0"/>
          <w:numId w:val="21"/>
        </w:numPr>
        <w:tabs>
          <w:tab w:pos="1326" w:val="left" w:leader="none"/>
          <w:tab w:pos="1327" w:val="left" w:leader="none"/>
        </w:tabs>
        <w:spacing w:line="240" w:lineRule="auto" w:before="10" w:after="0"/>
        <w:ind w:left="1326" w:right="0" w:hanging="625"/>
        <w:jc w:val="left"/>
        <w:rPr>
          <w:sz w:val="14"/>
        </w:rPr>
      </w:pPr>
      <w:r>
        <w:rPr>
          <w:sz w:val="14"/>
        </w:rPr>
        <w:t>Financial assets at amortised</w:t>
      </w:r>
      <w:r>
        <w:rPr>
          <w:spacing w:val="-7"/>
          <w:sz w:val="14"/>
        </w:rPr>
        <w:t> </w:t>
      </w:r>
      <w:r>
        <w:rPr>
          <w:sz w:val="14"/>
        </w:rPr>
        <w:t>cost;</w:t>
      </w:r>
    </w:p>
    <w:p>
      <w:pPr>
        <w:pStyle w:val="ListParagraph"/>
        <w:numPr>
          <w:ilvl w:val="0"/>
          <w:numId w:val="21"/>
        </w:numPr>
        <w:tabs>
          <w:tab w:pos="1364" w:val="left" w:leader="none"/>
          <w:tab w:pos="1365" w:val="left" w:leader="none"/>
        </w:tabs>
        <w:spacing w:line="240" w:lineRule="auto" w:before="11" w:after="0"/>
        <w:ind w:left="1364" w:right="0" w:hanging="663"/>
        <w:jc w:val="left"/>
        <w:rPr>
          <w:sz w:val="14"/>
        </w:rPr>
      </w:pPr>
      <w:r>
        <w:rPr>
          <w:sz w:val="14"/>
        </w:rPr>
        <w:t>Financial assets at fair value through other comprehensive income and</w:t>
      </w:r>
      <w:r>
        <w:rPr>
          <w:spacing w:val="-28"/>
          <w:sz w:val="14"/>
        </w:rPr>
        <w:t> </w:t>
      </w:r>
      <w:r>
        <w:rPr>
          <w:sz w:val="14"/>
        </w:rPr>
        <w:t>;</w:t>
      </w:r>
    </w:p>
    <w:p>
      <w:pPr>
        <w:spacing w:after="0" w:line="240" w:lineRule="auto"/>
        <w:jc w:val="left"/>
        <w:rPr>
          <w:sz w:val="14"/>
        </w:rPr>
        <w:sectPr>
          <w:pgSz w:w="11920" w:h="16850"/>
          <w:pgMar w:header="0" w:footer="407" w:top="1000" w:bottom="640" w:left="740" w:right="520"/>
        </w:sectPr>
      </w:pPr>
    </w:p>
    <w:p>
      <w:pPr>
        <w:spacing w:before="75"/>
        <w:ind w:left="318" w:right="0" w:firstLine="0"/>
        <w:jc w:val="left"/>
        <w:rPr>
          <w:sz w:val="14"/>
        </w:rPr>
      </w:pPr>
      <w:r>
        <w:rPr>
          <w:sz w:val="14"/>
        </w:rPr>
        <w:t>NHS North Lincolnshire CCG - Annual Accounts 2021-22</w:t>
      </w:r>
    </w:p>
    <w:p>
      <w:pPr>
        <w:pStyle w:val="BodyText"/>
        <w:rPr>
          <w:sz w:val="16"/>
        </w:rPr>
      </w:pPr>
    </w:p>
    <w:p>
      <w:pPr>
        <w:spacing w:before="0"/>
        <w:ind w:left="318" w:right="0" w:firstLine="0"/>
        <w:jc w:val="left"/>
        <w:rPr>
          <w:b/>
          <w:sz w:val="14"/>
        </w:rPr>
      </w:pPr>
      <w:r>
        <w:rPr>
          <w:b/>
          <w:sz w:val="14"/>
        </w:rPr>
        <w:t>Notes to the financial statements</w:t>
      </w:r>
    </w:p>
    <w:p>
      <w:pPr>
        <w:pStyle w:val="BodyText"/>
        <w:spacing w:before="1"/>
        <w:rPr>
          <w:b/>
          <w:sz w:val="16"/>
        </w:rPr>
      </w:pPr>
    </w:p>
    <w:p>
      <w:pPr>
        <w:pStyle w:val="ListParagraph"/>
        <w:numPr>
          <w:ilvl w:val="0"/>
          <w:numId w:val="21"/>
        </w:numPr>
        <w:tabs>
          <w:tab w:pos="1326" w:val="left" w:leader="none"/>
          <w:tab w:pos="1327" w:val="left" w:leader="none"/>
        </w:tabs>
        <w:spacing w:line="240" w:lineRule="auto" w:before="0" w:after="0"/>
        <w:ind w:left="1326" w:right="0" w:hanging="625"/>
        <w:jc w:val="left"/>
        <w:rPr>
          <w:sz w:val="14"/>
        </w:rPr>
      </w:pPr>
      <w:r>
        <w:rPr>
          <w:sz w:val="14"/>
        </w:rPr>
        <w:t>Financial assets at fair value through profit and</w:t>
      </w:r>
      <w:r>
        <w:rPr>
          <w:spacing w:val="-18"/>
          <w:sz w:val="14"/>
        </w:rPr>
        <w:t> </w:t>
      </w:r>
      <w:r>
        <w:rPr>
          <w:sz w:val="14"/>
        </w:rPr>
        <w:t>loss.</w:t>
      </w:r>
    </w:p>
    <w:p>
      <w:pPr>
        <w:spacing w:line="254" w:lineRule="auto" w:before="14"/>
        <w:ind w:left="704" w:right="604" w:firstLine="0"/>
        <w:jc w:val="left"/>
        <w:rPr>
          <w:sz w:val="14"/>
        </w:rPr>
      </w:pPr>
      <w:r>
        <w:rPr>
          <w:sz w:val="14"/>
        </w:rPr>
        <w:t>The</w:t>
      </w:r>
      <w:r>
        <w:rPr>
          <w:spacing w:val="-11"/>
          <w:sz w:val="14"/>
        </w:rPr>
        <w:t> </w:t>
      </w:r>
      <w:r>
        <w:rPr>
          <w:sz w:val="14"/>
        </w:rPr>
        <w:t>classification</w:t>
      </w:r>
      <w:r>
        <w:rPr>
          <w:spacing w:val="-8"/>
          <w:sz w:val="14"/>
        </w:rPr>
        <w:t> </w:t>
      </w:r>
      <w:r>
        <w:rPr>
          <w:sz w:val="14"/>
        </w:rPr>
        <w:t>is</w:t>
      </w:r>
      <w:r>
        <w:rPr>
          <w:spacing w:val="-5"/>
          <w:sz w:val="14"/>
        </w:rPr>
        <w:t> </w:t>
      </w:r>
      <w:r>
        <w:rPr>
          <w:sz w:val="14"/>
        </w:rPr>
        <w:t>determined</w:t>
      </w:r>
      <w:r>
        <w:rPr>
          <w:spacing w:val="-6"/>
          <w:sz w:val="14"/>
        </w:rPr>
        <w:t> </w:t>
      </w:r>
      <w:r>
        <w:rPr>
          <w:sz w:val="14"/>
        </w:rPr>
        <w:t>by</w:t>
      </w:r>
      <w:r>
        <w:rPr>
          <w:spacing w:val="-10"/>
          <w:sz w:val="14"/>
        </w:rPr>
        <w:t> </w:t>
      </w:r>
      <w:r>
        <w:rPr>
          <w:sz w:val="14"/>
        </w:rPr>
        <w:t>the</w:t>
      </w:r>
      <w:r>
        <w:rPr>
          <w:spacing w:val="-8"/>
          <w:sz w:val="14"/>
        </w:rPr>
        <w:t> </w:t>
      </w:r>
      <w:r>
        <w:rPr>
          <w:sz w:val="14"/>
        </w:rPr>
        <w:t>cash</w:t>
      </w:r>
      <w:r>
        <w:rPr>
          <w:spacing w:val="-8"/>
          <w:sz w:val="14"/>
        </w:rPr>
        <w:t> </w:t>
      </w:r>
      <w:r>
        <w:rPr>
          <w:sz w:val="14"/>
        </w:rPr>
        <w:t>flow</w:t>
      </w:r>
      <w:r>
        <w:rPr>
          <w:spacing w:val="-8"/>
          <w:sz w:val="14"/>
        </w:rPr>
        <w:t> </w:t>
      </w:r>
      <w:r>
        <w:rPr>
          <w:sz w:val="14"/>
        </w:rPr>
        <w:t>and</w:t>
      </w:r>
      <w:r>
        <w:rPr>
          <w:spacing w:val="-6"/>
          <w:sz w:val="14"/>
        </w:rPr>
        <w:t> </w:t>
      </w:r>
      <w:r>
        <w:rPr>
          <w:sz w:val="14"/>
        </w:rPr>
        <w:t>business</w:t>
      </w:r>
      <w:r>
        <w:rPr>
          <w:spacing w:val="-8"/>
          <w:sz w:val="14"/>
        </w:rPr>
        <w:t> </w:t>
      </w:r>
      <w:r>
        <w:rPr>
          <w:sz w:val="14"/>
        </w:rPr>
        <w:t>model</w:t>
      </w:r>
      <w:r>
        <w:rPr>
          <w:spacing w:val="-7"/>
          <w:sz w:val="14"/>
        </w:rPr>
        <w:t> </w:t>
      </w:r>
      <w:r>
        <w:rPr>
          <w:sz w:val="14"/>
        </w:rPr>
        <w:t>characteristics</w:t>
      </w:r>
      <w:r>
        <w:rPr>
          <w:spacing w:val="-6"/>
          <w:sz w:val="14"/>
        </w:rPr>
        <w:t> </w:t>
      </w:r>
      <w:r>
        <w:rPr>
          <w:sz w:val="14"/>
        </w:rPr>
        <w:t>of</w:t>
      </w:r>
      <w:r>
        <w:rPr>
          <w:spacing w:val="-7"/>
          <w:sz w:val="14"/>
        </w:rPr>
        <w:t> </w:t>
      </w:r>
      <w:r>
        <w:rPr>
          <w:sz w:val="14"/>
        </w:rPr>
        <w:t>the</w:t>
      </w:r>
      <w:r>
        <w:rPr>
          <w:spacing w:val="-8"/>
          <w:sz w:val="14"/>
        </w:rPr>
        <w:t> </w:t>
      </w:r>
      <w:r>
        <w:rPr>
          <w:sz w:val="14"/>
        </w:rPr>
        <w:t>financial</w:t>
      </w:r>
      <w:r>
        <w:rPr>
          <w:spacing w:val="-5"/>
          <w:sz w:val="14"/>
        </w:rPr>
        <w:t> </w:t>
      </w:r>
      <w:r>
        <w:rPr>
          <w:sz w:val="14"/>
        </w:rPr>
        <w:t>assets,</w:t>
      </w:r>
      <w:r>
        <w:rPr>
          <w:spacing w:val="-8"/>
          <w:sz w:val="14"/>
        </w:rPr>
        <w:t> </w:t>
      </w:r>
      <w:r>
        <w:rPr>
          <w:sz w:val="14"/>
        </w:rPr>
        <w:t>as</w:t>
      </w:r>
      <w:r>
        <w:rPr>
          <w:spacing w:val="-8"/>
          <w:sz w:val="14"/>
        </w:rPr>
        <w:t> </w:t>
      </w:r>
      <w:r>
        <w:rPr>
          <w:sz w:val="14"/>
        </w:rPr>
        <w:t>set</w:t>
      </w:r>
      <w:r>
        <w:rPr>
          <w:spacing w:val="-8"/>
          <w:sz w:val="14"/>
        </w:rPr>
        <w:t> </w:t>
      </w:r>
      <w:r>
        <w:rPr>
          <w:sz w:val="14"/>
        </w:rPr>
        <w:t>out</w:t>
      </w:r>
      <w:r>
        <w:rPr>
          <w:spacing w:val="-6"/>
          <w:sz w:val="14"/>
        </w:rPr>
        <w:t> </w:t>
      </w:r>
      <w:r>
        <w:rPr>
          <w:sz w:val="14"/>
        </w:rPr>
        <w:t>in</w:t>
      </w:r>
      <w:r>
        <w:rPr>
          <w:spacing w:val="-11"/>
          <w:sz w:val="14"/>
        </w:rPr>
        <w:t> </w:t>
      </w:r>
      <w:r>
        <w:rPr>
          <w:sz w:val="14"/>
        </w:rPr>
        <w:t>IFRS</w:t>
      </w:r>
      <w:r>
        <w:rPr>
          <w:spacing w:val="-5"/>
          <w:sz w:val="14"/>
        </w:rPr>
        <w:t> </w:t>
      </w:r>
      <w:r>
        <w:rPr>
          <w:sz w:val="14"/>
        </w:rPr>
        <w:t>9,</w:t>
      </w:r>
      <w:r>
        <w:rPr>
          <w:spacing w:val="-6"/>
          <w:sz w:val="14"/>
        </w:rPr>
        <w:t> </w:t>
      </w:r>
      <w:r>
        <w:rPr>
          <w:sz w:val="14"/>
        </w:rPr>
        <w:t>and</w:t>
      </w:r>
      <w:r>
        <w:rPr>
          <w:spacing w:val="-8"/>
          <w:sz w:val="14"/>
        </w:rPr>
        <w:t> </w:t>
      </w:r>
      <w:r>
        <w:rPr>
          <w:sz w:val="14"/>
        </w:rPr>
        <w:t>is</w:t>
      </w:r>
      <w:r>
        <w:rPr>
          <w:spacing w:val="-8"/>
          <w:sz w:val="14"/>
        </w:rPr>
        <w:t> </w:t>
      </w:r>
      <w:r>
        <w:rPr>
          <w:sz w:val="14"/>
        </w:rPr>
        <w:t>determined</w:t>
      </w:r>
      <w:r>
        <w:rPr>
          <w:spacing w:val="-9"/>
          <w:sz w:val="14"/>
        </w:rPr>
        <w:t> </w:t>
      </w:r>
      <w:r>
        <w:rPr>
          <w:sz w:val="14"/>
        </w:rPr>
        <w:t>at</w:t>
      </w:r>
      <w:r>
        <w:rPr>
          <w:spacing w:val="-6"/>
          <w:sz w:val="14"/>
        </w:rPr>
        <w:t> </w:t>
      </w:r>
      <w:r>
        <w:rPr>
          <w:sz w:val="14"/>
        </w:rPr>
        <w:t>the time of initial</w:t>
      </w:r>
      <w:r>
        <w:rPr>
          <w:spacing w:val="-7"/>
          <w:sz w:val="14"/>
        </w:rPr>
        <w:t> </w:t>
      </w:r>
      <w:r>
        <w:rPr>
          <w:sz w:val="14"/>
        </w:rPr>
        <w:t>recognition.</w:t>
      </w:r>
    </w:p>
    <w:p>
      <w:pPr>
        <w:pStyle w:val="ListParagraph"/>
        <w:numPr>
          <w:ilvl w:val="2"/>
          <w:numId w:val="19"/>
        </w:numPr>
        <w:tabs>
          <w:tab w:pos="705" w:val="left" w:leader="none"/>
        </w:tabs>
        <w:spacing w:line="240" w:lineRule="auto" w:before="96" w:after="0"/>
        <w:ind w:left="704" w:right="0" w:hanging="390"/>
        <w:jc w:val="left"/>
        <w:rPr>
          <w:b/>
          <w:sz w:val="12"/>
        </w:rPr>
      </w:pPr>
      <w:r>
        <w:rPr>
          <w:b/>
          <w:sz w:val="14"/>
        </w:rPr>
        <w:t>Financial Assets at Amortised</w:t>
      </w:r>
      <w:r>
        <w:rPr>
          <w:b/>
          <w:spacing w:val="-9"/>
          <w:sz w:val="14"/>
        </w:rPr>
        <w:t> </w:t>
      </w:r>
      <w:r>
        <w:rPr>
          <w:b/>
          <w:sz w:val="14"/>
        </w:rPr>
        <w:t>cost</w:t>
      </w:r>
    </w:p>
    <w:p>
      <w:pPr>
        <w:spacing w:line="259" w:lineRule="auto" w:before="7"/>
        <w:ind w:left="704" w:right="675" w:firstLine="0"/>
        <w:jc w:val="left"/>
        <w:rPr>
          <w:sz w:val="14"/>
        </w:rPr>
      </w:pPr>
      <w:r>
        <w:rPr>
          <w:sz w:val="14"/>
        </w:rPr>
        <w:t>Financial assets measured at amortised cost are those held within a business model whose objective is achieved by collecting contractual cash flows and where the cash flows are solely payments of principal and interest. This includes most trade receivables and other simple debt instruments. After initial recognition these financial assets are measured at amortised cost using the effective interest method less any impairment. The effective interest rate is the rate that exactly discounts estimated future cash receipts through the life of the financial asset to the gross carrying amount of the financial asset.</w:t>
      </w:r>
    </w:p>
    <w:p>
      <w:pPr>
        <w:pStyle w:val="ListParagraph"/>
        <w:numPr>
          <w:ilvl w:val="1"/>
          <w:numId w:val="19"/>
        </w:numPr>
        <w:tabs>
          <w:tab w:pos="705" w:val="left" w:leader="none"/>
        </w:tabs>
        <w:spacing w:line="240" w:lineRule="auto" w:before="122" w:after="0"/>
        <w:ind w:left="704" w:right="0" w:hanging="390"/>
        <w:jc w:val="both"/>
        <w:rPr>
          <w:b/>
          <w:sz w:val="14"/>
        </w:rPr>
      </w:pPr>
      <w:r>
        <w:rPr>
          <w:b/>
          <w:sz w:val="14"/>
        </w:rPr>
        <w:t>Financial</w:t>
      </w:r>
      <w:r>
        <w:rPr>
          <w:b/>
          <w:spacing w:val="-5"/>
          <w:sz w:val="14"/>
        </w:rPr>
        <w:t> </w:t>
      </w:r>
      <w:r>
        <w:rPr>
          <w:b/>
          <w:sz w:val="14"/>
        </w:rPr>
        <w:t>Liabilities</w:t>
      </w:r>
    </w:p>
    <w:p>
      <w:pPr>
        <w:spacing w:line="256" w:lineRule="auto" w:before="7"/>
        <w:ind w:left="704" w:right="1045" w:firstLine="0"/>
        <w:jc w:val="both"/>
        <w:rPr>
          <w:sz w:val="14"/>
        </w:rPr>
      </w:pPr>
      <w:r>
        <w:rPr>
          <w:sz w:val="14"/>
        </w:rPr>
        <w:t>Financial liabilities are recognised on the statement of financial position when the clinical commissioning group becomes party to the contractual provisions</w:t>
      </w:r>
      <w:r>
        <w:rPr>
          <w:spacing w:val="-9"/>
          <w:sz w:val="14"/>
        </w:rPr>
        <w:t> </w:t>
      </w:r>
      <w:r>
        <w:rPr>
          <w:sz w:val="14"/>
        </w:rPr>
        <w:t>of</w:t>
      </w:r>
      <w:r>
        <w:rPr>
          <w:spacing w:val="-8"/>
          <w:sz w:val="14"/>
        </w:rPr>
        <w:t> </w:t>
      </w:r>
      <w:r>
        <w:rPr>
          <w:sz w:val="14"/>
        </w:rPr>
        <w:t>the</w:t>
      </w:r>
      <w:r>
        <w:rPr>
          <w:spacing w:val="-8"/>
          <w:sz w:val="14"/>
        </w:rPr>
        <w:t> </w:t>
      </w:r>
      <w:r>
        <w:rPr>
          <w:sz w:val="14"/>
        </w:rPr>
        <w:t>financial</w:t>
      </w:r>
      <w:r>
        <w:rPr>
          <w:spacing w:val="-10"/>
          <w:sz w:val="14"/>
        </w:rPr>
        <w:t> </w:t>
      </w:r>
      <w:r>
        <w:rPr>
          <w:sz w:val="14"/>
        </w:rPr>
        <w:t>instrument</w:t>
      </w:r>
      <w:r>
        <w:rPr>
          <w:spacing w:val="-9"/>
          <w:sz w:val="14"/>
        </w:rPr>
        <w:t> </w:t>
      </w:r>
      <w:r>
        <w:rPr>
          <w:sz w:val="14"/>
        </w:rPr>
        <w:t>or,</w:t>
      </w:r>
      <w:r>
        <w:rPr>
          <w:spacing w:val="-8"/>
          <w:sz w:val="14"/>
        </w:rPr>
        <w:t> </w:t>
      </w:r>
      <w:r>
        <w:rPr>
          <w:sz w:val="14"/>
        </w:rPr>
        <w:t>in</w:t>
      </w:r>
      <w:r>
        <w:rPr>
          <w:spacing w:val="-8"/>
          <w:sz w:val="14"/>
        </w:rPr>
        <w:t> </w:t>
      </w:r>
      <w:r>
        <w:rPr>
          <w:sz w:val="14"/>
        </w:rPr>
        <w:t>the</w:t>
      </w:r>
      <w:r>
        <w:rPr>
          <w:spacing w:val="-8"/>
          <w:sz w:val="14"/>
        </w:rPr>
        <w:t> </w:t>
      </w:r>
      <w:r>
        <w:rPr>
          <w:sz w:val="14"/>
        </w:rPr>
        <w:t>case</w:t>
      </w:r>
      <w:r>
        <w:rPr>
          <w:spacing w:val="-9"/>
          <w:sz w:val="14"/>
        </w:rPr>
        <w:t> </w:t>
      </w:r>
      <w:r>
        <w:rPr>
          <w:sz w:val="14"/>
        </w:rPr>
        <w:t>of</w:t>
      </w:r>
      <w:r>
        <w:rPr>
          <w:spacing w:val="-6"/>
          <w:sz w:val="14"/>
        </w:rPr>
        <w:t> </w:t>
      </w:r>
      <w:r>
        <w:rPr>
          <w:sz w:val="14"/>
        </w:rPr>
        <w:t>trade</w:t>
      </w:r>
      <w:r>
        <w:rPr>
          <w:spacing w:val="-9"/>
          <w:sz w:val="14"/>
        </w:rPr>
        <w:t> </w:t>
      </w:r>
      <w:r>
        <w:rPr>
          <w:sz w:val="14"/>
        </w:rPr>
        <w:t>payables,</w:t>
      </w:r>
      <w:r>
        <w:rPr>
          <w:spacing w:val="-9"/>
          <w:sz w:val="14"/>
        </w:rPr>
        <w:t> </w:t>
      </w:r>
      <w:r>
        <w:rPr>
          <w:sz w:val="14"/>
        </w:rPr>
        <w:t>when</w:t>
      </w:r>
      <w:r>
        <w:rPr>
          <w:spacing w:val="-11"/>
          <w:sz w:val="14"/>
        </w:rPr>
        <w:t> </w:t>
      </w:r>
      <w:r>
        <w:rPr>
          <w:sz w:val="14"/>
        </w:rPr>
        <w:t>the</w:t>
      </w:r>
      <w:r>
        <w:rPr>
          <w:spacing w:val="-8"/>
          <w:sz w:val="14"/>
        </w:rPr>
        <w:t> </w:t>
      </w:r>
      <w:r>
        <w:rPr>
          <w:sz w:val="14"/>
        </w:rPr>
        <w:t>goods</w:t>
      </w:r>
      <w:r>
        <w:rPr>
          <w:spacing w:val="-8"/>
          <w:sz w:val="14"/>
        </w:rPr>
        <w:t> </w:t>
      </w:r>
      <w:r>
        <w:rPr>
          <w:sz w:val="14"/>
        </w:rPr>
        <w:t>or</w:t>
      </w:r>
      <w:r>
        <w:rPr>
          <w:spacing w:val="-9"/>
          <w:sz w:val="14"/>
        </w:rPr>
        <w:t> </w:t>
      </w:r>
      <w:r>
        <w:rPr>
          <w:sz w:val="14"/>
        </w:rPr>
        <w:t>services</w:t>
      </w:r>
      <w:r>
        <w:rPr>
          <w:spacing w:val="-6"/>
          <w:sz w:val="14"/>
        </w:rPr>
        <w:t> </w:t>
      </w:r>
      <w:r>
        <w:rPr>
          <w:sz w:val="14"/>
        </w:rPr>
        <w:t>have</w:t>
      </w:r>
      <w:r>
        <w:rPr>
          <w:spacing w:val="-8"/>
          <w:sz w:val="14"/>
        </w:rPr>
        <w:t> </w:t>
      </w:r>
      <w:r>
        <w:rPr>
          <w:sz w:val="14"/>
        </w:rPr>
        <w:t>been</w:t>
      </w:r>
      <w:r>
        <w:rPr>
          <w:spacing w:val="-6"/>
          <w:sz w:val="14"/>
        </w:rPr>
        <w:t> </w:t>
      </w:r>
      <w:r>
        <w:rPr>
          <w:sz w:val="14"/>
        </w:rPr>
        <w:t>received.</w:t>
      </w:r>
      <w:r>
        <w:rPr>
          <w:spacing w:val="-7"/>
          <w:sz w:val="14"/>
        </w:rPr>
        <w:t> </w:t>
      </w:r>
      <w:r>
        <w:rPr>
          <w:sz w:val="14"/>
        </w:rPr>
        <w:t>Financial</w:t>
      </w:r>
      <w:r>
        <w:rPr>
          <w:spacing w:val="-10"/>
          <w:sz w:val="14"/>
        </w:rPr>
        <w:t> </w:t>
      </w:r>
      <w:r>
        <w:rPr>
          <w:sz w:val="14"/>
        </w:rPr>
        <w:t>liabilities</w:t>
      </w:r>
      <w:r>
        <w:rPr>
          <w:spacing w:val="-8"/>
          <w:sz w:val="14"/>
        </w:rPr>
        <w:t> </w:t>
      </w:r>
      <w:r>
        <w:rPr>
          <w:sz w:val="14"/>
        </w:rPr>
        <w:t>are</w:t>
      </w:r>
      <w:r>
        <w:rPr>
          <w:spacing w:val="-11"/>
          <w:sz w:val="14"/>
        </w:rPr>
        <w:t> </w:t>
      </w:r>
      <w:r>
        <w:rPr>
          <w:sz w:val="14"/>
        </w:rPr>
        <w:t>de- recognised</w:t>
      </w:r>
      <w:r>
        <w:rPr>
          <w:spacing w:val="-5"/>
          <w:sz w:val="14"/>
        </w:rPr>
        <w:t> </w:t>
      </w:r>
      <w:r>
        <w:rPr>
          <w:sz w:val="14"/>
        </w:rPr>
        <w:t>when</w:t>
      </w:r>
      <w:r>
        <w:rPr>
          <w:spacing w:val="-2"/>
          <w:sz w:val="14"/>
        </w:rPr>
        <w:t> </w:t>
      </w:r>
      <w:r>
        <w:rPr>
          <w:sz w:val="14"/>
        </w:rPr>
        <w:t>the</w:t>
      </w:r>
      <w:r>
        <w:rPr>
          <w:spacing w:val="-5"/>
          <w:sz w:val="14"/>
        </w:rPr>
        <w:t> </w:t>
      </w:r>
      <w:r>
        <w:rPr>
          <w:sz w:val="14"/>
        </w:rPr>
        <w:t>liability</w:t>
      </w:r>
      <w:r>
        <w:rPr>
          <w:spacing w:val="-3"/>
          <w:sz w:val="14"/>
        </w:rPr>
        <w:t> </w:t>
      </w:r>
      <w:r>
        <w:rPr>
          <w:sz w:val="14"/>
        </w:rPr>
        <w:t>has</w:t>
      </w:r>
      <w:r>
        <w:rPr>
          <w:spacing w:val="-2"/>
          <w:sz w:val="14"/>
        </w:rPr>
        <w:t> </w:t>
      </w:r>
      <w:r>
        <w:rPr>
          <w:sz w:val="14"/>
        </w:rPr>
        <w:t>been discharged,</w:t>
      </w:r>
      <w:r>
        <w:rPr>
          <w:spacing w:val="-4"/>
          <w:sz w:val="14"/>
        </w:rPr>
        <w:t> </w:t>
      </w:r>
      <w:r>
        <w:rPr>
          <w:sz w:val="14"/>
        </w:rPr>
        <w:t>that</w:t>
      </w:r>
      <w:r>
        <w:rPr>
          <w:spacing w:val="-2"/>
          <w:sz w:val="14"/>
        </w:rPr>
        <w:t> </w:t>
      </w:r>
      <w:r>
        <w:rPr>
          <w:sz w:val="14"/>
        </w:rPr>
        <w:t>is,</w:t>
      </w:r>
      <w:r>
        <w:rPr>
          <w:spacing w:val="-1"/>
          <w:sz w:val="14"/>
        </w:rPr>
        <w:t> </w:t>
      </w:r>
      <w:r>
        <w:rPr>
          <w:sz w:val="14"/>
        </w:rPr>
        <w:t>the</w:t>
      </w:r>
      <w:r>
        <w:rPr>
          <w:spacing w:val="-5"/>
          <w:sz w:val="14"/>
        </w:rPr>
        <w:t> </w:t>
      </w:r>
      <w:r>
        <w:rPr>
          <w:sz w:val="14"/>
        </w:rPr>
        <w:t>liability</w:t>
      </w:r>
      <w:r>
        <w:rPr>
          <w:spacing w:val="-6"/>
          <w:sz w:val="14"/>
        </w:rPr>
        <w:t> </w:t>
      </w:r>
      <w:r>
        <w:rPr>
          <w:sz w:val="14"/>
        </w:rPr>
        <w:t>has</w:t>
      </w:r>
      <w:r>
        <w:rPr>
          <w:spacing w:val="-2"/>
          <w:sz w:val="14"/>
        </w:rPr>
        <w:t> </w:t>
      </w:r>
      <w:r>
        <w:rPr>
          <w:sz w:val="14"/>
        </w:rPr>
        <w:t>been</w:t>
      </w:r>
      <w:r>
        <w:rPr>
          <w:spacing w:val="-4"/>
          <w:sz w:val="14"/>
        </w:rPr>
        <w:t> </w:t>
      </w:r>
      <w:r>
        <w:rPr>
          <w:sz w:val="14"/>
        </w:rPr>
        <w:t>paid</w:t>
      </w:r>
      <w:r>
        <w:rPr>
          <w:spacing w:val="-5"/>
          <w:sz w:val="14"/>
        </w:rPr>
        <w:t> </w:t>
      </w:r>
      <w:r>
        <w:rPr>
          <w:sz w:val="14"/>
        </w:rPr>
        <w:t>or</w:t>
      </w:r>
      <w:r>
        <w:rPr>
          <w:spacing w:val="-4"/>
          <w:sz w:val="14"/>
        </w:rPr>
        <w:t> </w:t>
      </w:r>
      <w:r>
        <w:rPr>
          <w:sz w:val="14"/>
        </w:rPr>
        <w:t>has</w:t>
      </w:r>
      <w:r>
        <w:rPr>
          <w:spacing w:val="-2"/>
          <w:sz w:val="14"/>
        </w:rPr>
        <w:t> </w:t>
      </w:r>
      <w:r>
        <w:rPr>
          <w:sz w:val="14"/>
        </w:rPr>
        <w:t>expired.</w:t>
      </w:r>
    </w:p>
    <w:p>
      <w:pPr>
        <w:pStyle w:val="ListParagraph"/>
        <w:numPr>
          <w:ilvl w:val="2"/>
          <w:numId w:val="19"/>
        </w:numPr>
        <w:tabs>
          <w:tab w:pos="705" w:val="left" w:leader="none"/>
        </w:tabs>
        <w:spacing w:line="240" w:lineRule="auto" w:before="116" w:after="0"/>
        <w:ind w:left="704" w:right="0" w:hanging="390"/>
        <w:jc w:val="both"/>
        <w:rPr>
          <w:b/>
          <w:sz w:val="12"/>
        </w:rPr>
      </w:pPr>
      <w:r>
        <w:rPr>
          <w:b/>
          <w:sz w:val="14"/>
        </w:rPr>
        <w:t>Other Financial</w:t>
      </w:r>
      <w:r>
        <w:rPr>
          <w:b/>
          <w:spacing w:val="-5"/>
          <w:sz w:val="14"/>
        </w:rPr>
        <w:t> </w:t>
      </w:r>
      <w:r>
        <w:rPr>
          <w:b/>
          <w:sz w:val="14"/>
        </w:rPr>
        <w:t>Liabilities</w:t>
      </w:r>
    </w:p>
    <w:p>
      <w:pPr>
        <w:spacing w:line="256" w:lineRule="auto" w:before="8"/>
        <w:ind w:left="703" w:right="628" w:firstLine="0"/>
        <w:jc w:val="both"/>
        <w:rPr>
          <w:sz w:val="14"/>
        </w:rPr>
      </w:pPr>
      <w:r>
        <w:rPr>
          <w:sz w:val="14"/>
        </w:rPr>
        <w:t>After</w:t>
      </w:r>
      <w:r>
        <w:rPr>
          <w:spacing w:val="-10"/>
          <w:sz w:val="14"/>
        </w:rPr>
        <w:t> </w:t>
      </w:r>
      <w:r>
        <w:rPr>
          <w:sz w:val="14"/>
        </w:rPr>
        <w:t>initial</w:t>
      </w:r>
      <w:r>
        <w:rPr>
          <w:spacing w:val="-6"/>
          <w:sz w:val="14"/>
        </w:rPr>
        <w:t> </w:t>
      </w:r>
      <w:r>
        <w:rPr>
          <w:sz w:val="14"/>
        </w:rPr>
        <w:t>recognition,</w:t>
      </w:r>
      <w:r>
        <w:rPr>
          <w:spacing w:val="-6"/>
          <w:sz w:val="14"/>
        </w:rPr>
        <w:t> </w:t>
      </w:r>
      <w:r>
        <w:rPr>
          <w:sz w:val="14"/>
        </w:rPr>
        <w:t>all</w:t>
      </w:r>
      <w:r>
        <w:rPr>
          <w:spacing w:val="-6"/>
          <w:sz w:val="14"/>
        </w:rPr>
        <w:t> </w:t>
      </w:r>
      <w:r>
        <w:rPr>
          <w:sz w:val="14"/>
        </w:rPr>
        <w:t>other</w:t>
      </w:r>
      <w:r>
        <w:rPr>
          <w:spacing w:val="-7"/>
          <w:sz w:val="14"/>
        </w:rPr>
        <w:t> </w:t>
      </w:r>
      <w:r>
        <w:rPr>
          <w:sz w:val="14"/>
        </w:rPr>
        <w:t>financial</w:t>
      </w:r>
      <w:r>
        <w:rPr>
          <w:spacing w:val="-9"/>
          <w:sz w:val="14"/>
        </w:rPr>
        <w:t> </w:t>
      </w:r>
      <w:r>
        <w:rPr>
          <w:sz w:val="14"/>
        </w:rPr>
        <w:t>liabilities</w:t>
      </w:r>
      <w:r>
        <w:rPr>
          <w:spacing w:val="-5"/>
          <w:sz w:val="14"/>
        </w:rPr>
        <w:t> </w:t>
      </w:r>
      <w:r>
        <w:rPr>
          <w:sz w:val="14"/>
        </w:rPr>
        <w:t>are</w:t>
      </w:r>
      <w:r>
        <w:rPr>
          <w:spacing w:val="-10"/>
          <w:sz w:val="14"/>
        </w:rPr>
        <w:t> </w:t>
      </w:r>
      <w:r>
        <w:rPr>
          <w:sz w:val="14"/>
        </w:rPr>
        <w:t>measured</w:t>
      </w:r>
      <w:r>
        <w:rPr>
          <w:spacing w:val="-8"/>
          <w:sz w:val="14"/>
        </w:rPr>
        <w:t> </w:t>
      </w:r>
      <w:r>
        <w:rPr>
          <w:sz w:val="14"/>
        </w:rPr>
        <w:t>at</w:t>
      </w:r>
      <w:r>
        <w:rPr>
          <w:spacing w:val="-9"/>
          <w:sz w:val="14"/>
        </w:rPr>
        <w:t> </w:t>
      </w:r>
      <w:r>
        <w:rPr>
          <w:sz w:val="14"/>
        </w:rPr>
        <w:t>amortised</w:t>
      </w:r>
      <w:r>
        <w:rPr>
          <w:spacing w:val="-7"/>
          <w:sz w:val="14"/>
        </w:rPr>
        <w:t> </w:t>
      </w:r>
      <w:r>
        <w:rPr>
          <w:sz w:val="14"/>
        </w:rPr>
        <w:t>cost</w:t>
      </w:r>
      <w:r>
        <w:rPr>
          <w:spacing w:val="-8"/>
          <w:sz w:val="14"/>
        </w:rPr>
        <w:t> </w:t>
      </w:r>
      <w:r>
        <w:rPr>
          <w:sz w:val="14"/>
        </w:rPr>
        <w:t>using</w:t>
      </w:r>
      <w:r>
        <w:rPr>
          <w:spacing w:val="-7"/>
          <w:sz w:val="14"/>
        </w:rPr>
        <w:t> </w:t>
      </w:r>
      <w:r>
        <w:rPr>
          <w:sz w:val="14"/>
        </w:rPr>
        <w:t>the</w:t>
      </w:r>
      <w:r>
        <w:rPr>
          <w:spacing w:val="-8"/>
          <w:sz w:val="14"/>
        </w:rPr>
        <w:t> </w:t>
      </w:r>
      <w:r>
        <w:rPr>
          <w:sz w:val="14"/>
        </w:rPr>
        <w:t>effective</w:t>
      </w:r>
      <w:r>
        <w:rPr>
          <w:spacing w:val="-9"/>
          <w:sz w:val="14"/>
        </w:rPr>
        <w:t> </w:t>
      </w:r>
      <w:r>
        <w:rPr>
          <w:sz w:val="14"/>
        </w:rPr>
        <w:t>interest</w:t>
      </w:r>
      <w:r>
        <w:rPr>
          <w:spacing w:val="-8"/>
          <w:sz w:val="14"/>
        </w:rPr>
        <w:t> </w:t>
      </w:r>
      <w:r>
        <w:rPr>
          <w:sz w:val="14"/>
        </w:rPr>
        <w:t>method,</w:t>
      </w:r>
      <w:r>
        <w:rPr>
          <w:spacing w:val="-7"/>
          <w:sz w:val="14"/>
        </w:rPr>
        <w:t> </w:t>
      </w:r>
      <w:r>
        <w:rPr>
          <w:sz w:val="14"/>
        </w:rPr>
        <w:t>except</w:t>
      </w:r>
      <w:r>
        <w:rPr>
          <w:spacing w:val="-9"/>
          <w:sz w:val="14"/>
        </w:rPr>
        <w:t> </w:t>
      </w:r>
      <w:r>
        <w:rPr>
          <w:sz w:val="14"/>
        </w:rPr>
        <w:t>for</w:t>
      </w:r>
      <w:r>
        <w:rPr>
          <w:spacing w:val="-6"/>
          <w:sz w:val="14"/>
        </w:rPr>
        <w:t> </w:t>
      </w:r>
      <w:r>
        <w:rPr>
          <w:sz w:val="14"/>
        </w:rPr>
        <w:t>loans</w:t>
      </w:r>
      <w:r>
        <w:rPr>
          <w:spacing w:val="-6"/>
          <w:sz w:val="14"/>
        </w:rPr>
        <w:t> </w:t>
      </w:r>
      <w:r>
        <w:rPr>
          <w:sz w:val="14"/>
        </w:rPr>
        <w:t>from</w:t>
      </w:r>
      <w:r>
        <w:rPr>
          <w:spacing w:val="-2"/>
          <w:sz w:val="14"/>
        </w:rPr>
        <w:t> </w:t>
      </w:r>
      <w:r>
        <w:rPr>
          <w:sz w:val="14"/>
        </w:rPr>
        <w:t>Department of</w:t>
      </w:r>
      <w:r>
        <w:rPr>
          <w:spacing w:val="-7"/>
          <w:sz w:val="14"/>
        </w:rPr>
        <w:t> </w:t>
      </w:r>
      <w:r>
        <w:rPr>
          <w:sz w:val="14"/>
        </w:rPr>
        <w:t>Health</w:t>
      </w:r>
      <w:r>
        <w:rPr>
          <w:spacing w:val="-6"/>
          <w:sz w:val="14"/>
        </w:rPr>
        <w:t> </w:t>
      </w:r>
      <w:r>
        <w:rPr>
          <w:sz w:val="14"/>
        </w:rPr>
        <w:t>and</w:t>
      </w:r>
      <w:r>
        <w:rPr>
          <w:spacing w:val="-6"/>
          <w:sz w:val="14"/>
        </w:rPr>
        <w:t> </w:t>
      </w:r>
      <w:r>
        <w:rPr>
          <w:sz w:val="14"/>
        </w:rPr>
        <w:t>Social</w:t>
      </w:r>
      <w:r>
        <w:rPr>
          <w:spacing w:val="-5"/>
          <w:sz w:val="14"/>
        </w:rPr>
        <w:t> </w:t>
      </w:r>
      <w:r>
        <w:rPr>
          <w:sz w:val="14"/>
        </w:rPr>
        <w:t>Care,</w:t>
      </w:r>
      <w:r>
        <w:rPr>
          <w:spacing w:val="-7"/>
          <w:sz w:val="14"/>
        </w:rPr>
        <w:t> </w:t>
      </w:r>
      <w:r>
        <w:rPr>
          <w:sz w:val="14"/>
        </w:rPr>
        <w:t>which</w:t>
      </w:r>
      <w:r>
        <w:rPr>
          <w:spacing w:val="-6"/>
          <w:sz w:val="14"/>
        </w:rPr>
        <w:t> </w:t>
      </w:r>
      <w:r>
        <w:rPr>
          <w:sz w:val="14"/>
        </w:rPr>
        <w:t>are</w:t>
      </w:r>
      <w:r>
        <w:rPr>
          <w:spacing w:val="-6"/>
          <w:sz w:val="14"/>
        </w:rPr>
        <w:t> </w:t>
      </w:r>
      <w:r>
        <w:rPr>
          <w:sz w:val="14"/>
        </w:rPr>
        <w:t>carried</w:t>
      </w:r>
      <w:r>
        <w:rPr>
          <w:spacing w:val="-6"/>
          <w:sz w:val="14"/>
        </w:rPr>
        <w:t> </w:t>
      </w:r>
      <w:r>
        <w:rPr>
          <w:sz w:val="14"/>
        </w:rPr>
        <w:t>at</w:t>
      </w:r>
      <w:r>
        <w:rPr>
          <w:spacing w:val="-4"/>
          <w:sz w:val="14"/>
        </w:rPr>
        <w:t> </w:t>
      </w:r>
      <w:r>
        <w:rPr>
          <w:sz w:val="14"/>
        </w:rPr>
        <w:t>historic</w:t>
      </w:r>
      <w:r>
        <w:rPr>
          <w:spacing w:val="-5"/>
          <w:sz w:val="14"/>
        </w:rPr>
        <w:t> </w:t>
      </w:r>
      <w:r>
        <w:rPr>
          <w:sz w:val="14"/>
        </w:rPr>
        <w:t>cost.</w:t>
      </w:r>
      <w:r>
        <w:rPr>
          <w:spacing w:val="-3"/>
          <w:sz w:val="14"/>
        </w:rPr>
        <w:t> </w:t>
      </w:r>
      <w:r>
        <w:rPr>
          <w:sz w:val="14"/>
        </w:rPr>
        <w:t>The</w:t>
      </w:r>
      <w:r>
        <w:rPr>
          <w:spacing w:val="-6"/>
          <w:sz w:val="14"/>
        </w:rPr>
        <w:t> </w:t>
      </w:r>
      <w:r>
        <w:rPr>
          <w:sz w:val="14"/>
        </w:rPr>
        <w:t>effective</w:t>
      </w:r>
      <w:r>
        <w:rPr>
          <w:spacing w:val="-5"/>
          <w:sz w:val="14"/>
        </w:rPr>
        <w:t> </w:t>
      </w:r>
      <w:r>
        <w:rPr>
          <w:sz w:val="14"/>
        </w:rPr>
        <w:t>interest</w:t>
      </w:r>
      <w:r>
        <w:rPr>
          <w:spacing w:val="-6"/>
          <w:sz w:val="14"/>
        </w:rPr>
        <w:t> </w:t>
      </w:r>
      <w:r>
        <w:rPr>
          <w:sz w:val="14"/>
        </w:rPr>
        <w:t>rate</w:t>
      </w:r>
      <w:r>
        <w:rPr>
          <w:spacing w:val="-6"/>
          <w:sz w:val="14"/>
        </w:rPr>
        <w:t> </w:t>
      </w:r>
      <w:r>
        <w:rPr>
          <w:sz w:val="14"/>
        </w:rPr>
        <w:t>is</w:t>
      </w:r>
      <w:r>
        <w:rPr>
          <w:spacing w:val="-4"/>
          <w:sz w:val="14"/>
        </w:rPr>
        <w:t> </w:t>
      </w:r>
      <w:r>
        <w:rPr>
          <w:sz w:val="14"/>
        </w:rPr>
        <w:t>the</w:t>
      </w:r>
      <w:r>
        <w:rPr>
          <w:spacing w:val="-6"/>
          <w:sz w:val="14"/>
        </w:rPr>
        <w:t> </w:t>
      </w:r>
      <w:r>
        <w:rPr>
          <w:sz w:val="14"/>
        </w:rPr>
        <w:t>rate</w:t>
      </w:r>
      <w:r>
        <w:rPr>
          <w:spacing w:val="-6"/>
          <w:sz w:val="14"/>
        </w:rPr>
        <w:t> </w:t>
      </w:r>
      <w:r>
        <w:rPr>
          <w:sz w:val="14"/>
        </w:rPr>
        <w:t>that</w:t>
      </w:r>
      <w:r>
        <w:rPr>
          <w:spacing w:val="-3"/>
          <w:sz w:val="14"/>
        </w:rPr>
        <w:t> </w:t>
      </w:r>
      <w:r>
        <w:rPr>
          <w:sz w:val="14"/>
        </w:rPr>
        <w:t>exactly</w:t>
      </w:r>
      <w:r>
        <w:rPr>
          <w:spacing w:val="-8"/>
          <w:sz w:val="14"/>
        </w:rPr>
        <w:t> </w:t>
      </w:r>
      <w:r>
        <w:rPr>
          <w:sz w:val="14"/>
        </w:rPr>
        <w:t>discounts</w:t>
      </w:r>
      <w:r>
        <w:rPr>
          <w:spacing w:val="-6"/>
          <w:sz w:val="14"/>
        </w:rPr>
        <w:t> </w:t>
      </w:r>
      <w:r>
        <w:rPr>
          <w:sz w:val="14"/>
        </w:rPr>
        <w:t>estimated</w:t>
      </w:r>
      <w:r>
        <w:rPr>
          <w:spacing w:val="-4"/>
          <w:sz w:val="14"/>
        </w:rPr>
        <w:t> </w:t>
      </w:r>
      <w:r>
        <w:rPr>
          <w:sz w:val="14"/>
        </w:rPr>
        <w:t>future</w:t>
      </w:r>
      <w:r>
        <w:rPr>
          <w:spacing w:val="-6"/>
          <w:sz w:val="14"/>
        </w:rPr>
        <w:t> </w:t>
      </w:r>
      <w:r>
        <w:rPr>
          <w:sz w:val="14"/>
        </w:rPr>
        <w:t>cash</w:t>
      </w:r>
      <w:r>
        <w:rPr>
          <w:spacing w:val="-5"/>
          <w:sz w:val="14"/>
        </w:rPr>
        <w:t> </w:t>
      </w:r>
      <w:r>
        <w:rPr>
          <w:sz w:val="14"/>
        </w:rPr>
        <w:t>payments through</w:t>
      </w:r>
      <w:r>
        <w:rPr>
          <w:spacing w:val="-6"/>
          <w:sz w:val="14"/>
        </w:rPr>
        <w:t> </w:t>
      </w:r>
      <w:r>
        <w:rPr>
          <w:sz w:val="14"/>
        </w:rPr>
        <w:t>the</w:t>
      </w:r>
      <w:r>
        <w:rPr>
          <w:spacing w:val="-5"/>
          <w:sz w:val="14"/>
        </w:rPr>
        <w:t> </w:t>
      </w:r>
      <w:r>
        <w:rPr>
          <w:sz w:val="14"/>
        </w:rPr>
        <w:t>life</w:t>
      </w:r>
      <w:r>
        <w:rPr>
          <w:spacing w:val="-5"/>
          <w:sz w:val="14"/>
        </w:rPr>
        <w:t> </w:t>
      </w:r>
      <w:r>
        <w:rPr>
          <w:sz w:val="14"/>
        </w:rPr>
        <w:t>of</w:t>
      </w:r>
      <w:r>
        <w:rPr>
          <w:spacing w:val="-5"/>
          <w:sz w:val="14"/>
        </w:rPr>
        <w:t> </w:t>
      </w:r>
      <w:r>
        <w:rPr>
          <w:sz w:val="14"/>
        </w:rPr>
        <w:t>the</w:t>
      </w:r>
      <w:r>
        <w:rPr>
          <w:spacing w:val="-5"/>
          <w:sz w:val="14"/>
        </w:rPr>
        <w:t> </w:t>
      </w:r>
      <w:r>
        <w:rPr>
          <w:sz w:val="14"/>
        </w:rPr>
        <w:t>asset,</w:t>
      </w:r>
      <w:r>
        <w:rPr>
          <w:spacing w:val="-5"/>
          <w:sz w:val="14"/>
        </w:rPr>
        <w:t> </w:t>
      </w:r>
      <w:r>
        <w:rPr>
          <w:sz w:val="14"/>
        </w:rPr>
        <w:t>to</w:t>
      </w:r>
      <w:r>
        <w:rPr>
          <w:spacing w:val="-5"/>
          <w:sz w:val="14"/>
        </w:rPr>
        <w:t> </w:t>
      </w:r>
      <w:r>
        <w:rPr>
          <w:sz w:val="14"/>
        </w:rPr>
        <w:t>the</w:t>
      </w:r>
      <w:r>
        <w:rPr>
          <w:spacing w:val="-5"/>
          <w:sz w:val="14"/>
        </w:rPr>
        <w:t> </w:t>
      </w:r>
      <w:r>
        <w:rPr>
          <w:sz w:val="14"/>
        </w:rPr>
        <w:t>net</w:t>
      </w:r>
      <w:r>
        <w:rPr>
          <w:spacing w:val="-7"/>
          <w:sz w:val="14"/>
        </w:rPr>
        <w:t> </w:t>
      </w:r>
      <w:r>
        <w:rPr>
          <w:sz w:val="14"/>
        </w:rPr>
        <w:t>carrying</w:t>
      </w:r>
      <w:r>
        <w:rPr>
          <w:spacing w:val="-6"/>
          <w:sz w:val="14"/>
        </w:rPr>
        <w:t> </w:t>
      </w:r>
      <w:r>
        <w:rPr>
          <w:sz w:val="14"/>
        </w:rPr>
        <w:t>amount</w:t>
      </w:r>
      <w:r>
        <w:rPr>
          <w:spacing w:val="-2"/>
          <w:sz w:val="14"/>
        </w:rPr>
        <w:t> </w:t>
      </w:r>
      <w:r>
        <w:rPr>
          <w:sz w:val="14"/>
        </w:rPr>
        <w:t>of</w:t>
      </w:r>
      <w:r>
        <w:rPr>
          <w:spacing w:val="-5"/>
          <w:sz w:val="14"/>
        </w:rPr>
        <w:t> </w:t>
      </w:r>
      <w:r>
        <w:rPr>
          <w:sz w:val="14"/>
        </w:rPr>
        <w:t>the</w:t>
      </w:r>
      <w:r>
        <w:rPr>
          <w:spacing w:val="-5"/>
          <w:sz w:val="14"/>
        </w:rPr>
        <w:t> </w:t>
      </w:r>
      <w:r>
        <w:rPr>
          <w:sz w:val="14"/>
        </w:rPr>
        <w:t>financial</w:t>
      </w:r>
      <w:r>
        <w:rPr>
          <w:spacing w:val="-4"/>
          <w:sz w:val="14"/>
        </w:rPr>
        <w:t> </w:t>
      </w:r>
      <w:r>
        <w:rPr>
          <w:sz w:val="14"/>
        </w:rPr>
        <w:t>liability.</w:t>
      </w:r>
      <w:r>
        <w:rPr>
          <w:spacing w:val="-5"/>
          <w:sz w:val="14"/>
        </w:rPr>
        <w:t> </w:t>
      </w:r>
      <w:r>
        <w:rPr>
          <w:sz w:val="14"/>
        </w:rPr>
        <w:t>Interest</w:t>
      </w:r>
      <w:r>
        <w:rPr>
          <w:spacing w:val="-5"/>
          <w:sz w:val="14"/>
        </w:rPr>
        <w:t> </w:t>
      </w:r>
      <w:r>
        <w:rPr>
          <w:sz w:val="14"/>
        </w:rPr>
        <w:t>is</w:t>
      </w:r>
      <w:r>
        <w:rPr>
          <w:spacing w:val="-4"/>
          <w:sz w:val="14"/>
        </w:rPr>
        <w:t> </w:t>
      </w:r>
      <w:r>
        <w:rPr>
          <w:sz w:val="14"/>
        </w:rPr>
        <w:t>recognised</w:t>
      </w:r>
      <w:r>
        <w:rPr>
          <w:spacing w:val="-6"/>
          <w:sz w:val="14"/>
        </w:rPr>
        <w:t> </w:t>
      </w:r>
      <w:r>
        <w:rPr>
          <w:sz w:val="14"/>
        </w:rPr>
        <w:t>using</w:t>
      </w:r>
      <w:r>
        <w:rPr>
          <w:spacing w:val="-5"/>
          <w:sz w:val="14"/>
        </w:rPr>
        <w:t> </w:t>
      </w:r>
      <w:r>
        <w:rPr>
          <w:sz w:val="14"/>
        </w:rPr>
        <w:t>the</w:t>
      </w:r>
      <w:r>
        <w:rPr>
          <w:spacing w:val="-5"/>
          <w:sz w:val="14"/>
        </w:rPr>
        <w:t> </w:t>
      </w:r>
      <w:r>
        <w:rPr>
          <w:sz w:val="14"/>
        </w:rPr>
        <w:t>effective</w:t>
      </w:r>
      <w:r>
        <w:rPr>
          <w:spacing w:val="-5"/>
          <w:sz w:val="14"/>
        </w:rPr>
        <w:t> </w:t>
      </w:r>
      <w:r>
        <w:rPr>
          <w:sz w:val="14"/>
        </w:rPr>
        <w:t>interest</w:t>
      </w:r>
      <w:r>
        <w:rPr>
          <w:spacing w:val="-5"/>
          <w:sz w:val="14"/>
        </w:rPr>
        <w:t> </w:t>
      </w:r>
      <w:r>
        <w:rPr>
          <w:sz w:val="14"/>
        </w:rPr>
        <w:t>method.</w:t>
      </w:r>
    </w:p>
    <w:p>
      <w:pPr>
        <w:pStyle w:val="BodyText"/>
        <w:rPr>
          <w:sz w:val="16"/>
        </w:rPr>
      </w:pPr>
    </w:p>
    <w:p>
      <w:pPr>
        <w:pStyle w:val="ListParagraph"/>
        <w:numPr>
          <w:ilvl w:val="1"/>
          <w:numId w:val="19"/>
        </w:numPr>
        <w:tabs>
          <w:tab w:pos="705" w:val="left" w:leader="none"/>
        </w:tabs>
        <w:spacing w:line="240" w:lineRule="auto" w:before="93" w:after="0"/>
        <w:ind w:left="704" w:right="0" w:hanging="390"/>
        <w:jc w:val="left"/>
        <w:rPr>
          <w:b/>
          <w:sz w:val="14"/>
        </w:rPr>
      </w:pPr>
      <w:r>
        <w:rPr>
          <w:b/>
          <w:sz w:val="14"/>
        </w:rPr>
        <w:t>Value Added</w:t>
      </w:r>
      <w:r>
        <w:rPr>
          <w:b/>
          <w:spacing w:val="-10"/>
          <w:sz w:val="14"/>
        </w:rPr>
        <w:t> </w:t>
      </w:r>
      <w:r>
        <w:rPr>
          <w:b/>
          <w:sz w:val="14"/>
        </w:rPr>
        <w:t>Tax</w:t>
      </w:r>
    </w:p>
    <w:p>
      <w:pPr>
        <w:spacing w:line="256" w:lineRule="auto" w:before="10"/>
        <w:ind w:left="704" w:right="604" w:firstLine="0"/>
        <w:jc w:val="left"/>
        <w:rPr>
          <w:sz w:val="14"/>
        </w:rPr>
      </w:pPr>
      <w:r>
        <w:rPr>
          <w:sz w:val="14"/>
        </w:rPr>
        <w:t>Most of the activities of the clinical commissioning group are outside the scope of VAT and, in general, output tax does not apply and input tax on purchases</w:t>
      </w:r>
      <w:r>
        <w:rPr>
          <w:spacing w:val="-11"/>
          <w:sz w:val="14"/>
        </w:rPr>
        <w:t> </w:t>
      </w:r>
      <w:r>
        <w:rPr>
          <w:sz w:val="14"/>
        </w:rPr>
        <w:t>is</w:t>
      </w:r>
      <w:r>
        <w:rPr>
          <w:spacing w:val="-9"/>
          <w:sz w:val="14"/>
        </w:rPr>
        <w:t> </w:t>
      </w:r>
      <w:r>
        <w:rPr>
          <w:sz w:val="14"/>
        </w:rPr>
        <w:t>not</w:t>
      </w:r>
      <w:r>
        <w:rPr>
          <w:spacing w:val="-7"/>
          <w:sz w:val="14"/>
        </w:rPr>
        <w:t> </w:t>
      </w:r>
      <w:r>
        <w:rPr>
          <w:sz w:val="14"/>
        </w:rPr>
        <w:t>recoverable.</w:t>
      </w:r>
      <w:r>
        <w:rPr>
          <w:spacing w:val="-8"/>
          <w:sz w:val="14"/>
        </w:rPr>
        <w:t> </w:t>
      </w:r>
      <w:r>
        <w:rPr>
          <w:sz w:val="14"/>
        </w:rPr>
        <w:t>Irrecoverable</w:t>
      </w:r>
      <w:r>
        <w:rPr>
          <w:spacing w:val="-12"/>
          <w:sz w:val="14"/>
        </w:rPr>
        <w:t> </w:t>
      </w:r>
      <w:r>
        <w:rPr>
          <w:sz w:val="14"/>
        </w:rPr>
        <w:t>VAT</w:t>
      </w:r>
      <w:r>
        <w:rPr>
          <w:spacing w:val="-6"/>
          <w:sz w:val="14"/>
        </w:rPr>
        <w:t> </w:t>
      </w:r>
      <w:r>
        <w:rPr>
          <w:sz w:val="14"/>
        </w:rPr>
        <w:t>is</w:t>
      </w:r>
      <w:r>
        <w:rPr>
          <w:spacing w:val="-9"/>
          <w:sz w:val="14"/>
        </w:rPr>
        <w:t> </w:t>
      </w:r>
      <w:r>
        <w:rPr>
          <w:sz w:val="14"/>
        </w:rPr>
        <w:t>charged</w:t>
      </w:r>
      <w:r>
        <w:rPr>
          <w:spacing w:val="-10"/>
          <w:sz w:val="14"/>
        </w:rPr>
        <w:t> </w:t>
      </w:r>
      <w:r>
        <w:rPr>
          <w:sz w:val="14"/>
        </w:rPr>
        <w:t>to</w:t>
      </w:r>
      <w:r>
        <w:rPr>
          <w:spacing w:val="-8"/>
          <w:sz w:val="14"/>
        </w:rPr>
        <w:t> </w:t>
      </w:r>
      <w:r>
        <w:rPr>
          <w:sz w:val="14"/>
        </w:rPr>
        <w:t>the</w:t>
      </w:r>
      <w:r>
        <w:rPr>
          <w:spacing w:val="-9"/>
          <w:sz w:val="14"/>
        </w:rPr>
        <w:t> </w:t>
      </w:r>
      <w:r>
        <w:rPr>
          <w:sz w:val="14"/>
        </w:rPr>
        <w:t>relevant</w:t>
      </w:r>
      <w:r>
        <w:rPr>
          <w:spacing w:val="-9"/>
          <w:sz w:val="14"/>
        </w:rPr>
        <w:t> </w:t>
      </w:r>
      <w:r>
        <w:rPr>
          <w:sz w:val="14"/>
        </w:rPr>
        <w:t>expenditure</w:t>
      </w:r>
      <w:r>
        <w:rPr>
          <w:spacing w:val="-11"/>
          <w:sz w:val="14"/>
        </w:rPr>
        <w:t> </w:t>
      </w:r>
      <w:r>
        <w:rPr>
          <w:sz w:val="14"/>
        </w:rPr>
        <w:t>category</w:t>
      </w:r>
      <w:r>
        <w:rPr>
          <w:spacing w:val="-11"/>
          <w:sz w:val="14"/>
        </w:rPr>
        <w:t> </w:t>
      </w:r>
      <w:r>
        <w:rPr>
          <w:sz w:val="14"/>
        </w:rPr>
        <w:t>or</w:t>
      </w:r>
      <w:r>
        <w:rPr>
          <w:spacing w:val="-9"/>
          <w:sz w:val="14"/>
        </w:rPr>
        <w:t> </w:t>
      </w:r>
      <w:r>
        <w:rPr>
          <w:sz w:val="14"/>
        </w:rPr>
        <w:t>included</w:t>
      </w:r>
      <w:r>
        <w:rPr>
          <w:spacing w:val="-9"/>
          <w:sz w:val="14"/>
        </w:rPr>
        <w:t> </w:t>
      </w:r>
      <w:r>
        <w:rPr>
          <w:sz w:val="14"/>
        </w:rPr>
        <w:t>in</w:t>
      </w:r>
      <w:r>
        <w:rPr>
          <w:spacing w:val="-9"/>
          <w:sz w:val="14"/>
        </w:rPr>
        <w:t> </w:t>
      </w:r>
      <w:r>
        <w:rPr>
          <w:sz w:val="14"/>
        </w:rPr>
        <w:t>the</w:t>
      </w:r>
      <w:r>
        <w:rPr>
          <w:spacing w:val="-8"/>
          <w:sz w:val="14"/>
        </w:rPr>
        <w:t> </w:t>
      </w:r>
      <w:r>
        <w:rPr>
          <w:sz w:val="14"/>
        </w:rPr>
        <w:t>capitalised</w:t>
      </w:r>
      <w:r>
        <w:rPr>
          <w:spacing w:val="-12"/>
          <w:sz w:val="14"/>
        </w:rPr>
        <w:t> </w:t>
      </w:r>
      <w:r>
        <w:rPr>
          <w:sz w:val="14"/>
        </w:rPr>
        <w:t>purchase</w:t>
      </w:r>
      <w:r>
        <w:rPr>
          <w:spacing w:val="-11"/>
          <w:sz w:val="14"/>
        </w:rPr>
        <w:t> </w:t>
      </w:r>
      <w:r>
        <w:rPr>
          <w:sz w:val="14"/>
        </w:rPr>
        <w:t>cost</w:t>
      </w:r>
      <w:r>
        <w:rPr>
          <w:spacing w:val="-9"/>
          <w:sz w:val="14"/>
        </w:rPr>
        <w:t> </w:t>
      </w:r>
      <w:r>
        <w:rPr>
          <w:sz w:val="14"/>
        </w:rPr>
        <w:t>of</w:t>
      </w:r>
      <w:r>
        <w:rPr>
          <w:spacing w:val="-10"/>
          <w:sz w:val="14"/>
        </w:rPr>
        <w:t> </w:t>
      </w:r>
      <w:r>
        <w:rPr>
          <w:sz w:val="14"/>
        </w:rPr>
        <w:t>fixed assets.</w:t>
      </w:r>
      <w:r>
        <w:rPr>
          <w:spacing w:val="-5"/>
          <w:sz w:val="14"/>
        </w:rPr>
        <w:t> </w:t>
      </w:r>
      <w:r>
        <w:rPr>
          <w:sz w:val="14"/>
        </w:rPr>
        <w:t>Where</w:t>
      </w:r>
      <w:r>
        <w:rPr>
          <w:spacing w:val="-4"/>
          <w:sz w:val="14"/>
        </w:rPr>
        <w:t> </w:t>
      </w:r>
      <w:r>
        <w:rPr>
          <w:sz w:val="14"/>
        </w:rPr>
        <w:t>output</w:t>
      </w:r>
      <w:r>
        <w:rPr>
          <w:spacing w:val="-2"/>
          <w:sz w:val="14"/>
        </w:rPr>
        <w:t> </w:t>
      </w:r>
      <w:r>
        <w:rPr>
          <w:sz w:val="14"/>
        </w:rPr>
        <w:t>tax</w:t>
      </w:r>
      <w:r>
        <w:rPr>
          <w:spacing w:val="-3"/>
          <w:sz w:val="14"/>
        </w:rPr>
        <w:t> </w:t>
      </w:r>
      <w:r>
        <w:rPr>
          <w:sz w:val="14"/>
        </w:rPr>
        <w:t>is</w:t>
      </w:r>
      <w:r>
        <w:rPr>
          <w:spacing w:val="-1"/>
          <w:sz w:val="14"/>
        </w:rPr>
        <w:t> </w:t>
      </w:r>
      <w:r>
        <w:rPr>
          <w:sz w:val="14"/>
        </w:rPr>
        <w:t>charged</w:t>
      </w:r>
      <w:r>
        <w:rPr>
          <w:spacing w:val="-5"/>
          <w:sz w:val="14"/>
        </w:rPr>
        <w:t> </w:t>
      </w:r>
      <w:r>
        <w:rPr>
          <w:sz w:val="14"/>
        </w:rPr>
        <w:t>or</w:t>
      </w:r>
      <w:r>
        <w:rPr>
          <w:spacing w:val="-2"/>
          <w:sz w:val="14"/>
        </w:rPr>
        <w:t> </w:t>
      </w:r>
      <w:r>
        <w:rPr>
          <w:sz w:val="14"/>
        </w:rPr>
        <w:t>input</w:t>
      </w:r>
      <w:r>
        <w:rPr>
          <w:spacing w:val="-4"/>
          <w:sz w:val="14"/>
        </w:rPr>
        <w:t> </w:t>
      </w:r>
      <w:r>
        <w:rPr>
          <w:sz w:val="14"/>
        </w:rPr>
        <w:t>VAT is</w:t>
      </w:r>
      <w:r>
        <w:rPr>
          <w:spacing w:val="-3"/>
          <w:sz w:val="14"/>
        </w:rPr>
        <w:t> </w:t>
      </w:r>
      <w:r>
        <w:rPr>
          <w:sz w:val="14"/>
        </w:rPr>
        <w:t>recoverable,</w:t>
      </w:r>
      <w:r>
        <w:rPr>
          <w:spacing w:val="-1"/>
          <w:sz w:val="14"/>
        </w:rPr>
        <w:t> </w:t>
      </w:r>
      <w:r>
        <w:rPr>
          <w:sz w:val="14"/>
        </w:rPr>
        <w:t>the</w:t>
      </w:r>
      <w:r>
        <w:rPr>
          <w:spacing w:val="-3"/>
          <w:sz w:val="14"/>
        </w:rPr>
        <w:t> </w:t>
      </w:r>
      <w:r>
        <w:rPr>
          <w:sz w:val="14"/>
        </w:rPr>
        <w:t>amounts</w:t>
      </w:r>
      <w:r>
        <w:rPr>
          <w:spacing w:val="-1"/>
          <w:sz w:val="14"/>
        </w:rPr>
        <w:t> </w:t>
      </w:r>
      <w:r>
        <w:rPr>
          <w:sz w:val="14"/>
        </w:rPr>
        <w:t>are</w:t>
      </w:r>
      <w:r>
        <w:rPr>
          <w:spacing w:val="-5"/>
          <w:sz w:val="14"/>
        </w:rPr>
        <w:t> </w:t>
      </w:r>
      <w:r>
        <w:rPr>
          <w:sz w:val="14"/>
        </w:rPr>
        <w:t>stated</w:t>
      </w:r>
      <w:r>
        <w:rPr>
          <w:spacing w:val="-4"/>
          <w:sz w:val="14"/>
        </w:rPr>
        <w:t> </w:t>
      </w:r>
      <w:r>
        <w:rPr>
          <w:sz w:val="14"/>
        </w:rPr>
        <w:t>net</w:t>
      </w:r>
      <w:r>
        <w:rPr>
          <w:spacing w:val="-1"/>
          <w:sz w:val="14"/>
        </w:rPr>
        <w:t> </w:t>
      </w:r>
      <w:r>
        <w:rPr>
          <w:sz w:val="14"/>
        </w:rPr>
        <w:t>of</w:t>
      </w:r>
      <w:r>
        <w:rPr>
          <w:spacing w:val="-2"/>
          <w:sz w:val="14"/>
        </w:rPr>
        <w:t> </w:t>
      </w:r>
      <w:r>
        <w:rPr>
          <w:sz w:val="14"/>
        </w:rPr>
        <w:t>VAT.</w:t>
      </w:r>
    </w:p>
    <w:p>
      <w:pPr>
        <w:pStyle w:val="ListParagraph"/>
        <w:numPr>
          <w:ilvl w:val="1"/>
          <w:numId w:val="19"/>
        </w:numPr>
        <w:tabs>
          <w:tab w:pos="705" w:val="left" w:leader="none"/>
        </w:tabs>
        <w:spacing w:line="240" w:lineRule="auto" w:before="92" w:after="0"/>
        <w:ind w:left="704" w:right="0" w:hanging="390"/>
        <w:jc w:val="left"/>
        <w:rPr>
          <w:b/>
          <w:sz w:val="14"/>
        </w:rPr>
      </w:pPr>
      <w:r>
        <w:rPr>
          <w:b/>
          <w:sz w:val="14"/>
        </w:rPr>
        <w:t>Losses &amp; Special</w:t>
      </w:r>
      <w:r>
        <w:rPr>
          <w:b/>
          <w:spacing w:val="-7"/>
          <w:sz w:val="14"/>
        </w:rPr>
        <w:t> </w:t>
      </w:r>
      <w:r>
        <w:rPr>
          <w:b/>
          <w:sz w:val="14"/>
        </w:rPr>
        <w:t>Payments</w:t>
      </w:r>
    </w:p>
    <w:p>
      <w:pPr>
        <w:spacing w:line="256" w:lineRule="auto" w:before="12"/>
        <w:ind w:left="704" w:right="690" w:firstLine="0"/>
        <w:jc w:val="left"/>
        <w:rPr>
          <w:sz w:val="14"/>
        </w:rPr>
      </w:pPr>
      <w:r>
        <w:rPr>
          <w:sz w:val="14"/>
        </w:rPr>
        <w:t>Losses</w:t>
      </w:r>
      <w:r>
        <w:rPr>
          <w:spacing w:val="-9"/>
          <w:sz w:val="14"/>
        </w:rPr>
        <w:t> </w:t>
      </w:r>
      <w:r>
        <w:rPr>
          <w:sz w:val="14"/>
        </w:rPr>
        <w:t>and</w:t>
      </w:r>
      <w:r>
        <w:rPr>
          <w:spacing w:val="-9"/>
          <w:sz w:val="14"/>
        </w:rPr>
        <w:t> </w:t>
      </w:r>
      <w:r>
        <w:rPr>
          <w:sz w:val="14"/>
        </w:rPr>
        <w:t>special</w:t>
      </w:r>
      <w:r>
        <w:rPr>
          <w:spacing w:val="-8"/>
          <w:sz w:val="14"/>
        </w:rPr>
        <w:t> </w:t>
      </w:r>
      <w:r>
        <w:rPr>
          <w:sz w:val="14"/>
        </w:rPr>
        <w:t>payments</w:t>
      </w:r>
      <w:r>
        <w:rPr>
          <w:spacing w:val="-9"/>
          <w:sz w:val="14"/>
        </w:rPr>
        <w:t> </w:t>
      </w:r>
      <w:r>
        <w:rPr>
          <w:sz w:val="14"/>
        </w:rPr>
        <w:t>are</w:t>
      </w:r>
      <w:r>
        <w:rPr>
          <w:spacing w:val="-11"/>
          <w:sz w:val="14"/>
        </w:rPr>
        <w:t> </w:t>
      </w:r>
      <w:r>
        <w:rPr>
          <w:sz w:val="14"/>
        </w:rPr>
        <w:t>items</w:t>
      </w:r>
      <w:r>
        <w:rPr>
          <w:spacing w:val="-6"/>
          <w:sz w:val="14"/>
        </w:rPr>
        <w:t> </w:t>
      </w:r>
      <w:r>
        <w:rPr>
          <w:sz w:val="14"/>
        </w:rPr>
        <w:t>that</w:t>
      </w:r>
      <w:r>
        <w:rPr>
          <w:spacing w:val="-8"/>
          <w:sz w:val="14"/>
        </w:rPr>
        <w:t> </w:t>
      </w:r>
      <w:r>
        <w:rPr>
          <w:sz w:val="14"/>
        </w:rPr>
        <w:t>Parliament</w:t>
      </w:r>
      <w:r>
        <w:rPr>
          <w:spacing w:val="-8"/>
          <w:sz w:val="14"/>
        </w:rPr>
        <w:t> </w:t>
      </w:r>
      <w:r>
        <w:rPr>
          <w:sz w:val="14"/>
        </w:rPr>
        <w:t>would</w:t>
      </w:r>
      <w:r>
        <w:rPr>
          <w:spacing w:val="-9"/>
          <w:sz w:val="14"/>
        </w:rPr>
        <w:t> </w:t>
      </w:r>
      <w:r>
        <w:rPr>
          <w:sz w:val="14"/>
        </w:rPr>
        <w:t>not</w:t>
      </w:r>
      <w:r>
        <w:rPr>
          <w:spacing w:val="-6"/>
          <w:sz w:val="14"/>
        </w:rPr>
        <w:t> </w:t>
      </w:r>
      <w:r>
        <w:rPr>
          <w:sz w:val="14"/>
        </w:rPr>
        <w:t>have</w:t>
      </w:r>
      <w:r>
        <w:rPr>
          <w:spacing w:val="-11"/>
          <w:sz w:val="14"/>
        </w:rPr>
        <w:t> </w:t>
      </w:r>
      <w:r>
        <w:rPr>
          <w:sz w:val="14"/>
        </w:rPr>
        <w:t>contemplated</w:t>
      </w:r>
      <w:r>
        <w:rPr>
          <w:spacing w:val="-10"/>
          <w:sz w:val="14"/>
        </w:rPr>
        <w:t> </w:t>
      </w:r>
      <w:r>
        <w:rPr>
          <w:sz w:val="14"/>
        </w:rPr>
        <w:t>when</w:t>
      </w:r>
      <w:r>
        <w:rPr>
          <w:spacing w:val="-11"/>
          <w:sz w:val="14"/>
        </w:rPr>
        <w:t> </w:t>
      </w:r>
      <w:r>
        <w:rPr>
          <w:sz w:val="14"/>
        </w:rPr>
        <w:t>it</w:t>
      </w:r>
      <w:r>
        <w:rPr>
          <w:spacing w:val="-8"/>
          <w:sz w:val="14"/>
        </w:rPr>
        <w:t> </w:t>
      </w:r>
      <w:r>
        <w:rPr>
          <w:sz w:val="14"/>
        </w:rPr>
        <w:t>agreed</w:t>
      </w:r>
      <w:r>
        <w:rPr>
          <w:spacing w:val="-8"/>
          <w:sz w:val="14"/>
        </w:rPr>
        <w:t> </w:t>
      </w:r>
      <w:r>
        <w:rPr>
          <w:sz w:val="14"/>
        </w:rPr>
        <w:t>funds</w:t>
      </w:r>
      <w:r>
        <w:rPr>
          <w:spacing w:val="-9"/>
          <w:sz w:val="14"/>
        </w:rPr>
        <w:t> </w:t>
      </w:r>
      <w:r>
        <w:rPr>
          <w:sz w:val="14"/>
        </w:rPr>
        <w:t>for</w:t>
      </w:r>
      <w:r>
        <w:rPr>
          <w:spacing w:val="-11"/>
          <w:sz w:val="14"/>
        </w:rPr>
        <w:t> </w:t>
      </w:r>
      <w:r>
        <w:rPr>
          <w:sz w:val="14"/>
        </w:rPr>
        <w:t>the</w:t>
      </w:r>
      <w:r>
        <w:rPr>
          <w:spacing w:val="-6"/>
          <w:sz w:val="14"/>
        </w:rPr>
        <w:t> </w:t>
      </w:r>
      <w:r>
        <w:rPr>
          <w:sz w:val="14"/>
        </w:rPr>
        <w:t>health</w:t>
      </w:r>
      <w:r>
        <w:rPr>
          <w:spacing w:val="-9"/>
          <w:sz w:val="14"/>
        </w:rPr>
        <w:t> </w:t>
      </w:r>
      <w:r>
        <w:rPr>
          <w:sz w:val="14"/>
        </w:rPr>
        <w:t>service</w:t>
      </w:r>
      <w:r>
        <w:rPr>
          <w:spacing w:val="-9"/>
          <w:sz w:val="14"/>
        </w:rPr>
        <w:t> </w:t>
      </w:r>
      <w:r>
        <w:rPr>
          <w:sz w:val="14"/>
        </w:rPr>
        <w:t>or</w:t>
      </w:r>
      <w:r>
        <w:rPr>
          <w:spacing w:val="-9"/>
          <w:sz w:val="14"/>
        </w:rPr>
        <w:t> </w:t>
      </w:r>
      <w:r>
        <w:rPr>
          <w:sz w:val="14"/>
        </w:rPr>
        <w:t>passed</w:t>
      </w:r>
      <w:r>
        <w:rPr>
          <w:spacing w:val="-9"/>
          <w:sz w:val="14"/>
        </w:rPr>
        <w:t> </w:t>
      </w:r>
      <w:r>
        <w:rPr>
          <w:sz w:val="14"/>
        </w:rPr>
        <w:t>legislation. By their nature they are items that ideally should not arise. They are therefore subject to special control procedures compared with the generality of payments.</w:t>
      </w:r>
      <w:r>
        <w:rPr>
          <w:spacing w:val="-5"/>
          <w:sz w:val="14"/>
        </w:rPr>
        <w:t> </w:t>
      </w:r>
      <w:r>
        <w:rPr>
          <w:sz w:val="14"/>
        </w:rPr>
        <w:t>They</w:t>
      </w:r>
      <w:r>
        <w:rPr>
          <w:spacing w:val="-6"/>
          <w:sz w:val="14"/>
        </w:rPr>
        <w:t> </w:t>
      </w:r>
      <w:r>
        <w:rPr>
          <w:sz w:val="14"/>
        </w:rPr>
        <w:t>are</w:t>
      </w:r>
      <w:r>
        <w:rPr>
          <w:spacing w:val="-3"/>
          <w:sz w:val="14"/>
        </w:rPr>
        <w:t> </w:t>
      </w:r>
      <w:r>
        <w:rPr>
          <w:sz w:val="14"/>
        </w:rPr>
        <w:t>divided</w:t>
      </w:r>
      <w:r>
        <w:rPr>
          <w:spacing w:val="-4"/>
          <w:sz w:val="14"/>
        </w:rPr>
        <w:t> </w:t>
      </w:r>
      <w:r>
        <w:rPr>
          <w:sz w:val="14"/>
        </w:rPr>
        <w:t>into</w:t>
      </w:r>
      <w:r>
        <w:rPr>
          <w:spacing w:val="-3"/>
          <w:sz w:val="14"/>
        </w:rPr>
        <w:t> </w:t>
      </w:r>
      <w:r>
        <w:rPr>
          <w:sz w:val="14"/>
        </w:rPr>
        <w:t>different</w:t>
      </w:r>
      <w:r>
        <w:rPr>
          <w:spacing w:val="-4"/>
          <w:sz w:val="14"/>
        </w:rPr>
        <w:t> </w:t>
      </w:r>
      <w:r>
        <w:rPr>
          <w:sz w:val="14"/>
        </w:rPr>
        <w:t>categories,</w:t>
      </w:r>
      <w:r>
        <w:rPr>
          <w:spacing w:val="-5"/>
          <w:sz w:val="14"/>
        </w:rPr>
        <w:t> </w:t>
      </w:r>
      <w:r>
        <w:rPr>
          <w:sz w:val="14"/>
        </w:rPr>
        <w:t>which</w:t>
      </w:r>
      <w:r>
        <w:rPr>
          <w:spacing w:val="-4"/>
          <w:sz w:val="14"/>
        </w:rPr>
        <w:t> </w:t>
      </w:r>
      <w:r>
        <w:rPr>
          <w:sz w:val="14"/>
        </w:rPr>
        <w:t>govern</w:t>
      </w:r>
      <w:r>
        <w:rPr>
          <w:spacing w:val="-5"/>
          <w:sz w:val="14"/>
        </w:rPr>
        <w:t> </w:t>
      </w:r>
      <w:r>
        <w:rPr>
          <w:sz w:val="14"/>
        </w:rPr>
        <w:t>the</w:t>
      </w:r>
      <w:r>
        <w:rPr>
          <w:spacing w:val="-2"/>
          <w:sz w:val="14"/>
        </w:rPr>
        <w:t> </w:t>
      </w:r>
      <w:r>
        <w:rPr>
          <w:sz w:val="14"/>
        </w:rPr>
        <w:t>way</w:t>
      </w:r>
      <w:r>
        <w:rPr>
          <w:spacing w:val="-7"/>
          <w:sz w:val="14"/>
        </w:rPr>
        <w:t> </w:t>
      </w:r>
      <w:r>
        <w:rPr>
          <w:sz w:val="14"/>
        </w:rPr>
        <w:t>that</w:t>
      </w:r>
      <w:r>
        <w:rPr>
          <w:spacing w:val="-4"/>
          <w:sz w:val="14"/>
        </w:rPr>
        <w:t> </w:t>
      </w:r>
      <w:r>
        <w:rPr>
          <w:sz w:val="14"/>
        </w:rPr>
        <w:t>individual</w:t>
      </w:r>
      <w:r>
        <w:rPr>
          <w:spacing w:val="-4"/>
          <w:sz w:val="14"/>
        </w:rPr>
        <w:t> </w:t>
      </w:r>
      <w:r>
        <w:rPr>
          <w:sz w:val="14"/>
        </w:rPr>
        <w:t>cases</w:t>
      </w:r>
      <w:r>
        <w:rPr>
          <w:spacing w:val="-3"/>
          <w:sz w:val="14"/>
        </w:rPr>
        <w:t> </w:t>
      </w:r>
      <w:r>
        <w:rPr>
          <w:sz w:val="14"/>
        </w:rPr>
        <w:t>are</w:t>
      </w:r>
      <w:r>
        <w:rPr>
          <w:spacing w:val="-5"/>
          <w:sz w:val="14"/>
        </w:rPr>
        <w:t> </w:t>
      </w:r>
      <w:r>
        <w:rPr>
          <w:sz w:val="14"/>
        </w:rPr>
        <w:t>handled.</w:t>
      </w:r>
    </w:p>
    <w:p>
      <w:pPr>
        <w:spacing w:line="256" w:lineRule="auto" w:before="31"/>
        <w:ind w:left="703" w:right="644" w:firstLine="1"/>
        <w:jc w:val="left"/>
        <w:rPr>
          <w:sz w:val="14"/>
        </w:rPr>
      </w:pPr>
      <w:r>
        <w:rPr>
          <w:sz w:val="14"/>
        </w:rPr>
        <w:t>Losses</w:t>
      </w:r>
      <w:r>
        <w:rPr>
          <w:spacing w:val="-9"/>
          <w:sz w:val="14"/>
        </w:rPr>
        <w:t> </w:t>
      </w:r>
      <w:r>
        <w:rPr>
          <w:sz w:val="14"/>
        </w:rPr>
        <w:t>and</w:t>
      </w:r>
      <w:r>
        <w:rPr>
          <w:spacing w:val="-10"/>
          <w:sz w:val="14"/>
        </w:rPr>
        <w:t> </w:t>
      </w:r>
      <w:r>
        <w:rPr>
          <w:sz w:val="14"/>
        </w:rPr>
        <w:t>special</w:t>
      </w:r>
      <w:r>
        <w:rPr>
          <w:spacing w:val="-6"/>
          <w:sz w:val="14"/>
        </w:rPr>
        <w:t> </w:t>
      </w:r>
      <w:r>
        <w:rPr>
          <w:sz w:val="14"/>
        </w:rPr>
        <w:t>payments</w:t>
      </w:r>
      <w:r>
        <w:rPr>
          <w:spacing w:val="-8"/>
          <w:sz w:val="14"/>
        </w:rPr>
        <w:t> </w:t>
      </w:r>
      <w:r>
        <w:rPr>
          <w:sz w:val="14"/>
        </w:rPr>
        <w:t>are</w:t>
      </w:r>
      <w:r>
        <w:rPr>
          <w:spacing w:val="-12"/>
          <w:sz w:val="14"/>
        </w:rPr>
        <w:t> </w:t>
      </w:r>
      <w:r>
        <w:rPr>
          <w:sz w:val="14"/>
        </w:rPr>
        <w:t>charged</w:t>
      </w:r>
      <w:r>
        <w:rPr>
          <w:spacing w:val="-11"/>
          <w:sz w:val="14"/>
        </w:rPr>
        <w:t> </w:t>
      </w:r>
      <w:r>
        <w:rPr>
          <w:sz w:val="14"/>
        </w:rPr>
        <w:t>to</w:t>
      </w:r>
      <w:r>
        <w:rPr>
          <w:spacing w:val="-9"/>
          <w:sz w:val="14"/>
        </w:rPr>
        <w:t> </w:t>
      </w:r>
      <w:r>
        <w:rPr>
          <w:sz w:val="14"/>
        </w:rPr>
        <w:t>the</w:t>
      </w:r>
      <w:r>
        <w:rPr>
          <w:spacing w:val="-9"/>
          <w:sz w:val="14"/>
        </w:rPr>
        <w:t> </w:t>
      </w:r>
      <w:r>
        <w:rPr>
          <w:sz w:val="14"/>
        </w:rPr>
        <w:t>relevant</w:t>
      </w:r>
      <w:r>
        <w:rPr>
          <w:spacing w:val="-9"/>
          <w:sz w:val="14"/>
        </w:rPr>
        <w:t> </w:t>
      </w:r>
      <w:r>
        <w:rPr>
          <w:sz w:val="14"/>
        </w:rPr>
        <w:t>functional</w:t>
      </w:r>
      <w:r>
        <w:rPr>
          <w:spacing w:val="-8"/>
          <w:sz w:val="14"/>
        </w:rPr>
        <w:t> </w:t>
      </w:r>
      <w:r>
        <w:rPr>
          <w:sz w:val="14"/>
        </w:rPr>
        <w:t>headings</w:t>
      </w:r>
      <w:r>
        <w:rPr>
          <w:spacing w:val="-11"/>
          <w:sz w:val="14"/>
        </w:rPr>
        <w:t> </w:t>
      </w:r>
      <w:r>
        <w:rPr>
          <w:sz w:val="14"/>
        </w:rPr>
        <w:t>in</w:t>
      </w:r>
      <w:r>
        <w:rPr>
          <w:spacing w:val="-8"/>
          <w:sz w:val="14"/>
        </w:rPr>
        <w:t> </w:t>
      </w:r>
      <w:r>
        <w:rPr>
          <w:sz w:val="14"/>
        </w:rPr>
        <w:t>expenditure</w:t>
      </w:r>
      <w:r>
        <w:rPr>
          <w:spacing w:val="-12"/>
          <w:sz w:val="14"/>
        </w:rPr>
        <w:t> </w:t>
      </w:r>
      <w:r>
        <w:rPr>
          <w:sz w:val="14"/>
        </w:rPr>
        <w:t>on</w:t>
      </w:r>
      <w:r>
        <w:rPr>
          <w:spacing w:val="-9"/>
          <w:sz w:val="14"/>
        </w:rPr>
        <w:t> </w:t>
      </w:r>
      <w:r>
        <w:rPr>
          <w:sz w:val="14"/>
        </w:rPr>
        <w:t>an</w:t>
      </w:r>
      <w:r>
        <w:rPr>
          <w:spacing w:val="-8"/>
          <w:sz w:val="14"/>
        </w:rPr>
        <w:t> </w:t>
      </w:r>
      <w:r>
        <w:rPr>
          <w:sz w:val="14"/>
        </w:rPr>
        <w:t>accruals</w:t>
      </w:r>
      <w:r>
        <w:rPr>
          <w:spacing w:val="-7"/>
          <w:sz w:val="14"/>
        </w:rPr>
        <w:t> </w:t>
      </w:r>
      <w:r>
        <w:rPr>
          <w:sz w:val="14"/>
        </w:rPr>
        <w:t>basis,</w:t>
      </w:r>
      <w:r>
        <w:rPr>
          <w:spacing w:val="-11"/>
          <w:sz w:val="14"/>
        </w:rPr>
        <w:t> </w:t>
      </w:r>
      <w:r>
        <w:rPr>
          <w:sz w:val="14"/>
        </w:rPr>
        <w:t>including</w:t>
      </w:r>
      <w:r>
        <w:rPr>
          <w:spacing w:val="-9"/>
          <w:sz w:val="14"/>
        </w:rPr>
        <w:t> </w:t>
      </w:r>
      <w:r>
        <w:rPr>
          <w:sz w:val="14"/>
        </w:rPr>
        <w:t>losses</w:t>
      </w:r>
      <w:r>
        <w:rPr>
          <w:spacing w:val="-8"/>
          <w:sz w:val="14"/>
        </w:rPr>
        <w:t> </w:t>
      </w:r>
      <w:r>
        <w:rPr>
          <w:sz w:val="14"/>
        </w:rPr>
        <w:t>which</w:t>
      </w:r>
      <w:r>
        <w:rPr>
          <w:spacing w:val="-9"/>
          <w:sz w:val="14"/>
        </w:rPr>
        <w:t> </w:t>
      </w:r>
      <w:r>
        <w:rPr>
          <w:sz w:val="14"/>
        </w:rPr>
        <w:t>would</w:t>
      </w:r>
      <w:r>
        <w:rPr>
          <w:spacing w:val="-9"/>
          <w:sz w:val="14"/>
        </w:rPr>
        <w:t> </w:t>
      </w:r>
      <w:r>
        <w:rPr>
          <w:sz w:val="14"/>
        </w:rPr>
        <w:t>have been</w:t>
      </w:r>
      <w:r>
        <w:rPr>
          <w:spacing w:val="-11"/>
          <w:sz w:val="14"/>
        </w:rPr>
        <w:t> </w:t>
      </w:r>
      <w:r>
        <w:rPr>
          <w:sz w:val="14"/>
        </w:rPr>
        <w:t>made</w:t>
      </w:r>
      <w:r>
        <w:rPr>
          <w:spacing w:val="-6"/>
          <w:sz w:val="14"/>
        </w:rPr>
        <w:t> </w:t>
      </w:r>
      <w:r>
        <w:rPr>
          <w:sz w:val="14"/>
        </w:rPr>
        <w:t>good</w:t>
      </w:r>
      <w:r>
        <w:rPr>
          <w:spacing w:val="-9"/>
          <w:sz w:val="14"/>
        </w:rPr>
        <w:t> </w:t>
      </w:r>
      <w:r>
        <w:rPr>
          <w:sz w:val="14"/>
        </w:rPr>
        <w:t>through</w:t>
      </w:r>
      <w:r>
        <w:rPr>
          <w:spacing w:val="-6"/>
          <w:sz w:val="14"/>
        </w:rPr>
        <w:t> </w:t>
      </w:r>
      <w:r>
        <w:rPr>
          <w:sz w:val="14"/>
        </w:rPr>
        <w:t>insurance</w:t>
      </w:r>
      <w:r>
        <w:rPr>
          <w:spacing w:val="-11"/>
          <w:sz w:val="14"/>
        </w:rPr>
        <w:t> </w:t>
      </w:r>
      <w:r>
        <w:rPr>
          <w:sz w:val="14"/>
        </w:rPr>
        <w:t>cover</w:t>
      </w:r>
      <w:r>
        <w:rPr>
          <w:spacing w:val="-9"/>
          <w:sz w:val="14"/>
        </w:rPr>
        <w:t> </w:t>
      </w:r>
      <w:r>
        <w:rPr>
          <w:sz w:val="14"/>
        </w:rPr>
        <w:t>had</w:t>
      </w:r>
      <w:r>
        <w:rPr>
          <w:spacing w:val="-8"/>
          <w:sz w:val="14"/>
        </w:rPr>
        <w:t> </w:t>
      </w:r>
      <w:r>
        <w:rPr>
          <w:sz w:val="14"/>
        </w:rPr>
        <w:t>the</w:t>
      </w:r>
      <w:r>
        <w:rPr>
          <w:spacing w:val="-8"/>
          <w:sz w:val="14"/>
        </w:rPr>
        <w:t> </w:t>
      </w:r>
      <w:r>
        <w:rPr>
          <w:sz w:val="14"/>
        </w:rPr>
        <w:t>clinical</w:t>
      </w:r>
      <w:r>
        <w:rPr>
          <w:spacing w:val="-5"/>
          <w:sz w:val="14"/>
        </w:rPr>
        <w:t> </w:t>
      </w:r>
      <w:r>
        <w:rPr>
          <w:sz w:val="14"/>
        </w:rPr>
        <w:t>commissioning</w:t>
      </w:r>
      <w:r>
        <w:rPr>
          <w:spacing w:val="-9"/>
          <w:sz w:val="14"/>
        </w:rPr>
        <w:t> </w:t>
      </w:r>
      <w:r>
        <w:rPr>
          <w:sz w:val="14"/>
        </w:rPr>
        <w:t>group</w:t>
      </w:r>
      <w:r>
        <w:rPr>
          <w:spacing w:val="-8"/>
          <w:sz w:val="14"/>
        </w:rPr>
        <w:t> </w:t>
      </w:r>
      <w:r>
        <w:rPr>
          <w:sz w:val="14"/>
        </w:rPr>
        <w:t>not</w:t>
      </w:r>
      <w:r>
        <w:rPr>
          <w:spacing w:val="-8"/>
          <w:sz w:val="14"/>
        </w:rPr>
        <w:t> </w:t>
      </w:r>
      <w:r>
        <w:rPr>
          <w:sz w:val="14"/>
        </w:rPr>
        <w:t>been</w:t>
      </w:r>
      <w:r>
        <w:rPr>
          <w:spacing w:val="-9"/>
          <w:sz w:val="14"/>
        </w:rPr>
        <w:t> </w:t>
      </w:r>
      <w:r>
        <w:rPr>
          <w:sz w:val="14"/>
        </w:rPr>
        <w:t>bearing</w:t>
      </w:r>
      <w:r>
        <w:rPr>
          <w:spacing w:val="-9"/>
          <w:sz w:val="14"/>
        </w:rPr>
        <w:t> </w:t>
      </w:r>
      <w:r>
        <w:rPr>
          <w:sz w:val="14"/>
        </w:rPr>
        <w:t>its</w:t>
      </w:r>
      <w:r>
        <w:rPr>
          <w:spacing w:val="-5"/>
          <w:sz w:val="14"/>
        </w:rPr>
        <w:t> </w:t>
      </w:r>
      <w:r>
        <w:rPr>
          <w:sz w:val="14"/>
        </w:rPr>
        <w:t>own</w:t>
      </w:r>
      <w:r>
        <w:rPr>
          <w:spacing w:val="-8"/>
          <w:sz w:val="14"/>
        </w:rPr>
        <w:t> </w:t>
      </w:r>
      <w:r>
        <w:rPr>
          <w:sz w:val="14"/>
        </w:rPr>
        <w:t>risks</w:t>
      </w:r>
      <w:r>
        <w:rPr>
          <w:spacing w:val="-8"/>
          <w:sz w:val="14"/>
        </w:rPr>
        <w:t> </w:t>
      </w:r>
      <w:r>
        <w:rPr>
          <w:sz w:val="14"/>
        </w:rPr>
        <w:t>(with</w:t>
      </w:r>
      <w:r>
        <w:rPr>
          <w:spacing w:val="-8"/>
          <w:sz w:val="14"/>
        </w:rPr>
        <w:t> </w:t>
      </w:r>
      <w:r>
        <w:rPr>
          <w:sz w:val="14"/>
        </w:rPr>
        <w:t>insurance</w:t>
      </w:r>
      <w:r>
        <w:rPr>
          <w:spacing w:val="-6"/>
          <w:sz w:val="14"/>
        </w:rPr>
        <w:t> </w:t>
      </w:r>
      <w:r>
        <w:rPr>
          <w:sz w:val="14"/>
        </w:rPr>
        <w:t>premiums</w:t>
      </w:r>
      <w:r>
        <w:rPr>
          <w:spacing w:val="-5"/>
          <w:sz w:val="14"/>
        </w:rPr>
        <w:t> </w:t>
      </w:r>
      <w:r>
        <w:rPr>
          <w:sz w:val="14"/>
        </w:rPr>
        <w:t>then</w:t>
      </w:r>
      <w:r>
        <w:rPr>
          <w:spacing w:val="-8"/>
          <w:sz w:val="14"/>
        </w:rPr>
        <w:t> </w:t>
      </w:r>
      <w:r>
        <w:rPr>
          <w:sz w:val="14"/>
        </w:rPr>
        <w:t>being included as normal revenue</w:t>
      </w:r>
      <w:r>
        <w:rPr>
          <w:spacing w:val="-9"/>
          <w:sz w:val="14"/>
        </w:rPr>
        <w:t> </w:t>
      </w:r>
      <w:r>
        <w:rPr>
          <w:sz w:val="14"/>
        </w:rPr>
        <w:t>expenditure).</w:t>
      </w:r>
    </w:p>
    <w:p>
      <w:pPr>
        <w:pStyle w:val="ListParagraph"/>
        <w:numPr>
          <w:ilvl w:val="1"/>
          <w:numId w:val="19"/>
        </w:numPr>
        <w:tabs>
          <w:tab w:pos="705" w:val="left" w:leader="none"/>
        </w:tabs>
        <w:spacing w:line="240" w:lineRule="auto" w:before="95" w:after="0"/>
        <w:ind w:left="704" w:right="0" w:hanging="390"/>
        <w:jc w:val="left"/>
        <w:rPr>
          <w:b/>
          <w:sz w:val="14"/>
        </w:rPr>
      </w:pPr>
      <w:r>
        <w:rPr>
          <w:b/>
          <w:sz w:val="14"/>
        </w:rPr>
        <w:t>Critical accounting judgements and key sources of</w:t>
      </w:r>
      <w:r>
        <w:rPr>
          <w:b/>
          <w:spacing w:val="-4"/>
          <w:sz w:val="14"/>
        </w:rPr>
        <w:t> </w:t>
      </w:r>
      <w:r>
        <w:rPr>
          <w:b/>
          <w:sz w:val="14"/>
        </w:rPr>
        <w:t>estimationuncertainty</w:t>
      </w:r>
    </w:p>
    <w:p>
      <w:pPr>
        <w:spacing w:line="256" w:lineRule="auto" w:before="7"/>
        <w:ind w:left="704" w:right="1022" w:firstLine="0"/>
        <w:jc w:val="left"/>
        <w:rPr>
          <w:sz w:val="14"/>
        </w:rPr>
      </w:pPr>
      <w:r>
        <w:rPr>
          <w:sz w:val="14"/>
        </w:rPr>
        <w:t>In the application of the clinical commissioning group's accounting policies, management is required to make various judgements, estimates and assumptions. These are regularly reviewed.</w:t>
      </w:r>
    </w:p>
    <w:p>
      <w:pPr>
        <w:pStyle w:val="ListParagraph"/>
        <w:numPr>
          <w:ilvl w:val="2"/>
          <w:numId w:val="19"/>
        </w:numPr>
        <w:tabs>
          <w:tab w:pos="705" w:val="left" w:leader="none"/>
        </w:tabs>
        <w:spacing w:line="240" w:lineRule="auto" w:before="85" w:after="0"/>
        <w:ind w:left="704" w:right="0" w:hanging="390"/>
        <w:jc w:val="left"/>
        <w:rPr>
          <w:b/>
          <w:sz w:val="12"/>
        </w:rPr>
      </w:pPr>
      <w:r>
        <w:rPr>
          <w:b/>
          <w:sz w:val="14"/>
        </w:rPr>
        <w:t>Critical accounting judgements in applying accounting</w:t>
      </w:r>
      <w:r>
        <w:rPr>
          <w:b/>
          <w:spacing w:val="-23"/>
          <w:sz w:val="14"/>
        </w:rPr>
        <w:t> </w:t>
      </w:r>
      <w:r>
        <w:rPr>
          <w:b/>
          <w:sz w:val="14"/>
        </w:rPr>
        <w:t>policies</w:t>
      </w:r>
    </w:p>
    <w:p>
      <w:pPr>
        <w:spacing w:line="256" w:lineRule="auto" w:before="7"/>
        <w:ind w:left="704" w:right="1191" w:firstLine="0"/>
        <w:jc w:val="left"/>
        <w:rPr>
          <w:sz w:val="14"/>
        </w:rPr>
      </w:pPr>
      <w:r>
        <w:rPr>
          <w:sz w:val="14"/>
        </w:rPr>
        <w:t>The</w:t>
      </w:r>
      <w:r>
        <w:rPr>
          <w:spacing w:val="-12"/>
          <w:sz w:val="14"/>
        </w:rPr>
        <w:t> </w:t>
      </w:r>
      <w:r>
        <w:rPr>
          <w:sz w:val="14"/>
        </w:rPr>
        <w:t>following</w:t>
      </w:r>
      <w:r>
        <w:rPr>
          <w:spacing w:val="-8"/>
          <w:sz w:val="14"/>
        </w:rPr>
        <w:t> </w:t>
      </w:r>
      <w:r>
        <w:rPr>
          <w:sz w:val="14"/>
        </w:rPr>
        <w:t>are</w:t>
      </w:r>
      <w:r>
        <w:rPr>
          <w:spacing w:val="-11"/>
          <w:sz w:val="14"/>
        </w:rPr>
        <w:t> </w:t>
      </w:r>
      <w:r>
        <w:rPr>
          <w:sz w:val="14"/>
        </w:rPr>
        <w:t>the</w:t>
      </w:r>
      <w:r>
        <w:rPr>
          <w:spacing w:val="-9"/>
          <w:sz w:val="14"/>
        </w:rPr>
        <w:t> </w:t>
      </w:r>
      <w:r>
        <w:rPr>
          <w:sz w:val="14"/>
        </w:rPr>
        <w:t>judgements,</w:t>
      </w:r>
      <w:r>
        <w:rPr>
          <w:spacing w:val="-8"/>
          <w:sz w:val="14"/>
        </w:rPr>
        <w:t> </w:t>
      </w:r>
      <w:r>
        <w:rPr>
          <w:sz w:val="14"/>
        </w:rPr>
        <w:t>apart</w:t>
      </w:r>
      <w:r>
        <w:rPr>
          <w:spacing w:val="-9"/>
          <w:sz w:val="14"/>
        </w:rPr>
        <w:t> </w:t>
      </w:r>
      <w:r>
        <w:rPr>
          <w:sz w:val="14"/>
        </w:rPr>
        <w:t>from</w:t>
      </w:r>
      <w:r>
        <w:rPr>
          <w:spacing w:val="-6"/>
          <w:sz w:val="14"/>
        </w:rPr>
        <w:t> </w:t>
      </w:r>
      <w:r>
        <w:rPr>
          <w:sz w:val="14"/>
        </w:rPr>
        <w:t>those</w:t>
      </w:r>
      <w:r>
        <w:rPr>
          <w:spacing w:val="-12"/>
          <w:sz w:val="14"/>
        </w:rPr>
        <w:t> </w:t>
      </w:r>
      <w:r>
        <w:rPr>
          <w:sz w:val="14"/>
        </w:rPr>
        <w:t>involving</w:t>
      </w:r>
      <w:r>
        <w:rPr>
          <w:spacing w:val="-6"/>
          <w:sz w:val="14"/>
        </w:rPr>
        <w:t> </w:t>
      </w:r>
      <w:r>
        <w:rPr>
          <w:sz w:val="14"/>
        </w:rPr>
        <w:t>estimations,</w:t>
      </w:r>
      <w:r>
        <w:rPr>
          <w:spacing w:val="-9"/>
          <w:sz w:val="14"/>
        </w:rPr>
        <w:t> </w:t>
      </w:r>
      <w:r>
        <w:rPr>
          <w:sz w:val="14"/>
        </w:rPr>
        <w:t>that</w:t>
      </w:r>
      <w:r>
        <w:rPr>
          <w:spacing w:val="-6"/>
          <w:sz w:val="14"/>
        </w:rPr>
        <w:t> </w:t>
      </w:r>
      <w:r>
        <w:rPr>
          <w:sz w:val="14"/>
        </w:rPr>
        <w:t>management</w:t>
      </w:r>
      <w:r>
        <w:rPr>
          <w:spacing w:val="-9"/>
          <w:sz w:val="14"/>
        </w:rPr>
        <w:t> </w:t>
      </w:r>
      <w:r>
        <w:rPr>
          <w:sz w:val="14"/>
        </w:rPr>
        <w:t>has</w:t>
      </w:r>
      <w:r>
        <w:rPr>
          <w:spacing w:val="-8"/>
          <w:sz w:val="14"/>
        </w:rPr>
        <w:t> </w:t>
      </w:r>
      <w:r>
        <w:rPr>
          <w:sz w:val="14"/>
        </w:rPr>
        <w:t>made</w:t>
      </w:r>
      <w:r>
        <w:rPr>
          <w:spacing w:val="-9"/>
          <w:sz w:val="14"/>
        </w:rPr>
        <w:t> </w:t>
      </w:r>
      <w:r>
        <w:rPr>
          <w:sz w:val="14"/>
        </w:rPr>
        <w:t>in</w:t>
      </w:r>
      <w:r>
        <w:rPr>
          <w:spacing w:val="-9"/>
          <w:sz w:val="14"/>
        </w:rPr>
        <w:t> </w:t>
      </w:r>
      <w:r>
        <w:rPr>
          <w:sz w:val="14"/>
        </w:rPr>
        <w:t>the</w:t>
      </w:r>
      <w:r>
        <w:rPr>
          <w:spacing w:val="-6"/>
          <w:sz w:val="14"/>
        </w:rPr>
        <w:t> </w:t>
      </w:r>
      <w:r>
        <w:rPr>
          <w:sz w:val="14"/>
        </w:rPr>
        <w:t>process</w:t>
      </w:r>
      <w:r>
        <w:rPr>
          <w:spacing w:val="-4"/>
          <w:sz w:val="14"/>
        </w:rPr>
        <w:t> </w:t>
      </w:r>
      <w:r>
        <w:rPr>
          <w:sz w:val="14"/>
        </w:rPr>
        <w:t>of</w:t>
      </w:r>
      <w:r>
        <w:rPr>
          <w:spacing w:val="-9"/>
          <w:sz w:val="14"/>
        </w:rPr>
        <w:t> </w:t>
      </w:r>
      <w:r>
        <w:rPr>
          <w:sz w:val="14"/>
        </w:rPr>
        <w:t>applying</w:t>
      </w:r>
      <w:r>
        <w:rPr>
          <w:spacing w:val="-8"/>
          <w:sz w:val="14"/>
        </w:rPr>
        <w:t> </w:t>
      </w:r>
      <w:r>
        <w:rPr>
          <w:sz w:val="14"/>
        </w:rPr>
        <w:t>the</w:t>
      </w:r>
      <w:r>
        <w:rPr>
          <w:spacing w:val="-9"/>
          <w:sz w:val="14"/>
        </w:rPr>
        <w:t> </w:t>
      </w:r>
      <w:r>
        <w:rPr>
          <w:sz w:val="14"/>
        </w:rPr>
        <w:t>clinical commissioning</w:t>
      </w:r>
      <w:r>
        <w:rPr>
          <w:spacing w:val="-10"/>
          <w:sz w:val="14"/>
        </w:rPr>
        <w:t> </w:t>
      </w:r>
      <w:r>
        <w:rPr>
          <w:sz w:val="14"/>
        </w:rPr>
        <w:t>group's</w:t>
      </w:r>
      <w:r>
        <w:rPr>
          <w:spacing w:val="-8"/>
          <w:sz w:val="14"/>
        </w:rPr>
        <w:t> </w:t>
      </w:r>
      <w:r>
        <w:rPr>
          <w:sz w:val="14"/>
        </w:rPr>
        <w:t>accounting</w:t>
      </w:r>
      <w:r>
        <w:rPr>
          <w:spacing w:val="-9"/>
          <w:sz w:val="14"/>
        </w:rPr>
        <w:t> </w:t>
      </w:r>
      <w:r>
        <w:rPr>
          <w:sz w:val="14"/>
        </w:rPr>
        <w:t>policies</w:t>
      </w:r>
      <w:r>
        <w:rPr>
          <w:spacing w:val="-8"/>
          <w:sz w:val="14"/>
        </w:rPr>
        <w:t> </w:t>
      </w:r>
      <w:r>
        <w:rPr>
          <w:sz w:val="14"/>
        </w:rPr>
        <w:t>and</w:t>
      </w:r>
      <w:r>
        <w:rPr>
          <w:spacing w:val="-8"/>
          <w:sz w:val="14"/>
        </w:rPr>
        <w:t> </w:t>
      </w:r>
      <w:r>
        <w:rPr>
          <w:sz w:val="14"/>
        </w:rPr>
        <w:t>that</w:t>
      </w:r>
      <w:r>
        <w:rPr>
          <w:spacing w:val="-8"/>
          <w:sz w:val="14"/>
        </w:rPr>
        <w:t> </w:t>
      </w:r>
      <w:r>
        <w:rPr>
          <w:sz w:val="14"/>
        </w:rPr>
        <w:t>have</w:t>
      </w:r>
      <w:r>
        <w:rPr>
          <w:spacing w:val="-8"/>
          <w:sz w:val="14"/>
        </w:rPr>
        <w:t> </w:t>
      </w:r>
      <w:r>
        <w:rPr>
          <w:sz w:val="14"/>
        </w:rPr>
        <w:t>the</w:t>
      </w:r>
      <w:r>
        <w:rPr>
          <w:spacing w:val="-8"/>
          <w:sz w:val="14"/>
        </w:rPr>
        <w:t> </w:t>
      </w:r>
      <w:r>
        <w:rPr>
          <w:sz w:val="14"/>
        </w:rPr>
        <w:t>most</w:t>
      </w:r>
      <w:r>
        <w:rPr>
          <w:spacing w:val="-8"/>
          <w:sz w:val="14"/>
        </w:rPr>
        <w:t> </w:t>
      </w:r>
      <w:r>
        <w:rPr>
          <w:sz w:val="14"/>
        </w:rPr>
        <w:t>significant</w:t>
      </w:r>
      <w:r>
        <w:rPr>
          <w:spacing w:val="-9"/>
          <w:sz w:val="14"/>
        </w:rPr>
        <w:t> </w:t>
      </w:r>
      <w:r>
        <w:rPr>
          <w:sz w:val="14"/>
        </w:rPr>
        <w:t>effect</w:t>
      </w:r>
      <w:r>
        <w:rPr>
          <w:spacing w:val="-8"/>
          <w:sz w:val="14"/>
        </w:rPr>
        <w:t> </w:t>
      </w:r>
      <w:r>
        <w:rPr>
          <w:sz w:val="14"/>
        </w:rPr>
        <w:t>on</w:t>
      </w:r>
      <w:r>
        <w:rPr>
          <w:spacing w:val="-8"/>
          <w:sz w:val="14"/>
        </w:rPr>
        <w:t> </w:t>
      </w:r>
      <w:r>
        <w:rPr>
          <w:sz w:val="14"/>
        </w:rPr>
        <w:t>the</w:t>
      </w:r>
      <w:r>
        <w:rPr>
          <w:spacing w:val="-8"/>
          <w:sz w:val="14"/>
        </w:rPr>
        <w:t> </w:t>
      </w:r>
      <w:r>
        <w:rPr>
          <w:sz w:val="14"/>
        </w:rPr>
        <w:t>amounts</w:t>
      </w:r>
      <w:r>
        <w:rPr>
          <w:spacing w:val="-8"/>
          <w:sz w:val="14"/>
        </w:rPr>
        <w:t> </w:t>
      </w:r>
      <w:r>
        <w:rPr>
          <w:sz w:val="14"/>
        </w:rPr>
        <w:t>recognised</w:t>
      </w:r>
      <w:r>
        <w:rPr>
          <w:spacing w:val="-9"/>
          <w:sz w:val="14"/>
        </w:rPr>
        <w:t> </w:t>
      </w:r>
      <w:r>
        <w:rPr>
          <w:sz w:val="14"/>
        </w:rPr>
        <w:t>in</w:t>
      </w:r>
      <w:r>
        <w:rPr>
          <w:spacing w:val="-11"/>
          <w:sz w:val="14"/>
        </w:rPr>
        <w:t> </w:t>
      </w:r>
      <w:r>
        <w:rPr>
          <w:sz w:val="14"/>
        </w:rPr>
        <w:t>the</w:t>
      </w:r>
      <w:r>
        <w:rPr>
          <w:spacing w:val="-8"/>
          <w:sz w:val="14"/>
        </w:rPr>
        <w:t> </w:t>
      </w:r>
      <w:r>
        <w:rPr>
          <w:sz w:val="14"/>
        </w:rPr>
        <w:t>financial</w:t>
      </w:r>
      <w:r>
        <w:rPr>
          <w:spacing w:val="-8"/>
          <w:sz w:val="14"/>
        </w:rPr>
        <w:t> </w:t>
      </w:r>
      <w:r>
        <w:rPr>
          <w:sz w:val="14"/>
        </w:rPr>
        <w:t>statements.</w:t>
      </w:r>
    </w:p>
    <w:p>
      <w:pPr>
        <w:pStyle w:val="BodyText"/>
        <w:spacing w:before="5"/>
        <w:rPr>
          <w:sz w:val="14"/>
        </w:rPr>
      </w:pPr>
    </w:p>
    <w:p>
      <w:pPr>
        <w:spacing w:line="254" w:lineRule="auto" w:before="1"/>
        <w:ind w:left="703" w:right="604" w:firstLine="0"/>
        <w:jc w:val="left"/>
        <w:rPr>
          <w:sz w:val="14"/>
        </w:rPr>
      </w:pPr>
      <w:r>
        <w:rPr>
          <w:sz w:val="14"/>
        </w:rPr>
        <w:t>Disclosure of the critical judgements made by the clinical commissioning group's management, as required by IAS 1.122. The clinical commissioning group occupies property owned and managed by NHS Property Services Ltd. While our arrangements with NHS Property Services fall within the definition</w:t>
      </w:r>
      <w:r>
        <w:rPr>
          <w:spacing w:val="-12"/>
          <w:sz w:val="14"/>
        </w:rPr>
        <w:t> </w:t>
      </w:r>
      <w:r>
        <w:rPr>
          <w:sz w:val="14"/>
        </w:rPr>
        <w:t>of</w:t>
      </w:r>
      <w:r>
        <w:rPr>
          <w:spacing w:val="-6"/>
          <w:sz w:val="14"/>
        </w:rPr>
        <w:t> </w:t>
      </w:r>
      <w:r>
        <w:rPr>
          <w:sz w:val="14"/>
        </w:rPr>
        <w:t>operating</w:t>
      </w:r>
      <w:r>
        <w:rPr>
          <w:spacing w:val="-9"/>
          <w:sz w:val="14"/>
        </w:rPr>
        <w:t> </w:t>
      </w:r>
      <w:r>
        <w:rPr>
          <w:sz w:val="14"/>
        </w:rPr>
        <w:t>leases,</w:t>
      </w:r>
      <w:r>
        <w:rPr>
          <w:spacing w:val="-10"/>
          <w:sz w:val="14"/>
        </w:rPr>
        <w:t> </w:t>
      </w:r>
      <w:r>
        <w:rPr>
          <w:sz w:val="14"/>
        </w:rPr>
        <w:t>the</w:t>
      </w:r>
      <w:r>
        <w:rPr>
          <w:spacing w:val="-7"/>
          <w:sz w:val="14"/>
        </w:rPr>
        <w:t> </w:t>
      </w:r>
      <w:r>
        <w:rPr>
          <w:sz w:val="14"/>
        </w:rPr>
        <w:t>rental</w:t>
      </w:r>
      <w:r>
        <w:rPr>
          <w:spacing w:val="-6"/>
          <w:sz w:val="14"/>
        </w:rPr>
        <w:t> </w:t>
      </w:r>
      <w:r>
        <w:rPr>
          <w:sz w:val="14"/>
        </w:rPr>
        <w:t>charge</w:t>
      </w:r>
      <w:r>
        <w:rPr>
          <w:spacing w:val="-9"/>
          <w:sz w:val="14"/>
        </w:rPr>
        <w:t> </w:t>
      </w:r>
      <w:r>
        <w:rPr>
          <w:sz w:val="14"/>
        </w:rPr>
        <w:t>for</w:t>
      </w:r>
      <w:r>
        <w:rPr>
          <w:spacing w:val="-10"/>
          <w:sz w:val="14"/>
        </w:rPr>
        <w:t> </w:t>
      </w:r>
      <w:r>
        <w:rPr>
          <w:sz w:val="14"/>
        </w:rPr>
        <w:t>future</w:t>
      </w:r>
      <w:r>
        <w:rPr>
          <w:spacing w:val="-11"/>
          <w:sz w:val="14"/>
        </w:rPr>
        <w:t> </w:t>
      </w:r>
      <w:r>
        <w:rPr>
          <w:sz w:val="14"/>
        </w:rPr>
        <w:t>years</w:t>
      </w:r>
      <w:r>
        <w:rPr>
          <w:spacing w:val="-8"/>
          <w:sz w:val="14"/>
        </w:rPr>
        <w:t> </w:t>
      </w:r>
      <w:r>
        <w:rPr>
          <w:sz w:val="14"/>
        </w:rPr>
        <w:t>has</w:t>
      </w:r>
      <w:r>
        <w:rPr>
          <w:spacing w:val="-9"/>
          <w:sz w:val="14"/>
        </w:rPr>
        <w:t> </w:t>
      </w:r>
      <w:r>
        <w:rPr>
          <w:sz w:val="14"/>
        </w:rPr>
        <w:t>not</w:t>
      </w:r>
      <w:r>
        <w:rPr>
          <w:spacing w:val="-10"/>
          <w:sz w:val="14"/>
        </w:rPr>
        <w:t> </w:t>
      </w:r>
      <w:r>
        <w:rPr>
          <w:sz w:val="14"/>
        </w:rPr>
        <w:t>yet</w:t>
      </w:r>
      <w:r>
        <w:rPr>
          <w:spacing w:val="-9"/>
          <w:sz w:val="14"/>
        </w:rPr>
        <w:t> </w:t>
      </w:r>
      <w:r>
        <w:rPr>
          <w:sz w:val="14"/>
        </w:rPr>
        <w:t>been</w:t>
      </w:r>
      <w:r>
        <w:rPr>
          <w:spacing w:val="-9"/>
          <w:sz w:val="14"/>
        </w:rPr>
        <w:t> </w:t>
      </w:r>
      <w:r>
        <w:rPr>
          <w:sz w:val="14"/>
        </w:rPr>
        <w:t>agreed.</w:t>
      </w:r>
      <w:r>
        <w:rPr>
          <w:spacing w:val="-9"/>
          <w:sz w:val="14"/>
        </w:rPr>
        <w:t> </w:t>
      </w:r>
      <w:r>
        <w:rPr>
          <w:sz w:val="14"/>
        </w:rPr>
        <w:t>Consequently,</w:t>
      </w:r>
      <w:r>
        <w:rPr>
          <w:spacing w:val="-11"/>
          <w:sz w:val="14"/>
        </w:rPr>
        <w:t> </w:t>
      </w:r>
      <w:r>
        <w:rPr>
          <w:sz w:val="14"/>
        </w:rPr>
        <w:t>this</w:t>
      </w:r>
      <w:r>
        <w:rPr>
          <w:spacing w:val="-9"/>
          <w:sz w:val="14"/>
        </w:rPr>
        <w:t> </w:t>
      </w:r>
      <w:r>
        <w:rPr>
          <w:sz w:val="14"/>
        </w:rPr>
        <w:t>note</w:t>
      </w:r>
      <w:r>
        <w:rPr>
          <w:spacing w:val="-8"/>
          <w:sz w:val="14"/>
        </w:rPr>
        <w:t> </w:t>
      </w:r>
      <w:r>
        <w:rPr>
          <w:sz w:val="14"/>
        </w:rPr>
        <w:t>does</w:t>
      </w:r>
      <w:r>
        <w:rPr>
          <w:spacing w:val="-9"/>
          <w:sz w:val="14"/>
        </w:rPr>
        <w:t> </w:t>
      </w:r>
      <w:r>
        <w:rPr>
          <w:sz w:val="14"/>
        </w:rPr>
        <w:t>not</w:t>
      </w:r>
      <w:r>
        <w:rPr>
          <w:spacing w:val="-10"/>
          <w:sz w:val="14"/>
        </w:rPr>
        <w:t> </w:t>
      </w:r>
      <w:r>
        <w:rPr>
          <w:sz w:val="14"/>
        </w:rPr>
        <w:t>include</w:t>
      </w:r>
      <w:r>
        <w:rPr>
          <w:spacing w:val="-8"/>
          <w:sz w:val="14"/>
        </w:rPr>
        <w:t> </w:t>
      </w:r>
      <w:r>
        <w:rPr>
          <w:sz w:val="14"/>
        </w:rPr>
        <w:t>future</w:t>
      </w:r>
      <w:r>
        <w:rPr>
          <w:spacing w:val="-12"/>
          <w:sz w:val="14"/>
        </w:rPr>
        <w:t> </w:t>
      </w:r>
      <w:r>
        <w:rPr>
          <w:sz w:val="14"/>
        </w:rPr>
        <w:t>minimum</w:t>
      </w:r>
      <w:r>
        <w:rPr>
          <w:spacing w:val="-6"/>
          <w:sz w:val="14"/>
        </w:rPr>
        <w:t> </w:t>
      </w:r>
      <w:r>
        <w:rPr>
          <w:sz w:val="14"/>
        </w:rPr>
        <w:t>lease payments for these</w:t>
      </w:r>
      <w:r>
        <w:rPr>
          <w:spacing w:val="-7"/>
          <w:sz w:val="14"/>
        </w:rPr>
        <w:t> </w:t>
      </w:r>
      <w:r>
        <w:rPr>
          <w:sz w:val="14"/>
        </w:rPr>
        <w:t>arrangements.</w:t>
      </w:r>
    </w:p>
    <w:p>
      <w:pPr>
        <w:pStyle w:val="BodyText"/>
        <w:spacing w:before="7"/>
        <w:rPr>
          <w:sz w:val="16"/>
        </w:rPr>
      </w:pPr>
    </w:p>
    <w:p>
      <w:pPr>
        <w:pStyle w:val="ListParagraph"/>
        <w:numPr>
          <w:ilvl w:val="2"/>
          <w:numId w:val="19"/>
        </w:numPr>
        <w:tabs>
          <w:tab w:pos="705" w:val="left" w:leader="none"/>
        </w:tabs>
        <w:spacing w:line="240" w:lineRule="auto" w:before="0" w:after="0"/>
        <w:ind w:left="704" w:right="0" w:hanging="390"/>
        <w:jc w:val="left"/>
        <w:rPr>
          <w:b/>
          <w:sz w:val="12"/>
        </w:rPr>
      </w:pPr>
      <w:r>
        <w:rPr>
          <w:b/>
          <w:sz w:val="14"/>
        </w:rPr>
        <w:t>Sources of estimation</w:t>
      </w:r>
      <w:r>
        <w:rPr>
          <w:b/>
          <w:spacing w:val="-6"/>
          <w:sz w:val="14"/>
        </w:rPr>
        <w:t> </w:t>
      </w:r>
      <w:r>
        <w:rPr>
          <w:b/>
          <w:sz w:val="14"/>
        </w:rPr>
        <w:t>uncertainty</w:t>
      </w:r>
    </w:p>
    <w:p>
      <w:pPr>
        <w:spacing w:line="256" w:lineRule="auto" w:before="7"/>
        <w:ind w:left="704" w:right="604" w:firstLine="0"/>
        <w:jc w:val="left"/>
        <w:rPr>
          <w:sz w:val="14"/>
        </w:rPr>
      </w:pPr>
      <w:r>
        <w:rPr>
          <w:sz w:val="14"/>
        </w:rPr>
        <w:t>The</w:t>
      </w:r>
      <w:r>
        <w:rPr>
          <w:spacing w:val="-11"/>
          <w:sz w:val="14"/>
        </w:rPr>
        <w:t> </w:t>
      </w:r>
      <w:r>
        <w:rPr>
          <w:sz w:val="14"/>
        </w:rPr>
        <w:t>following</w:t>
      </w:r>
      <w:r>
        <w:rPr>
          <w:spacing w:val="-10"/>
          <w:sz w:val="14"/>
        </w:rPr>
        <w:t> </w:t>
      </w:r>
      <w:r>
        <w:rPr>
          <w:sz w:val="14"/>
        </w:rPr>
        <w:t>are</w:t>
      </w:r>
      <w:r>
        <w:rPr>
          <w:spacing w:val="-8"/>
          <w:sz w:val="14"/>
        </w:rPr>
        <w:t> </w:t>
      </w:r>
      <w:r>
        <w:rPr>
          <w:sz w:val="14"/>
        </w:rPr>
        <w:t>assumptions</w:t>
      </w:r>
      <w:r>
        <w:rPr>
          <w:spacing w:val="-6"/>
          <w:sz w:val="14"/>
        </w:rPr>
        <w:t> </w:t>
      </w:r>
      <w:r>
        <w:rPr>
          <w:sz w:val="14"/>
        </w:rPr>
        <w:t>about</w:t>
      </w:r>
      <w:r>
        <w:rPr>
          <w:spacing w:val="-11"/>
          <w:sz w:val="14"/>
        </w:rPr>
        <w:t> </w:t>
      </w:r>
      <w:r>
        <w:rPr>
          <w:sz w:val="14"/>
        </w:rPr>
        <w:t>the</w:t>
      </w:r>
      <w:r>
        <w:rPr>
          <w:spacing w:val="-11"/>
          <w:sz w:val="14"/>
        </w:rPr>
        <w:t> </w:t>
      </w:r>
      <w:r>
        <w:rPr>
          <w:sz w:val="14"/>
        </w:rPr>
        <w:t>future</w:t>
      </w:r>
      <w:r>
        <w:rPr>
          <w:spacing w:val="-9"/>
          <w:sz w:val="14"/>
        </w:rPr>
        <w:t> </w:t>
      </w:r>
      <w:r>
        <w:rPr>
          <w:sz w:val="14"/>
        </w:rPr>
        <w:t>and</w:t>
      </w:r>
      <w:r>
        <w:rPr>
          <w:spacing w:val="-7"/>
          <w:sz w:val="14"/>
        </w:rPr>
        <w:t> </w:t>
      </w:r>
      <w:r>
        <w:rPr>
          <w:sz w:val="14"/>
        </w:rPr>
        <w:t>other</w:t>
      </w:r>
      <w:r>
        <w:rPr>
          <w:spacing w:val="-9"/>
          <w:sz w:val="14"/>
        </w:rPr>
        <w:t> </w:t>
      </w:r>
      <w:r>
        <w:rPr>
          <w:sz w:val="14"/>
        </w:rPr>
        <w:t>major</w:t>
      </w:r>
      <w:r>
        <w:rPr>
          <w:spacing w:val="-9"/>
          <w:sz w:val="14"/>
        </w:rPr>
        <w:t> </w:t>
      </w:r>
      <w:r>
        <w:rPr>
          <w:sz w:val="14"/>
        </w:rPr>
        <w:t>sources</w:t>
      </w:r>
      <w:r>
        <w:rPr>
          <w:spacing w:val="-6"/>
          <w:sz w:val="14"/>
        </w:rPr>
        <w:t> </w:t>
      </w:r>
      <w:r>
        <w:rPr>
          <w:sz w:val="14"/>
        </w:rPr>
        <w:t>of</w:t>
      </w:r>
      <w:r>
        <w:rPr>
          <w:spacing w:val="-8"/>
          <w:sz w:val="14"/>
        </w:rPr>
        <w:t> </w:t>
      </w:r>
      <w:r>
        <w:rPr>
          <w:sz w:val="14"/>
        </w:rPr>
        <w:t>estimation</w:t>
      </w:r>
      <w:r>
        <w:rPr>
          <w:spacing w:val="-10"/>
          <w:sz w:val="14"/>
        </w:rPr>
        <w:t> </w:t>
      </w:r>
      <w:r>
        <w:rPr>
          <w:sz w:val="14"/>
        </w:rPr>
        <w:t>uncertainty</w:t>
      </w:r>
      <w:r>
        <w:rPr>
          <w:spacing w:val="-10"/>
          <w:sz w:val="14"/>
        </w:rPr>
        <w:t> </w:t>
      </w:r>
      <w:r>
        <w:rPr>
          <w:sz w:val="14"/>
        </w:rPr>
        <w:t>that</w:t>
      </w:r>
      <w:r>
        <w:rPr>
          <w:spacing w:val="-8"/>
          <w:sz w:val="14"/>
        </w:rPr>
        <w:t> </w:t>
      </w:r>
      <w:r>
        <w:rPr>
          <w:sz w:val="14"/>
        </w:rPr>
        <w:t>have</w:t>
      </w:r>
      <w:r>
        <w:rPr>
          <w:spacing w:val="-6"/>
          <w:sz w:val="14"/>
        </w:rPr>
        <w:t> </w:t>
      </w:r>
      <w:r>
        <w:rPr>
          <w:sz w:val="14"/>
        </w:rPr>
        <w:t>a</w:t>
      </w:r>
      <w:r>
        <w:rPr>
          <w:spacing w:val="-8"/>
          <w:sz w:val="14"/>
        </w:rPr>
        <w:t> </w:t>
      </w:r>
      <w:r>
        <w:rPr>
          <w:sz w:val="14"/>
        </w:rPr>
        <w:t>significant</w:t>
      </w:r>
      <w:r>
        <w:rPr>
          <w:spacing w:val="-9"/>
          <w:sz w:val="14"/>
        </w:rPr>
        <w:t> </w:t>
      </w:r>
      <w:r>
        <w:rPr>
          <w:sz w:val="14"/>
        </w:rPr>
        <w:t>risk</w:t>
      </w:r>
      <w:r>
        <w:rPr>
          <w:spacing w:val="-5"/>
          <w:sz w:val="14"/>
        </w:rPr>
        <w:t> </w:t>
      </w:r>
      <w:r>
        <w:rPr>
          <w:sz w:val="14"/>
        </w:rPr>
        <w:t>of</w:t>
      </w:r>
      <w:r>
        <w:rPr>
          <w:spacing w:val="-8"/>
          <w:sz w:val="14"/>
        </w:rPr>
        <w:t> </w:t>
      </w:r>
      <w:r>
        <w:rPr>
          <w:sz w:val="14"/>
        </w:rPr>
        <w:t>resulting</w:t>
      </w:r>
      <w:r>
        <w:rPr>
          <w:spacing w:val="-9"/>
          <w:sz w:val="14"/>
        </w:rPr>
        <w:t> </w:t>
      </w:r>
      <w:r>
        <w:rPr>
          <w:sz w:val="14"/>
        </w:rPr>
        <w:t>in</w:t>
      </w:r>
      <w:r>
        <w:rPr>
          <w:spacing w:val="-9"/>
          <w:sz w:val="14"/>
        </w:rPr>
        <w:t> </w:t>
      </w:r>
      <w:r>
        <w:rPr>
          <w:sz w:val="14"/>
        </w:rPr>
        <w:t>a</w:t>
      </w:r>
      <w:r>
        <w:rPr>
          <w:spacing w:val="-8"/>
          <w:sz w:val="14"/>
        </w:rPr>
        <w:t> </w:t>
      </w:r>
      <w:r>
        <w:rPr>
          <w:sz w:val="14"/>
        </w:rPr>
        <w:t>material adjustment</w:t>
      </w:r>
      <w:r>
        <w:rPr>
          <w:spacing w:val="-2"/>
          <w:sz w:val="14"/>
        </w:rPr>
        <w:t> </w:t>
      </w:r>
      <w:r>
        <w:rPr>
          <w:sz w:val="14"/>
        </w:rPr>
        <w:t>to</w:t>
      </w:r>
      <w:r>
        <w:rPr>
          <w:spacing w:val="-4"/>
          <w:sz w:val="14"/>
        </w:rPr>
        <w:t> </w:t>
      </w:r>
      <w:r>
        <w:rPr>
          <w:sz w:val="14"/>
        </w:rPr>
        <w:t>the</w:t>
      </w:r>
      <w:r>
        <w:rPr>
          <w:spacing w:val="-2"/>
          <w:sz w:val="14"/>
        </w:rPr>
        <w:t> </w:t>
      </w:r>
      <w:r>
        <w:rPr>
          <w:sz w:val="14"/>
        </w:rPr>
        <w:t>carrying</w:t>
      </w:r>
      <w:r>
        <w:rPr>
          <w:spacing w:val="-5"/>
          <w:sz w:val="14"/>
        </w:rPr>
        <w:t> </w:t>
      </w:r>
      <w:r>
        <w:rPr>
          <w:sz w:val="14"/>
        </w:rPr>
        <w:t>amounts</w:t>
      </w:r>
      <w:r>
        <w:rPr>
          <w:spacing w:val="-3"/>
          <w:sz w:val="14"/>
        </w:rPr>
        <w:t> </w:t>
      </w:r>
      <w:r>
        <w:rPr>
          <w:sz w:val="14"/>
        </w:rPr>
        <w:t>of</w:t>
      </w:r>
      <w:r>
        <w:rPr>
          <w:spacing w:val="-4"/>
          <w:sz w:val="14"/>
        </w:rPr>
        <w:t> </w:t>
      </w:r>
      <w:r>
        <w:rPr>
          <w:sz w:val="14"/>
        </w:rPr>
        <w:t>assets</w:t>
      </w:r>
      <w:r>
        <w:rPr>
          <w:spacing w:val="-1"/>
          <w:sz w:val="14"/>
        </w:rPr>
        <w:t> </w:t>
      </w:r>
      <w:r>
        <w:rPr>
          <w:sz w:val="14"/>
        </w:rPr>
        <w:t>and</w:t>
      </w:r>
      <w:r>
        <w:rPr>
          <w:spacing w:val="-5"/>
          <w:sz w:val="14"/>
        </w:rPr>
        <w:t> </w:t>
      </w:r>
      <w:r>
        <w:rPr>
          <w:sz w:val="14"/>
        </w:rPr>
        <w:t>liabilities</w:t>
      </w:r>
      <w:r>
        <w:rPr>
          <w:spacing w:val="-1"/>
          <w:sz w:val="14"/>
        </w:rPr>
        <w:t> </w:t>
      </w:r>
      <w:r>
        <w:rPr>
          <w:sz w:val="14"/>
        </w:rPr>
        <w:t>within</w:t>
      </w:r>
      <w:r>
        <w:rPr>
          <w:spacing w:val="-4"/>
          <w:sz w:val="14"/>
        </w:rPr>
        <w:t> </w:t>
      </w:r>
      <w:r>
        <w:rPr>
          <w:sz w:val="14"/>
        </w:rPr>
        <w:t>the</w:t>
      </w:r>
      <w:r>
        <w:rPr>
          <w:spacing w:val="-2"/>
          <w:sz w:val="14"/>
        </w:rPr>
        <w:t> </w:t>
      </w:r>
      <w:r>
        <w:rPr>
          <w:sz w:val="14"/>
        </w:rPr>
        <w:t>next</w:t>
      </w:r>
      <w:r>
        <w:rPr>
          <w:spacing w:val="-5"/>
          <w:sz w:val="14"/>
        </w:rPr>
        <w:t> </w:t>
      </w:r>
      <w:r>
        <w:rPr>
          <w:sz w:val="14"/>
        </w:rPr>
        <w:t>financial</w:t>
      </w:r>
      <w:r>
        <w:rPr>
          <w:spacing w:val="-3"/>
          <w:sz w:val="14"/>
        </w:rPr>
        <w:t> </w:t>
      </w:r>
      <w:r>
        <w:rPr>
          <w:sz w:val="14"/>
        </w:rPr>
        <w:t>year.</w:t>
      </w:r>
    </w:p>
    <w:p>
      <w:pPr>
        <w:pStyle w:val="BodyText"/>
        <w:spacing w:before="7"/>
        <w:rPr>
          <w:sz w:val="23"/>
        </w:rPr>
      </w:pPr>
    </w:p>
    <w:p>
      <w:pPr>
        <w:spacing w:before="1"/>
        <w:ind w:left="704" w:right="0" w:firstLine="0"/>
        <w:jc w:val="left"/>
        <w:rPr>
          <w:b/>
          <w:sz w:val="14"/>
        </w:rPr>
      </w:pPr>
      <w:r>
        <w:rPr>
          <w:b/>
          <w:sz w:val="14"/>
        </w:rPr>
        <w:t>Vulnerable People Packages of Care</w:t>
      </w:r>
    </w:p>
    <w:p>
      <w:pPr>
        <w:spacing w:line="256" w:lineRule="auto" w:before="14"/>
        <w:ind w:left="704" w:right="604" w:firstLine="0"/>
        <w:jc w:val="left"/>
        <w:rPr>
          <w:sz w:val="14"/>
        </w:rPr>
      </w:pPr>
      <w:r>
        <w:rPr>
          <w:sz w:val="14"/>
        </w:rPr>
        <w:t>The primary basis for estimating the forecast level of expenditure not yet invoiced is recorded package costs in the Broadcare patient database. Analysis</w:t>
      </w:r>
      <w:r>
        <w:rPr>
          <w:spacing w:val="-9"/>
          <w:sz w:val="14"/>
        </w:rPr>
        <w:t> </w:t>
      </w:r>
      <w:r>
        <w:rPr>
          <w:sz w:val="14"/>
        </w:rPr>
        <w:t>during</w:t>
      </w:r>
      <w:r>
        <w:rPr>
          <w:spacing w:val="-8"/>
          <w:sz w:val="14"/>
        </w:rPr>
        <w:t> </w:t>
      </w:r>
      <w:r>
        <w:rPr>
          <w:sz w:val="14"/>
        </w:rPr>
        <w:t>2021-22</w:t>
      </w:r>
      <w:r>
        <w:rPr>
          <w:spacing w:val="-9"/>
          <w:sz w:val="14"/>
        </w:rPr>
        <w:t> </w:t>
      </w:r>
      <w:r>
        <w:rPr>
          <w:sz w:val="14"/>
        </w:rPr>
        <w:t>(</w:t>
      </w:r>
      <w:r>
        <w:rPr>
          <w:spacing w:val="-9"/>
          <w:sz w:val="14"/>
        </w:rPr>
        <w:t> </w:t>
      </w:r>
      <w:r>
        <w:rPr>
          <w:sz w:val="14"/>
        </w:rPr>
        <w:t>supported</w:t>
      </w:r>
      <w:r>
        <w:rPr>
          <w:spacing w:val="-6"/>
          <w:sz w:val="14"/>
        </w:rPr>
        <w:t> </w:t>
      </w:r>
      <w:r>
        <w:rPr>
          <w:sz w:val="14"/>
        </w:rPr>
        <w:t>by</w:t>
      </w:r>
      <w:r>
        <w:rPr>
          <w:spacing w:val="-10"/>
          <w:sz w:val="14"/>
        </w:rPr>
        <w:t> </w:t>
      </w:r>
      <w:r>
        <w:rPr>
          <w:sz w:val="14"/>
        </w:rPr>
        <w:t>similar</w:t>
      </w:r>
      <w:r>
        <w:rPr>
          <w:spacing w:val="-12"/>
          <w:sz w:val="14"/>
        </w:rPr>
        <w:t> </w:t>
      </w:r>
      <w:r>
        <w:rPr>
          <w:sz w:val="14"/>
        </w:rPr>
        <w:t>analysis</w:t>
      </w:r>
      <w:r>
        <w:rPr>
          <w:spacing w:val="-10"/>
          <w:sz w:val="14"/>
        </w:rPr>
        <w:t> </w:t>
      </w:r>
      <w:r>
        <w:rPr>
          <w:sz w:val="14"/>
        </w:rPr>
        <w:t>in</w:t>
      </w:r>
      <w:r>
        <w:rPr>
          <w:spacing w:val="-11"/>
          <w:sz w:val="14"/>
        </w:rPr>
        <w:t> </w:t>
      </w:r>
      <w:r>
        <w:rPr>
          <w:sz w:val="14"/>
        </w:rPr>
        <w:t>previous</w:t>
      </w:r>
      <w:r>
        <w:rPr>
          <w:spacing w:val="-6"/>
          <w:sz w:val="14"/>
        </w:rPr>
        <w:t> </w:t>
      </w:r>
      <w:r>
        <w:rPr>
          <w:sz w:val="14"/>
        </w:rPr>
        <w:t>financial</w:t>
      </w:r>
      <w:r>
        <w:rPr>
          <w:spacing w:val="-9"/>
          <w:sz w:val="14"/>
        </w:rPr>
        <w:t> </w:t>
      </w:r>
      <w:r>
        <w:rPr>
          <w:sz w:val="14"/>
        </w:rPr>
        <w:t>years)</w:t>
      </w:r>
      <w:r>
        <w:rPr>
          <w:spacing w:val="-9"/>
          <w:sz w:val="14"/>
        </w:rPr>
        <w:t> </w:t>
      </w:r>
      <w:r>
        <w:rPr>
          <w:sz w:val="14"/>
        </w:rPr>
        <w:t>has</w:t>
      </w:r>
      <w:r>
        <w:rPr>
          <w:spacing w:val="-8"/>
          <w:sz w:val="14"/>
        </w:rPr>
        <w:t> </w:t>
      </w:r>
      <w:r>
        <w:rPr>
          <w:sz w:val="14"/>
        </w:rPr>
        <w:t>shown</w:t>
      </w:r>
      <w:r>
        <w:rPr>
          <w:spacing w:val="-12"/>
          <w:sz w:val="14"/>
        </w:rPr>
        <w:t> </w:t>
      </w:r>
      <w:r>
        <w:rPr>
          <w:sz w:val="14"/>
        </w:rPr>
        <w:t>that</w:t>
      </w:r>
      <w:r>
        <w:rPr>
          <w:spacing w:val="-6"/>
          <w:sz w:val="14"/>
        </w:rPr>
        <w:t> </w:t>
      </w:r>
      <w:r>
        <w:rPr>
          <w:sz w:val="14"/>
        </w:rPr>
        <w:t>due</w:t>
      </w:r>
      <w:r>
        <w:rPr>
          <w:spacing w:val="-11"/>
          <w:sz w:val="14"/>
        </w:rPr>
        <w:t> </w:t>
      </w:r>
      <w:r>
        <w:rPr>
          <w:sz w:val="14"/>
        </w:rPr>
        <w:t>to</w:t>
      </w:r>
      <w:r>
        <w:rPr>
          <w:spacing w:val="-8"/>
          <w:sz w:val="14"/>
        </w:rPr>
        <w:t> </w:t>
      </w:r>
      <w:r>
        <w:rPr>
          <w:sz w:val="14"/>
        </w:rPr>
        <w:t>peaks</w:t>
      </w:r>
      <w:r>
        <w:rPr>
          <w:spacing w:val="-9"/>
          <w:sz w:val="14"/>
        </w:rPr>
        <w:t> </w:t>
      </w:r>
      <w:r>
        <w:rPr>
          <w:sz w:val="14"/>
        </w:rPr>
        <w:t>and</w:t>
      </w:r>
      <w:r>
        <w:rPr>
          <w:spacing w:val="-8"/>
          <w:sz w:val="14"/>
        </w:rPr>
        <w:t> </w:t>
      </w:r>
      <w:r>
        <w:rPr>
          <w:sz w:val="14"/>
        </w:rPr>
        <w:t>troughs</w:t>
      </w:r>
      <w:r>
        <w:rPr>
          <w:spacing w:val="-10"/>
          <w:sz w:val="14"/>
        </w:rPr>
        <w:t> </w:t>
      </w:r>
      <w:r>
        <w:rPr>
          <w:sz w:val="14"/>
        </w:rPr>
        <w:t>in</w:t>
      </w:r>
      <w:r>
        <w:rPr>
          <w:spacing w:val="-9"/>
          <w:sz w:val="14"/>
        </w:rPr>
        <w:t> </w:t>
      </w:r>
      <w:r>
        <w:rPr>
          <w:sz w:val="14"/>
        </w:rPr>
        <w:t>the</w:t>
      </w:r>
      <w:r>
        <w:rPr>
          <w:spacing w:val="-6"/>
          <w:sz w:val="14"/>
        </w:rPr>
        <w:t> </w:t>
      </w:r>
      <w:r>
        <w:rPr>
          <w:sz w:val="14"/>
        </w:rPr>
        <w:t>numbers</w:t>
      </w:r>
      <w:r>
        <w:rPr>
          <w:spacing w:val="-9"/>
          <w:sz w:val="14"/>
        </w:rPr>
        <w:t> </w:t>
      </w:r>
      <w:r>
        <w:rPr>
          <w:sz w:val="14"/>
        </w:rPr>
        <w:t>of</w:t>
      </w:r>
      <w:r>
        <w:rPr>
          <w:spacing w:val="-6"/>
          <w:sz w:val="14"/>
        </w:rPr>
        <w:t> </w:t>
      </w:r>
      <w:r>
        <w:rPr>
          <w:sz w:val="14"/>
        </w:rPr>
        <w:t>packages for individual months this basis can produce fluctuating expenditure trends which are difficult to justify. Therefore, the solution adopted to address this issue is summarised</w:t>
      </w:r>
      <w:r>
        <w:rPr>
          <w:spacing w:val="-8"/>
          <w:sz w:val="14"/>
        </w:rPr>
        <w:t> </w:t>
      </w:r>
      <w:r>
        <w:rPr>
          <w:sz w:val="14"/>
        </w:rPr>
        <w:t>below:</w:t>
      </w:r>
    </w:p>
    <w:p>
      <w:pPr>
        <w:pStyle w:val="ListParagraph"/>
        <w:numPr>
          <w:ilvl w:val="0"/>
          <w:numId w:val="22"/>
        </w:numPr>
        <w:tabs>
          <w:tab w:pos="799" w:val="left" w:leader="none"/>
        </w:tabs>
        <w:spacing w:line="240" w:lineRule="auto" w:before="2" w:after="0"/>
        <w:ind w:left="798" w:right="0" w:hanging="97"/>
        <w:jc w:val="left"/>
        <w:rPr>
          <w:sz w:val="14"/>
        </w:rPr>
      </w:pPr>
      <w:r>
        <w:rPr>
          <w:sz w:val="14"/>
        </w:rPr>
        <w:t>First a simple rolling annual trend is generated using moving</w:t>
      </w:r>
      <w:r>
        <w:rPr>
          <w:spacing w:val="-33"/>
          <w:sz w:val="14"/>
        </w:rPr>
        <w:t> </w:t>
      </w:r>
      <w:r>
        <w:rPr>
          <w:sz w:val="14"/>
        </w:rPr>
        <w:t>averages</w:t>
      </w:r>
    </w:p>
    <w:p>
      <w:pPr>
        <w:pStyle w:val="ListParagraph"/>
        <w:numPr>
          <w:ilvl w:val="0"/>
          <w:numId w:val="22"/>
        </w:numPr>
        <w:tabs>
          <w:tab w:pos="799" w:val="left" w:leader="none"/>
        </w:tabs>
        <w:spacing w:line="254" w:lineRule="auto" w:before="14" w:after="0"/>
        <w:ind w:left="704" w:right="4089" w:firstLine="0"/>
        <w:jc w:val="left"/>
        <w:rPr>
          <w:sz w:val="14"/>
        </w:rPr>
      </w:pPr>
      <w:r>
        <w:rPr>
          <w:sz w:val="14"/>
        </w:rPr>
        <w:t>Then</w:t>
      </w:r>
      <w:r>
        <w:rPr>
          <w:spacing w:val="-12"/>
          <w:sz w:val="14"/>
        </w:rPr>
        <w:t> </w:t>
      </w:r>
      <w:r>
        <w:rPr>
          <w:sz w:val="14"/>
        </w:rPr>
        <w:t>the</w:t>
      </w:r>
      <w:r>
        <w:rPr>
          <w:spacing w:val="-9"/>
          <w:sz w:val="14"/>
        </w:rPr>
        <w:t> </w:t>
      </w:r>
      <w:r>
        <w:rPr>
          <w:sz w:val="14"/>
        </w:rPr>
        <w:t>Broadcare</w:t>
      </w:r>
      <w:r>
        <w:rPr>
          <w:spacing w:val="-11"/>
          <w:sz w:val="14"/>
        </w:rPr>
        <w:t> </w:t>
      </w:r>
      <w:r>
        <w:rPr>
          <w:sz w:val="14"/>
        </w:rPr>
        <w:t>based</w:t>
      </w:r>
      <w:r>
        <w:rPr>
          <w:spacing w:val="-12"/>
          <w:sz w:val="14"/>
        </w:rPr>
        <w:t> </w:t>
      </w:r>
      <w:r>
        <w:rPr>
          <w:sz w:val="14"/>
        </w:rPr>
        <w:t>expenditure</w:t>
      </w:r>
      <w:r>
        <w:rPr>
          <w:spacing w:val="-9"/>
          <w:sz w:val="14"/>
        </w:rPr>
        <w:t> </w:t>
      </w:r>
      <w:r>
        <w:rPr>
          <w:sz w:val="14"/>
        </w:rPr>
        <w:t>projection</w:t>
      </w:r>
      <w:r>
        <w:rPr>
          <w:spacing w:val="-12"/>
          <w:sz w:val="14"/>
        </w:rPr>
        <w:t> </w:t>
      </w:r>
      <w:r>
        <w:rPr>
          <w:sz w:val="14"/>
        </w:rPr>
        <w:t>is</w:t>
      </w:r>
      <w:r>
        <w:rPr>
          <w:spacing w:val="-8"/>
          <w:sz w:val="14"/>
        </w:rPr>
        <w:t> </w:t>
      </w:r>
      <w:r>
        <w:rPr>
          <w:sz w:val="14"/>
        </w:rPr>
        <w:t>adjusted</w:t>
      </w:r>
      <w:r>
        <w:rPr>
          <w:spacing w:val="-10"/>
          <w:sz w:val="14"/>
        </w:rPr>
        <w:t> </w:t>
      </w:r>
      <w:r>
        <w:rPr>
          <w:sz w:val="14"/>
        </w:rPr>
        <w:t>for</w:t>
      </w:r>
      <w:r>
        <w:rPr>
          <w:spacing w:val="-11"/>
          <w:sz w:val="14"/>
        </w:rPr>
        <w:t> </w:t>
      </w:r>
      <w:r>
        <w:rPr>
          <w:sz w:val="14"/>
        </w:rPr>
        <w:t>any</w:t>
      </w:r>
      <w:r>
        <w:rPr>
          <w:spacing w:val="-14"/>
          <w:sz w:val="14"/>
        </w:rPr>
        <w:t> </w:t>
      </w:r>
      <w:r>
        <w:rPr>
          <w:sz w:val="14"/>
        </w:rPr>
        <w:t>relevant</w:t>
      </w:r>
      <w:r>
        <w:rPr>
          <w:spacing w:val="-11"/>
          <w:sz w:val="14"/>
        </w:rPr>
        <w:t> </w:t>
      </w:r>
      <w:r>
        <w:rPr>
          <w:sz w:val="14"/>
        </w:rPr>
        <w:t>local</w:t>
      </w:r>
      <w:r>
        <w:rPr>
          <w:spacing w:val="-11"/>
          <w:sz w:val="14"/>
        </w:rPr>
        <w:t> </w:t>
      </w:r>
      <w:r>
        <w:rPr>
          <w:sz w:val="14"/>
        </w:rPr>
        <w:t>intelligence For</w:t>
      </w:r>
      <w:r>
        <w:rPr>
          <w:spacing w:val="-8"/>
          <w:sz w:val="14"/>
        </w:rPr>
        <w:t> </w:t>
      </w:r>
      <w:r>
        <w:rPr>
          <w:sz w:val="14"/>
        </w:rPr>
        <w:t>Continuing</w:t>
      </w:r>
      <w:r>
        <w:rPr>
          <w:spacing w:val="-5"/>
          <w:sz w:val="14"/>
        </w:rPr>
        <w:t> </w:t>
      </w:r>
      <w:r>
        <w:rPr>
          <w:sz w:val="14"/>
        </w:rPr>
        <w:t>Healthcare</w:t>
      </w:r>
      <w:r>
        <w:rPr>
          <w:spacing w:val="-5"/>
          <w:sz w:val="14"/>
        </w:rPr>
        <w:t> </w:t>
      </w:r>
      <w:r>
        <w:rPr>
          <w:sz w:val="14"/>
        </w:rPr>
        <w:t>Packages,</w:t>
      </w:r>
      <w:r>
        <w:rPr>
          <w:spacing w:val="-1"/>
          <w:sz w:val="14"/>
        </w:rPr>
        <w:t> </w:t>
      </w:r>
      <w:r>
        <w:rPr>
          <w:sz w:val="14"/>
        </w:rPr>
        <w:t>the</w:t>
      </w:r>
      <w:r>
        <w:rPr>
          <w:spacing w:val="-5"/>
          <w:sz w:val="14"/>
        </w:rPr>
        <w:t> </w:t>
      </w:r>
      <w:r>
        <w:rPr>
          <w:sz w:val="14"/>
        </w:rPr>
        <w:t>following</w:t>
      </w:r>
      <w:r>
        <w:rPr>
          <w:spacing w:val="-2"/>
          <w:sz w:val="14"/>
        </w:rPr>
        <w:t> </w:t>
      </w:r>
      <w:r>
        <w:rPr>
          <w:sz w:val="14"/>
        </w:rPr>
        <w:t>adjustments</w:t>
      </w:r>
      <w:r>
        <w:rPr>
          <w:spacing w:val="-3"/>
          <w:sz w:val="14"/>
        </w:rPr>
        <w:t> </w:t>
      </w:r>
      <w:r>
        <w:rPr>
          <w:sz w:val="14"/>
        </w:rPr>
        <w:t>are</w:t>
      </w:r>
      <w:r>
        <w:rPr>
          <w:spacing w:val="-5"/>
          <w:sz w:val="14"/>
        </w:rPr>
        <w:t> </w:t>
      </w:r>
      <w:r>
        <w:rPr>
          <w:sz w:val="14"/>
        </w:rPr>
        <w:t>also</w:t>
      </w:r>
      <w:r>
        <w:rPr>
          <w:spacing w:val="-7"/>
          <w:sz w:val="14"/>
        </w:rPr>
        <w:t> </w:t>
      </w:r>
      <w:r>
        <w:rPr>
          <w:sz w:val="14"/>
        </w:rPr>
        <w:t>made:</w:t>
      </w:r>
    </w:p>
    <w:p>
      <w:pPr>
        <w:pStyle w:val="ListParagraph"/>
        <w:numPr>
          <w:ilvl w:val="0"/>
          <w:numId w:val="22"/>
        </w:numPr>
        <w:tabs>
          <w:tab w:pos="799" w:val="left" w:leader="none"/>
        </w:tabs>
        <w:spacing w:line="160" w:lineRule="exact" w:before="0" w:after="0"/>
        <w:ind w:left="798" w:right="0" w:hanging="97"/>
        <w:jc w:val="left"/>
        <w:rPr>
          <w:sz w:val="14"/>
        </w:rPr>
      </w:pPr>
      <w:r>
        <w:rPr>
          <w:sz w:val="14"/>
        </w:rPr>
        <w:t>Pre</w:t>
      </w:r>
      <w:r>
        <w:rPr>
          <w:spacing w:val="-7"/>
          <w:sz w:val="14"/>
        </w:rPr>
        <w:t> </w:t>
      </w:r>
      <w:r>
        <w:rPr>
          <w:sz w:val="14"/>
        </w:rPr>
        <w:t>panel</w:t>
      </w:r>
      <w:r>
        <w:rPr>
          <w:spacing w:val="-4"/>
          <w:sz w:val="14"/>
        </w:rPr>
        <w:t> </w:t>
      </w:r>
      <w:r>
        <w:rPr>
          <w:sz w:val="14"/>
        </w:rPr>
        <w:t>packages</w:t>
      </w:r>
      <w:r>
        <w:rPr>
          <w:spacing w:val="-2"/>
          <w:sz w:val="14"/>
        </w:rPr>
        <w:t> </w:t>
      </w:r>
      <w:r>
        <w:rPr>
          <w:sz w:val="14"/>
        </w:rPr>
        <w:t>are</w:t>
      </w:r>
      <w:r>
        <w:rPr>
          <w:spacing w:val="-5"/>
          <w:sz w:val="14"/>
        </w:rPr>
        <w:t> </w:t>
      </w:r>
      <w:r>
        <w:rPr>
          <w:sz w:val="14"/>
        </w:rPr>
        <w:t>recorded</w:t>
      </w:r>
      <w:r>
        <w:rPr>
          <w:spacing w:val="-2"/>
          <w:sz w:val="14"/>
        </w:rPr>
        <w:t> </w:t>
      </w:r>
      <w:r>
        <w:rPr>
          <w:sz w:val="14"/>
        </w:rPr>
        <w:t>on</w:t>
      </w:r>
      <w:r>
        <w:rPr>
          <w:spacing w:val="-5"/>
          <w:sz w:val="14"/>
        </w:rPr>
        <w:t> </w:t>
      </w:r>
      <w:r>
        <w:rPr>
          <w:sz w:val="14"/>
        </w:rPr>
        <w:t>Broadcare</w:t>
      </w:r>
      <w:r>
        <w:rPr>
          <w:spacing w:val="-8"/>
          <w:sz w:val="14"/>
        </w:rPr>
        <w:t> </w:t>
      </w:r>
      <w:r>
        <w:rPr>
          <w:sz w:val="14"/>
        </w:rPr>
        <w:t>at</w:t>
      </w:r>
      <w:r>
        <w:rPr>
          <w:spacing w:val="-5"/>
          <w:sz w:val="14"/>
        </w:rPr>
        <w:t> </w:t>
      </w:r>
      <w:r>
        <w:rPr>
          <w:sz w:val="14"/>
        </w:rPr>
        <w:t>a</w:t>
      </w:r>
      <w:r>
        <w:rPr>
          <w:spacing w:val="-4"/>
          <w:sz w:val="14"/>
        </w:rPr>
        <w:t> </w:t>
      </w:r>
      <w:r>
        <w:rPr>
          <w:sz w:val="14"/>
        </w:rPr>
        <w:t>nominal</w:t>
      </w:r>
      <w:r>
        <w:rPr>
          <w:spacing w:val="-2"/>
          <w:sz w:val="14"/>
        </w:rPr>
        <w:t> </w:t>
      </w:r>
      <w:r>
        <w:rPr>
          <w:sz w:val="14"/>
        </w:rPr>
        <w:t>package</w:t>
      </w:r>
      <w:r>
        <w:rPr>
          <w:spacing w:val="-5"/>
          <w:sz w:val="14"/>
        </w:rPr>
        <w:t> </w:t>
      </w:r>
      <w:r>
        <w:rPr>
          <w:sz w:val="14"/>
        </w:rPr>
        <w:t>value</w:t>
      </w:r>
      <w:r>
        <w:rPr>
          <w:spacing w:val="-5"/>
          <w:sz w:val="14"/>
        </w:rPr>
        <w:t> </w:t>
      </w:r>
      <w:r>
        <w:rPr>
          <w:sz w:val="14"/>
        </w:rPr>
        <w:t>to</w:t>
      </w:r>
      <w:r>
        <w:rPr>
          <w:spacing w:val="-4"/>
          <w:sz w:val="14"/>
        </w:rPr>
        <w:t> </w:t>
      </w:r>
      <w:r>
        <w:rPr>
          <w:sz w:val="14"/>
        </w:rPr>
        <w:t>reflect</w:t>
      </w:r>
      <w:r>
        <w:rPr>
          <w:spacing w:val="-5"/>
          <w:sz w:val="14"/>
        </w:rPr>
        <w:t> </w:t>
      </w:r>
      <w:r>
        <w:rPr>
          <w:sz w:val="14"/>
        </w:rPr>
        <w:t>that</w:t>
      </w:r>
      <w:r>
        <w:rPr>
          <w:spacing w:val="-2"/>
          <w:sz w:val="14"/>
        </w:rPr>
        <w:t> </w:t>
      </w:r>
      <w:r>
        <w:rPr>
          <w:sz w:val="14"/>
        </w:rPr>
        <w:t>on</w:t>
      </w:r>
      <w:r>
        <w:rPr>
          <w:spacing w:val="-5"/>
          <w:sz w:val="14"/>
        </w:rPr>
        <w:t> </w:t>
      </w:r>
      <w:r>
        <w:rPr>
          <w:sz w:val="14"/>
        </w:rPr>
        <w:t>average</w:t>
      </w:r>
      <w:r>
        <w:rPr>
          <w:spacing w:val="-2"/>
          <w:sz w:val="14"/>
        </w:rPr>
        <w:t> </w:t>
      </w:r>
      <w:r>
        <w:rPr>
          <w:sz w:val="14"/>
        </w:rPr>
        <w:t>only</w:t>
      </w:r>
      <w:r>
        <w:rPr>
          <w:spacing w:val="-7"/>
          <w:sz w:val="14"/>
        </w:rPr>
        <w:t> </w:t>
      </w:r>
      <w:r>
        <w:rPr>
          <w:sz w:val="14"/>
        </w:rPr>
        <w:t>1</w:t>
      </w:r>
      <w:r>
        <w:rPr>
          <w:spacing w:val="-5"/>
          <w:sz w:val="14"/>
        </w:rPr>
        <w:t> </w:t>
      </w:r>
      <w:r>
        <w:rPr>
          <w:sz w:val="14"/>
        </w:rPr>
        <w:t>in</w:t>
      </w:r>
      <w:r>
        <w:rPr>
          <w:spacing w:val="-5"/>
          <w:sz w:val="14"/>
        </w:rPr>
        <w:t> </w:t>
      </w:r>
      <w:r>
        <w:rPr>
          <w:sz w:val="14"/>
        </w:rPr>
        <w:t>5</w:t>
      </w:r>
      <w:r>
        <w:rPr>
          <w:spacing w:val="-4"/>
          <w:sz w:val="14"/>
        </w:rPr>
        <w:t> </w:t>
      </w:r>
      <w:r>
        <w:rPr>
          <w:sz w:val="14"/>
        </w:rPr>
        <w:t>will</w:t>
      </w:r>
      <w:r>
        <w:rPr>
          <w:spacing w:val="-4"/>
          <w:sz w:val="14"/>
        </w:rPr>
        <w:t> </w:t>
      </w:r>
      <w:r>
        <w:rPr>
          <w:sz w:val="14"/>
        </w:rPr>
        <w:t>be</w:t>
      </w:r>
      <w:r>
        <w:rPr>
          <w:spacing w:val="-5"/>
          <w:sz w:val="14"/>
        </w:rPr>
        <w:t> </w:t>
      </w:r>
      <w:r>
        <w:rPr>
          <w:sz w:val="14"/>
        </w:rPr>
        <w:t>found</w:t>
      </w:r>
      <w:r>
        <w:rPr>
          <w:spacing w:val="-5"/>
          <w:sz w:val="14"/>
        </w:rPr>
        <w:t> </w:t>
      </w:r>
      <w:r>
        <w:rPr>
          <w:sz w:val="14"/>
        </w:rPr>
        <w:t>eligible.</w:t>
      </w:r>
    </w:p>
    <w:p>
      <w:pPr>
        <w:spacing w:line="256" w:lineRule="auto" w:before="14"/>
        <w:ind w:left="704" w:right="604" w:firstLine="0"/>
        <w:jc w:val="left"/>
        <w:rPr>
          <w:sz w:val="14"/>
        </w:rPr>
      </w:pPr>
      <w:r>
        <w:rPr>
          <w:sz w:val="14"/>
        </w:rPr>
        <w:t>*NHS</w:t>
      </w:r>
      <w:r>
        <w:rPr>
          <w:spacing w:val="-8"/>
          <w:sz w:val="14"/>
        </w:rPr>
        <w:t> </w:t>
      </w:r>
      <w:r>
        <w:rPr>
          <w:sz w:val="14"/>
        </w:rPr>
        <w:t>England</w:t>
      </w:r>
      <w:r>
        <w:rPr>
          <w:spacing w:val="-6"/>
          <w:sz w:val="14"/>
        </w:rPr>
        <w:t> </w:t>
      </w:r>
      <w:r>
        <w:rPr>
          <w:sz w:val="14"/>
        </w:rPr>
        <w:t>are</w:t>
      </w:r>
      <w:r>
        <w:rPr>
          <w:spacing w:val="-8"/>
          <w:sz w:val="14"/>
        </w:rPr>
        <w:t> </w:t>
      </w:r>
      <w:r>
        <w:rPr>
          <w:sz w:val="14"/>
        </w:rPr>
        <w:t>responsible</w:t>
      </w:r>
      <w:r>
        <w:rPr>
          <w:spacing w:val="-9"/>
          <w:sz w:val="14"/>
        </w:rPr>
        <w:t> </w:t>
      </w:r>
      <w:r>
        <w:rPr>
          <w:sz w:val="14"/>
        </w:rPr>
        <w:t>for</w:t>
      </w:r>
      <w:r>
        <w:rPr>
          <w:spacing w:val="-9"/>
          <w:sz w:val="14"/>
        </w:rPr>
        <w:t> </w:t>
      </w:r>
      <w:r>
        <w:rPr>
          <w:sz w:val="14"/>
        </w:rPr>
        <w:t>legacy</w:t>
      </w:r>
      <w:r>
        <w:rPr>
          <w:spacing w:val="-12"/>
          <w:sz w:val="14"/>
        </w:rPr>
        <w:t> </w:t>
      </w:r>
      <w:r>
        <w:rPr>
          <w:sz w:val="14"/>
        </w:rPr>
        <w:t>cases</w:t>
      </w:r>
      <w:r>
        <w:rPr>
          <w:spacing w:val="-6"/>
          <w:sz w:val="14"/>
        </w:rPr>
        <w:t> </w:t>
      </w:r>
      <w:r>
        <w:rPr>
          <w:sz w:val="14"/>
        </w:rPr>
        <w:t>that</w:t>
      </w:r>
      <w:r>
        <w:rPr>
          <w:spacing w:val="-8"/>
          <w:sz w:val="14"/>
        </w:rPr>
        <w:t> </w:t>
      </w:r>
      <w:r>
        <w:rPr>
          <w:sz w:val="14"/>
        </w:rPr>
        <w:t>were</w:t>
      </w:r>
      <w:r>
        <w:rPr>
          <w:spacing w:val="-6"/>
          <w:sz w:val="14"/>
        </w:rPr>
        <w:t> </w:t>
      </w:r>
      <w:r>
        <w:rPr>
          <w:sz w:val="14"/>
        </w:rPr>
        <w:t>included</w:t>
      </w:r>
      <w:r>
        <w:rPr>
          <w:spacing w:val="-8"/>
          <w:sz w:val="14"/>
        </w:rPr>
        <w:t> </w:t>
      </w:r>
      <w:r>
        <w:rPr>
          <w:sz w:val="14"/>
        </w:rPr>
        <w:t>in</w:t>
      </w:r>
      <w:r>
        <w:rPr>
          <w:spacing w:val="-8"/>
          <w:sz w:val="14"/>
        </w:rPr>
        <w:t> </w:t>
      </w:r>
      <w:r>
        <w:rPr>
          <w:sz w:val="14"/>
        </w:rPr>
        <w:t>the</w:t>
      </w:r>
      <w:r>
        <w:rPr>
          <w:spacing w:val="-6"/>
          <w:sz w:val="14"/>
        </w:rPr>
        <w:t> </w:t>
      </w:r>
      <w:r>
        <w:rPr>
          <w:sz w:val="14"/>
        </w:rPr>
        <w:t>risk</w:t>
      </w:r>
      <w:r>
        <w:rPr>
          <w:spacing w:val="-5"/>
          <w:sz w:val="14"/>
        </w:rPr>
        <w:t> </w:t>
      </w:r>
      <w:r>
        <w:rPr>
          <w:sz w:val="14"/>
        </w:rPr>
        <w:t>pool,</w:t>
      </w:r>
      <w:r>
        <w:rPr>
          <w:spacing w:val="-8"/>
          <w:sz w:val="14"/>
        </w:rPr>
        <w:t> </w:t>
      </w:r>
      <w:r>
        <w:rPr>
          <w:sz w:val="14"/>
        </w:rPr>
        <w:t>therefore</w:t>
      </w:r>
      <w:r>
        <w:rPr>
          <w:spacing w:val="-9"/>
          <w:sz w:val="14"/>
        </w:rPr>
        <w:t> </w:t>
      </w:r>
      <w:r>
        <w:rPr>
          <w:sz w:val="14"/>
        </w:rPr>
        <w:t>an</w:t>
      </w:r>
      <w:r>
        <w:rPr>
          <w:spacing w:val="-8"/>
          <w:sz w:val="14"/>
        </w:rPr>
        <w:t> </w:t>
      </w:r>
      <w:r>
        <w:rPr>
          <w:sz w:val="14"/>
        </w:rPr>
        <w:t>adjustment</w:t>
      </w:r>
      <w:r>
        <w:rPr>
          <w:spacing w:val="-8"/>
          <w:sz w:val="14"/>
        </w:rPr>
        <w:t> </w:t>
      </w:r>
      <w:r>
        <w:rPr>
          <w:sz w:val="14"/>
        </w:rPr>
        <w:t>will</w:t>
      </w:r>
      <w:r>
        <w:rPr>
          <w:spacing w:val="-6"/>
          <w:sz w:val="14"/>
        </w:rPr>
        <w:t> </w:t>
      </w:r>
      <w:r>
        <w:rPr>
          <w:sz w:val="14"/>
        </w:rPr>
        <w:t>be</w:t>
      </w:r>
      <w:r>
        <w:rPr>
          <w:spacing w:val="-8"/>
          <w:sz w:val="14"/>
        </w:rPr>
        <w:t> </w:t>
      </w:r>
      <w:r>
        <w:rPr>
          <w:sz w:val="14"/>
        </w:rPr>
        <w:t>made</w:t>
      </w:r>
      <w:r>
        <w:rPr>
          <w:spacing w:val="-6"/>
          <w:sz w:val="14"/>
        </w:rPr>
        <w:t> </w:t>
      </w:r>
      <w:r>
        <w:rPr>
          <w:sz w:val="14"/>
        </w:rPr>
        <w:t>to</w:t>
      </w:r>
      <w:r>
        <w:rPr>
          <w:spacing w:val="-8"/>
          <w:sz w:val="14"/>
        </w:rPr>
        <w:t> </w:t>
      </w:r>
      <w:r>
        <w:rPr>
          <w:sz w:val="14"/>
        </w:rPr>
        <w:t>ensure</w:t>
      </w:r>
      <w:r>
        <w:rPr>
          <w:spacing w:val="-9"/>
          <w:sz w:val="14"/>
        </w:rPr>
        <w:t> </w:t>
      </w:r>
      <w:r>
        <w:rPr>
          <w:sz w:val="14"/>
        </w:rPr>
        <w:t>all</w:t>
      </w:r>
      <w:r>
        <w:rPr>
          <w:spacing w:val="-5"/>
          <w:sz w:val="14"/>
        </w:rPr>
        <w:t> </w:t>
      </w:r>
      <w:r>
        <w:rPr>
          <w:sz w:val="14"/>
        </w:rPr>
        <w:t>such</w:t>
      </w:r>
      <w:r>
        <w:rPr>
          <w:spacing w:val="-8"/>
          <w:sz w:val="14"/>
        </w:rPr>
        <w:t> </w:t>
      </w:r>
      <w:r>
        <w:rPr>
          <w:sz w:val="14"/>
        </w:rPr>
        <w:t>cases</w:t>
      </w:r>
      <w:r>
        <w:rPr>
          <w:spacing w:val="-5"/>
          <w:sz w:val="14"/>
        </w:rPr>
        <w:t> </w:t>
      </w:r>
      <w:r>
        <w:rPr>
          <w:sz w:val="14"/>
        </w:rPr>
        <w:t>are</w:t>
      </w:r>
      <w:r>
        <w:rPr>
          <w:spacing w:val="-6"/>
          <w:sz w:val="14"/>
        </w:rPr>
        <w:t> </w:t>
      </w:r>
      <w:r>
        <w:rPr>
          <w:sz w:val="14"/>
        </w:rPr>
        <w:t>not reflected in the CCG</w:t>
      </w:r>
      <w:r>
        <w:rPr>
          <w:spacing w:val="-15"/>
          <w:sz w:val="14"/>
        </w:rPr>
        <w:t> </w:t>
      </w:r>
      <w:r>
        <w:rPr>
          <w:sz w:val="14"/>
        </w:rPr>
        <w:t>estimates.</w:t>
      </w:r>
    </w:p>
    <w:p>
      <w:pPr>
        <w:spacing w:before="129"/>
        <w:ind w:left="704" w:right="0" w:firstLine="0"/>
        <w:jc w:val="left"/>
        <w:rPr>
          <w:b/>
          <w:sz w:val="14"/>
        </w:rPr>
      </w:pPr>
      <w:r>
        <w:rPr>
          <w:b/>
          <w:sz w:val="14"/>
        </w:rPr>
        <w:t>Prescribing</w:t>
      </w:r>
    </w:p>
    <w:p>
      <w:pPr>
        <w:spacing w:line="256" w:lineRule="auto" w:before="16"/>
        <w:ind w:left="704" w:right="786" w:firstLine="0"/>
        <w:jc w:val="both"/>
        <w:rPr>
          <w:sz w:val="14"/>
        </w:rPr>
      </w:pPr>
      <w:r>
        <w:rPr>
          <w:sz w:val="14"/>
        </w:rPr>
        <w:t>There is a delay of almost two months between the end of an accounting period and receipt of the Practice Prescribing Monitoring Document (PMD) showing the actual prescribing expenditure by GPs. As a result data for February and March prescribing expenditure was not available at the time of production</w:t>
      </w:r>
      <w:r>
        <w:rPr>
          <w:spacing w:val="-9"/>
          <w:sz w:val="14"/>
        </w:rPr>
        <w:t> </w:t>
      </w:r>
      <w:r>
        <w:rPr>
          <w:sz w:val="14"/>
        </w:rPr>
        <w:t>of</w:t>
      </w:r>
      <w:r>
        <w:rPr>
          <w:spacing w:val="-7"/>
          <w:sz w:val="14"/>
        </w:rPr>
        <w:t> </w:t>
      </w:r>
      <w:r>
        <w:rPr>
          <w:sz w:val="14"/>
        </w:rPr>
        <w:t>the</w:t>
      </w:r>
      <w:r>
        <w:rPr>
          <w:spacing w:val="-8"/>
          <w:sz w:val="14"/>
        </w:rPr>
        <w:t> </w:t>
      </w:r>
      <w:r>
        <w:rPr>
          <w:sz w:val="14"/>
        </w:rPr>
        <w:t>annual</w:t>
      </w:r>
      <w:r>
        <w:rPr>
          <w:spacing w:val="-9"/>
          <w:sz w:val="14"/>
        </w:rPr>
        <w:t> </w:t>
      </w:r>
      <w:r>
        <w:rPr>
          <w:sz w:val="14"/>
        </w:rPr>
        <w:t>accounts.</w:t>
      </w:r>
      <w:r>
        <w:rPr>
          <w:spacing w:val="-8"/>
          <w:sz w:val="14"/>
        </w:rPr>
        <w:t> </w:t>
      </w:r>
      <w:r>
        <w:rPr>
          <w:sz w:val="14"/>
        </w:rPr>
        <w:t>An</w:t>
      </w:r>
      <w:r>
        <w:rPr>
          <w:spacing w:val="-7"/>
          <w:sz w:val="14"/>
        </w:rPr>
        <w:t> </w:t>
      </w:r>
      <w:r>
        <w:rPr>
          <w:sz w:val="14"/>
        </w:rPr>
        <w:t>estimate</w:t>
      </w:r>
      <w:r>
        <w:rPr>
          <w:spacing w:val="-9"/>
          <w:sz w:val="14"/>
        </w:rPr>
        <w:t> </w:t>
      </w:r>
      <w:r>
        <w:rPr>
          <w:sz w:val="14"/>
        </w:rPr>
        <w:t>of</w:t>
      </w:r>
      <w:r>
        <w:rPr>
          <w:spacing w:val="-7"/>
          <w:sz w:val="14"/>
        </w:rPr>
        <w:t> </w:t>
      </w:r>
      <w:r>
        <w:rPr>
          <w:sz w:val="14"/>
        </w:rPr>
        <w:t>outstanding</w:t>
      </w:r>
      <w:r>
        <w:rPr>
          <w:spacing w:val="-9"/>
          <w:sz w:val="14"/>
        </w:rPr>
        <w:t> </w:t>
      </w:r>
      <w:r>
        <w:rPr>
          <w:sz w:val="14"/>
        </w:rPr>
        <w:t>prescribing</w:t>
      </w:r>
      <w:r>
        <w:rPr>
          <w:spacing w:val="-9"/>
          <w:sz w:val="14"/>
        </w:rPr>
        <w:t> </w:t>
      </w:r>
      <w:r>
        <w:rPr>
          <w:sz w:val="14"/>
        </w:rPr>
        <w:t>expenditure</w:t>
      </w:r>
      <w:r>
        <w:rPr>
          <w:spacing w:val="-12"/>
          <w:sz w:val="14"/>
        </w:rPr>
        <w:t> </w:t>
      </w:r>
      <w:r>
        <w:rPr>
          <w:sz w:val="14"/>
        </w:rPr>
        <w:t>is</w:t>
      </w:r>
      <w:r>
        <w:rPr>
          <w:spacing w:val="-8"/>
          <w:sz w:val="14"/>
        </w:rPr>
        <w:t> </w:t>
      </w:r>
      <w:r>
        <w:rPr>
          <w:sz w:val="14"/>
        </w:rPr>
        <w:t>therefore</w:t>
      </w:r>
      <w:r>
        <w:rPr>
          <w:spacing w:val="-11"/>
          <w:sz w:val="14"/>
        </w:rPr>
        <w:t> </w:t>
      </w:r>
      <w:r>
        <w:rPr>
          <w:sz w:val="14"/>
        </w:rPr>
        <w:t>calculated</w:t>
      </w:r>
      <w:r>
        <w:rPr>
          <w:spacing w:val="-9"/>
          <w:sz w:val="14"/>
        </w:rPr>
        <w:t> </w:t>
      </w:r>
      <w:r>
        <w:rPr>
          <w:sz w:val="14"/>
        </w:rPr>
        <w:t>using</w:t>
      </w:r>
      <w:r>
        <w:rPr>
          <w:spacing w:val="-11"/>
          <w:sz w:val="14"/>
        </w:rPr>
        <w:t> </w:t>
      </w:r>
      <w:r>
        <w:rPr>
          <w:sz w:val="14"/>
        </w:rPr>
        <w:t>the</w:t>
      </w:r>
      <w:r>
        <w:rPr>
          <w:spacing w:val="-7"/>
          <w:sz w:val="14"/>
        </w:rPr>
        <w:t> </w:t>
      </w:r>
      <w:r>
        <w:rPr>
          <w:sz w:val="14"/>
        </w:rPr>
        <w:t>forecast</w:t>
      </w:r>
      <w:r>
        <w:rPr>
          <w:spacing w:val="-11"/>
          <w:sz w:val="14"/>
        </w:rPr>
        <w:t> </w:t>
      </w:r>
      <w:r>
        <w:rPr>
          <w:sz w:val="14"/>
        </w:rPr>
        <w:t>in</w:t>
      </w:r>
      <w:r>
        <w:rPr>
          <w:spacing w:val="-11"/>
          <w:sz w:val="14"/>
        </w:rPr>
        <w:t> </w:t>
      </w:r>
      <w:r>
        <w:rPr>
          <w:sz w:val="14"/>
        </w:rPr>
        <w:t>the</w:t>
      </w:r>
      <w:r>
        <w:rPr>
          <w:spacing w:val="-9"/>
          <w:sz w:val="14"/>
        </w:rPr>
        <w:t> </w:t>
      </w:r>
      <w:r>
        <w:rPr>
          <w:sz w:val="14"/>
        </w:rPr>
        <w:t>NHS</w:t>
      </w:r>
      <w:r>
        <w:rPr>
          <w:spacing w:val="-7"/>
          <w:sz w:val="14"/>
        </w:rPr>
        <w:t> </w:t>
      </w:r>
      <w:r>
        <w:rPr>
          <w:sz w:val="14"/>
        </w:rPr>
        <w:t>BSA</w:t>
      </w:r>
      <w:r>
        <w:rPr>
          <w:spacing w:val="-8"/>
          <w:sz w:val="14"/>
        </w:rPr>
        <w:t> </w:t>
      </w:r>
      <w:r>
        <w:rPr>
          <w:sz w:val="14"/>
        </w:rPr>
        <w:t>PMD prescribing reports and any relevant local</w:t>
      </w:r>
      <w:r>
        <w:rPr>
          <w:spacing w:val="-17"/>
          <w:sz w:val="14"/>
        </w:rPr>
        <w:t> </w:t>
      </w:r>
      <w:r>
        <w:rPr>
          <w:sz w:val="14"/>
        </w:rPr>
        <w:t>intelligence.</w:t>
      </w:r>
    </w:p>
    <w:p>
      <w:pPr>
        <w:pStyle w:val="BodyText"/>
        <w:spacing w:before="3"/>
        <w:rPr>
          <w:sz w:val="16"/>
        </w:rPr>
      </w:pPr>
    </w:p>
    <w:p>
      <w:pPr>
        <w:pStyle w:val="ListParagraph"/>
        <w:numPr>
          <w:ilvl w:val="1"/>
          <w:numId w:val="19"/>
        </w:numPr>
        <w:tabs>
          <w:tab w:pos="705" w:val="left" w:leader="none"/>
        </w:tabs>
        <w:spacing w:line="240" w:lineRule="auto" w:before="0" w:after="0"/>
        <w:ind w:left="704" w:right="0" w:hanging="390"/>
        <w:jc w:val="left"/>
        <w:rPr>
          <w:b/>
          <w:sz w:val="14"/>
        </w:rPr>
      </w:pPr>
      <w:r>
        <w:rPr>
          <w:b/>
          <w:sz w:val="14"/>
        </w:rPr>
        <w:t>Accounting</w:t>
      </w:r>
      <w:r>
        <w:rPr>
          <w:b/>
          <w:spacing w:val="-5"/>
          <w:sz w:val="14"/>
        </w:rPr>
        <w:t> </w:t>
      </w:r>
      <w:r>
        <w:rPr>
          <w:b/>
          <w:sz w:val="14"/>
        </w:rPr>
        <w:t>Standards</w:t>
      </w:r>
      <w:r>
        <w:rPr>
          <w:b/>
          <w:spacing w:val="-4"/>
          <w:sz w:val="14"/>
        </w:rPr>
        <w:t> </w:t>
      </w:r>
      <w:r>
        <w:rPr>
          <w:b/>
          <w:sz w:val="14"/>
        </w:rPr>
        <w:t>That</w:t>
      </w:r>
      <w:r>
        <w:rPr>
          <w:b/>
          <w:spacing w:val="-4"/>
          <w:sz w:val="14"/>
        </w:rPr>
        <w:t> </w:t>
      </w:r>
      <w:r>
        <w:rPr>
          <w:b/>
          <w:sz w:val="14"/>
        </w:rPr>
        <w:t>Have</w:t>
      </w:r>
      <w:r>
        <w:rPr>
          <w:b/>
          <w:spacing w:val="-4"/>
          <w:sz w:val="14"/>
        </w:rPr>
        <w:t> </w:t>
      </w:r>
      <w:r>
        <w:rPr>
          <w:b/>
          <w:sz w:val="14"/>
        </w:rPr>
        <w:t>Been</w:t>
      </w:r>
      <w:r>
        <w:rPr>
          <w:b/>
          <w:spacing w:val="-2"/>
          <w:sz w:val="14"/>
        </w:rPr>
        <w:t> </w:t>
      </w:r>
      <w:r>
        <w:rPr>
          <w:b/>
          <w:sz w:val="14"/>
        </w:rPr>
        <w:t>Issued</w:t>
      </w:r>
      <w:r>
        <w:rPr>
          <w:b/>
          <w:spacing w:val="-4"/>
          <w:sz w:val="14"/>
        </w:rPr>
        <w:t> </w:t>
      </w:r>
      <w:r>
        <w:rPr>
          <w:b/>
          <w:sz w:val="14"/>
        </w:rPr>
        <w:t>But</w:t>
      </w:r>
      <w:r>
        <w:rPr>
          <w:b/>
          <w:spacing w:val="-3"/>
          <w:sz w:val="14"/>
        </w:rPr>
        <w:t> </w:t>
      </w:r>
      <w:r>
        <w:rPr>
          <w:b/>
          <w:sz w:val="14"/>
        </w:rPr>
        <w:t>Have</w:t>
      </w:r>
      <w:r>
        <w:rPr>
          <w:b/>
          <w:spacing w:val="-2"/>
          <w:sz w:val="14"/>
        </w:rPr>
        <w:t> </w:t>
      </w:r>
      <w:r>
        <w:rPr>
          <w:b/>
          <w:sz w:val="14"/>
        </w:rPr>
        <w:t>Not</w:t>
      </w:r>
      <w:r>
        <w:rPr>
          <w:b/>
          <w:spacing w:val="-4"/>
          <w:sz w:val="14"/>
        </w:rPr>
        <w:t> </w:t>
      </w:r>
      <w:r>
        <w:rPr>
          <w:b/>
          <w:sz w:val="14"/>
        </w:rPr>
        <w:t>Yet</w:t>
      </w:r>
      <w:r>
        <w:rPr>
          <w:b/>
          <w:spacing w:val="-4"/>
          <w:sz w:val="14"/>
        </w:rPr>
        <w:t> </w:t>
      </w:r>
      <w:r>
        <w:rPr>
          <w:b/>
          <w:sz w:val="14"/>
        </w:rPr>
        <w:t>Been</w:t>
      </w:r>
      <w:r>
        <w:rPr>
          <w:b/>
          <w:spacing w:val="-4"/>
          <w:sz w:val="14"/>
        </w:rPr>
        <w:t> </w:t>
      </w:r>
      <w:r>
        <w:rPr>
          <w:b/>
          <w:sz w:val="14"/>
        </w:rPr>
        <w:t>Adopted</w:t>
      </w:r>
    </w:p>
    <w:p>
      <w:pPr>
        <w:spacing w:line="256" w:lineRule="auto" w:before="7"/>
        <w:ind w:left="704" w:right="644" w:firstLine="0"/>
        <w:jc w:val="left"/>
        <w:rPr>
          <w:sz w:val="14"/>
        </w:rPr>
      </w:pPr>
      <w:r>
        <w:rPr>
          <w:sz w:val="14"/>
        </w:rPr>
        <w:t>The Department of Health and Social Care GAM does not require the following IFRS Standards and Interpretations to be applied in 2021-22. These Standards</w:t>
      </w:r>
      <w:r>
        <w:rPr>
          <w:spacing w:val="-9"/>
          <w:sz w:val="14"/>
        </w:rPr>
        <w:t> </w:t>
      </w:r>
      <w:r>
        <w:rPr>
          <w:sz w:val="14"/>
        </w:rPr>
        <w:t>are</w:t>
      </w:r>
      <w:r>
        <w:rPr>
          <w:spacing w:val="-9"/>
          <w:sz w:val="14"/>
        </w:rPr>
        <w:t> </w:t>
      </w:r>
      <w:r>
        <w:rPr>
          <w:sz w:val="14"/>
        </w:rPr>
        <w:t>still</w:t>
      </w:r>
      <w:r>
        <w:rPr>
          <w:spacing w:val="-8"/>
          <w:sz w:val="14"/>
        </w:rPr>
        <w:t> </w:t>
      </w:r>
      <w:r>
        <w:rPr>
          <w:sz w:val="14"/>
        </w:rPr>
        <w:t>subject</w:t>
      </w:r>
      <w:r>
        <w:rPr>
          <w:spacing w:val="-8"/>
          <w:sz w:val="14"/>
        </w:rPr>
        <w:t> </w:t>
      </w:r>
      <w:r>
        <w:rPr>
          <w:sz w:val="14"/>
        </w:rPr>
        <w:t>to</w:t>
      </w:r>
      <w:r>
        <w:rPr>
          <w:spacing w:val="-9"/>
          <w:sz w:val="14"/>
        </w:rPr>
        <w:t> </w:t>
      </w:r>
      <w:r>
        <w:rPr>
          <w:sz w:val="14"/>
        </w:rPr>
        <w:t>HM</w:t>
      </w:r>
      <w:r>
        <w:rPr>
          <w:spacing w:val="-11"/>
          <w:sz w:val="14"/>
        </w:rPr>
        <w:t> </w:t>
      </w:r>
      <w:r>
        <w:rPr>
          <w:sz w:val="14"/>
        </w:rPr>
        <w:t>Treasury</w:t>
      </w:r>
      <w:r>
        <w:rPr>
          <w:spacing w:val="-13"/>
          <w:sz w:val="14"/>
        </w:rPr>
        <w:t> </w:t>
      </w:r>
      <w:r>
        <w:rPr>
          <w:sz w:val="14"/>
        </w:rPr>
        <w:t>FReM</w:t>
      </w:r>
      <w:r>
        <w:rPr>
          <w:spacing w:val="-10"/>
          <w:sz w:val="14"/>
        </w:rPr>
        <w:t> </w:t>
      </w:r>
      <w:r>
        <w:rPr>
          <w:sz w:val="14"/>
        </w:rPr>
        <w:t>adoption,</w:t>
      </w:r>
      <w:r>
        <w:rPr>
          <w:spacing w:val="-9"/>
          <w:sz w:val="14"/>
        </w:rPr>
        <w:t> </w:t>
      </w:r>
      <w:r>
        <w:rPr>
          <w:sz w:val="14"/>
        </w:rPr>
        <w:t>with</w:t>
      </w:r>
      <w:r>
        <w:rPr>
          <w:spacing w:val="-8"/>
          <w:sz w:val="14"/>
        </w:rPr>
        <w:t> </w:t>
      </w:r>
      <w:r>
        <w:rPr>
          <w:sz w:val="14"/>
        </w:rPr>
        <w:t>IFRS</w:t>
      </w:r>
      <w:r>
        <w:rPr>
          <w:spacing w:val="-6"/>
          <w:sz w:val="14"/>
        </w:rPr>
        <w:t> </w:t>
      </w:r>
      <w:r>
        <w:rPr>
          <w:sz w:val="14"/>
        </w:rPr>
        <w:t>16</w:t>
      </w:r>
      <w:r>
        <w:rPr>
          <w:spacing w:val="-7"/>
          <w:sz w:val="14"/>
        </w:rPr>
        <w:t> </w:t>
      </w:r>
      <w:r>
        <w:rPr>
          <w:sz w:val="14"/>
        </w:rPr>
        <w:t>being</w:t>
      </w:r>
      <w:r>
        <w:rPr>
          <w:spacing w:val="-9"/>
          <w:sz w:val="14"/>
        </w:rPr>
        <w:t> </w:t>
      </w:r>
      <w:r>
        <w:rPr>
          <w:sz w:val="14"/>
        </w:rPr>
        <w:t>for</w:t>
      </w:r>
      <w:r>
        <w:rPr>
          <w:spacing w:val="-9"/>
          <w:sz w:val="14"/>
        </w:rPr>
        <w:t> </w:t>
      </w:r>
      <w:r>
        <w:rPr>
          <w:sz w:val="14"/>
        </w:rPr>
        <w:t>implementation</w:t>
      </w:r>
      <w:r>
        <w:rPr>
          <w:spacing w:val="-10"/>
          <w:sz w:val="14"/>
        </w:rPr>
        <w:t> </w:t>
      </w:r>
      <w:r>
        <w:rPr>
          <w:sz w:val="14"/>
        </w:rPr>
        <w:t>in</w:t>
      </w:r>
      <w:r>
        <w:rPr>
          <w:spacing w:val="-8"/>
          <w:sz w:val="14"/>
        </w:rPr>
        <w:t> </w:t>
      </w:r>
      <w:r>
        <w:rPr>
          <w:sz w:val="14"/>
        </w:rPr>
        <w:t>2022/23,</w:t>
      </w:r>
      <w:r>
        <w:rPr>
          <w:spacing w:val="-9"/>
          <w:sz w:val="14"/>
        </w:rPr>
        <w:t> </w:t>
      </w:r>
      <w:r>
        <w:rPr>
          <w:sz w:val="14"/>
        </w:rPr>
        <w:t>and</w:t>
      </w:r>
      <w:r>
        <w:rPr>
          <w:spacing w:val="-9"/>
          <w:sz w:val="14"/>
        </w:rPr>
        <w:t> </w:t>
      </w:r>
      <w:r>
        <w:rPr>
          <w:sz w:val="14"/>
        </w:rPr>
        <w:t>the</w:t>
      </w:r>
      <w:r>
        <w:rPr>
          <w:spacing w:val="-8"/>
          <w:sz w:val="14"/>
        </w:rPr>
        <w:t> </w:t>
      </w:r>
      <w:r>
        <w:rPr>
          <w:sz w:val="14"/>
        </w:rPr>
        <w:t>government</w:t>
      </w:r>
      <w:r>
        <w:rPr>
          <w:spacing w:val="-12"/>
          <w:sz w:val="14"/>
        </w:rPr>
        <w:t> </w:t>
      </w:r>
      <w:r>
        <w:rPr>
          <w:sz w:val="14"/>
        </w:rPr>
        <w:t>implementation</w:t>
      </w:r>
      <w:r>
        <w:rPr>
          <w:spacing w:val="-8"/>
          <w:sz w:val="14"/>
        </w:rPr>
        <w:t> </w:t>
      </w:r>
      <w:r>
        <w:rPr>
          <w:sz w:val="14"/>
        </w:rPr>
        <w:t>date for IFRS 17 still subject to HM Treasury</w:t>
      </w:r>
      <w:r>
        <w:rPr>
          <w:spacing w:val="-29"/>
          <w:sz w:val="14"/>
        </w:rPr>
        <w:t> </w:t>
      </w:r>
      <w:r>
        <w:rPr>
          <w:sz w:val="14"/>
        </w:rPr>
        <w:t>consideration.</w:t>
      </w:r>
    </w:p>
    <w:p>
      <w:pPr>
        <w:spacing w:line="256" w:lineRule="auto" w:before="131"/>
        <w:ind w:left="703" w:right="604" w:firstLine="0"/>
        <w:jc w:val="left"/>
        <w:rPr>
          <w:sz w:val="14"/>
        </w:rPr>
      </w:pPr>
      <w:r>
        <w:rPr>
          <w:sz w:val="14"/>
        </w:rPr>
        <w:t>IFRS</w:t>
      </w:r>
      <w:r>
        <w:rPr>
          <w:spacing w:val="-8"/>
          <w:sz w:val="14"/>
        </w:rPr>
        <w:t> </w:t>
      </w:r>
      <w:r>
        <w:rPr>
          <w:sz w:val="14"/>
        </w:rPr>
        <w:t>16</w:t>
      </w:r>
      <w:r>
        <w:rPr>
          <w:spacing w:val="-6"/>
          <w:sz w:val="14"/>
        </w:rPr>
        <w:t> </w:t>
      </w:r>
      <w:r>
        <w:rPr>
          <w:sz w:val="14"/>
        </w:rPr>
        <w:t>Leases</w:t>
      </w:r>
      <w:r>
        <w:rPr>
          <w:spacing w:val="-6"/>
          <w:sz w:val="14"/>
        </w:rPr>
        <w:t> </w:t>
      </w:r>
      <w:r>
        <w:rPr>
          <w:sz w:val="14"/>
        </w:rPr>
        <w:t>will</w:t>
      </w:r>
      <w:r>
        <w:rPr>
          <w:spacing w:val="-8"/>
          <w:sz w:val="14"/>
        </w:rPr>
        <w:t> </w:t>
      </w:r>
      <w:r>
        <w:rPr>
          <w:sz w:val="14"/>
        </w:rPr>
        <w:t>replace</w:t>
      </w:r>
      <w:r>
        <w:rPr>
          <w:spacing w:val="-9"/>
          <w:sz w:val="14"/>
        </w:rPr>
        <w:t> </w:t>
      </w:r>
      <w:r>
        <w:rPr>
          <w:sz w:val="14"/>
        </w:rPr>
        <w:t>IAS</w:t>
      </w:r>
      <w:r>
        <w:rPr>
          <w:spacing w:val="-5"/>
          <w:sz w:val="14"/>
        </w:rPr>
        <w:t> </w:t>
      </w:r>
      <w:r>
        <w:rPr>
          <w:sz w:val="14"/>
        </w:rPr>
        <w:t>17</w:t>
      </w:r>
      <w:r>
        <w:rPr>
          <w:spacing w:val="-9"/>
          <w:sz w:val="14"/>
        </w:rPr>
        <w:t> </w:t>
      </w:r>
      <w:r>
        <w:rPr>
          <w:sz w:val="14"/>
        </w:rPr>
        <w:t>Leases,</w:t>
      </w:r>
      <w:r>
        <w:rPr>
          <w:spacing w:val="-8"/>
          <w:sz w:val="14"/>
        </w:rPr>
        <w:t> </w:t>
      </w:r>
      <w:r>
        <w:rPr>
          <w:sz w:val="14"/>
        </w:rPr>
        <w:t>IFRIC</w:t>
      </w:r>
      <w:r>
        <w:rPr>
          <w:spacing w:val="-9"/>
          <w:sz w:val="14"/>
        </w:rPr>
        <w:t> </w:t>
      </w:r>
      <w:r>
        <w:rPr>
          <w:sz w:val="14"/>
        </w:rPr>
        <w:t>4</w:t>
      </w:r>
      <w:r>
        <w:rPr>
          <w:spacing w:val="-8"/>
          <w:sz w:val="14"/>
        </w:rPr>
        <w:t> </w:t>
      </w:r>
      <w:r>
        <w:rPr>
          <w:sz w:val="14"/>
        </w:rPr>
        <w:t>Determining</w:t>
      </w:r>
      <w:r>
        <w:rPr>
          <w:spacing w:val="-8"/>
          <w:sz w:val="14"/>
        </w:rPr>
        <w:t> </w:t>
      </w:r>
      <w:r>
        <w:rPr>
          <w:sz w:val="14"/>
        </w:rPr>
        <w:t>whether</w:t>
      </w:r>
      <w:r>
        <w:rPr>
          <w:spacing w:val="-10"/>
          <w:sz w:val="14"/>
        </w:rPr>
        <w:t> </w:t>
      </w:r>
      <w:r>
        <w:rPr>
          <w:sz w:val="14"/>
        </w:rPr>
        <w:t>an</w:t>
      </w:r>
      <w:r>
        <w:rPr>
          <w:spacing w:val="-8"/>
          <w:sz w:val="14"/>
        </w:rPr>
        <w:t> </w:t>
      </w:r>
      <w:r>
        <w:rPr>
          <w:sz w:val="14"/>
        </w:rPr>
        <w:t>arrangement</w:t>
      </w:r>
      <w:r>
        <w:rPr>
          <w:spacing w:val="-11"/>
          <w:sz w:val="14"/>
        </w:rPr>
        <w:t> </w:t>
      </w:r>
      <w:r>
        <w:rPr>
          <w:sz w:val="14"/>
        </w:rPr>
        <w:t>contains</w:t>
      </w:r>
      <w:r>
        <w:rPr>
          <w:spacing w:val="-6"/>
          <w:sz w:val="14"/>
        </w:rPr>
        <w:t> </w:t>
      </w:r>
      <w:r>
        <w:rPr>
          <w:sz w:val="14"/>
        </w:rPr>
        <w:t>a</w:t>
      </w:r>
      <w:r>
        <w:rPr>
          <w:spacing w:val="-8"/>
          <w:sz w:val="14"/>
        </w:rPr>
        <w:t> </w:t>
      </w:r>
      <w:r>
        <w:rPr>
          <w:sz w:val="14"/>
        </w:rPr>
        <w:t>lease</w:t>
      </w:r>
      <w:r>
        <w:rPr>
          <w:spacing w:val="-9"/>
          <w:sz w:val="14"/>
        </w:rPr>
        <w:t> </w:t>
      </w:r>
      <w:r>
        <w:rPr>
          <w:sz w:val="14"/>
        </w:rPr>
        <w:t>and</w:t>
      </w:r>
      <w:r>
        <w:rPr>
          <w:spacing w:val="-8"/>
          <w:sz w:val="14"/>
        </w:rPr>
        <w:t> </w:t>
      </w:r>
      <w:r>
        <w:rPr>
          <w:sz w:val="14"/>
        </w:rPr>
        <w:t>other</w:t>
      </w:r>
      <w:r>
        <w:rPr>
          <w:spacing w:val="-9"/>
          <w:sz w:val="14"/>
        </w:rPr>
        <w:t> </w:t>
      </w:r>
      <w:r>
        <w:rPr>
          <w:sz w:val="14"/>
        </w:rPr>
        <w:t>interpretations</w:t>
      </w:r>
      <w:r>
        <w:rPr>
          <w:spacing w:val="-9"/>
          <w:sz w:val="14"/>
        </w:rPr>
        <w:t> </w:t>
      </w:r>
      <w:r>
        <w:rPr>
          <w:sz w:val="14"/>
        </w:rPr>
        <w:t>and</w:t>
      </w:r>
      <w:r>
        <w:rPr>
          <w:spacing w:val="-8"/>
          <w:sz w:val="14"/>
        </w:rPr>
        <w:t> </w:t>
      </w:r>
      <w:r>
        <w:rPr>
          <w:sz w:val="14"/>
        </w:rPr>
        <w:t>is</w:t>
      </w:r>
      <w:r>
        <w:rPr>
          <w:spacing w:val="-6"/>
          <w:sz w:val="14"/>
        </w:rPr>
        <w:t> </w:t>
      </w:r>
      <w:r>
        <w:rPr>
          <w:sz w:val="14"/>
        </w:rPr>
        <w:t>applicable</w:t>
      </w:r>
      <w:r>
        <w:rPr>
          <w:spacing w:val="-11"/>
          <w:sz w:val="14"/>
        </w:rPr>
        <w:t> </w:t>
      </w:r>
      <w:r>
        <w:rPr>
          <w:sz w:val="14"/>
        </w:rPr>
        <w:t>in the public sector for periods beginning 1 April 2022. The standard provides a single accounting model for lessees, recognising a right of use asset and obligation</w:t>
      </w:r>
      <w:r>
        <w:rPr>
          <w:spacing w:val="-12"/>
          <w:sz w:val="14"/>
        </w:rPr>
        <w:t> </w:t>
      </w:r>
      <w:r>
        <w:rPr>
          <w:sz w:val="14"/>
        </w:rPr>
        <w:t>in</w:t>
      </w:r>
      <w:r>
        <w:rPr>
          <w:spacing w:val="-8"/>
          <w:sz w:val="14"/>
        </w:rPr>
        <w:t> </w:t>
      </w:r>
      <w:r>
        <w:rPr>
          <w:sz w:val="14"/>
        </w:rPr>
        <w:t>the</w:t>
      </w:r>
      <w:r>
        <w:rPr>
          <w:spacing w:val="-12"/>
          <w:sz w:val="14"/>
        </w:rPr>
        <w:t> </w:t>
      </w:r>
      <w:r>
        <w:rPr>
          <w:sz w:val="14"/>
        </w:rPr>
        <w:t>statement</w:t>
      </w:r>
      <w:r>
        <w:rPr>
          <w:spacing w:val="-8"/>
          <w:sz w:val="14"/>
        </w:rPr>
        <w:t> </w:t>
      </w:r>
      <w:r>
        <w:rPr>
          <w:sz w:val="14"/>
        </w:rPr>
        <w:t>of</w:t>
      </w:r>
      <w:r>
        <w:rPr>
          <w:spacing w:val="-9"/>
          <w:sz w:val="14"/>
        </w:rPr>
        <w:t> </w:t>
      </w:r>
      <w:r>
        <w:rPr>
          <w:sz w:val="14"/>
        </w:rPr>
        <w:t>financial</w:t>
      </w:r>
      <w:r>
        <w:rPr>
          <w:spacing w:val="-8"/>
          <w:sz w:val="14"/>
        </w:rPr>
        <w:t> </w:t>
      </w:r>
      <w:r>
        <w:rPr>
          <w:sz w:val="14"/>
        </w:rPr>
        <w:t>position</w:t>
      </w:r>
      <w:r>
        <w:rPr>
          <w:spacing w:val="-9"/>
          <w:sz w:val="14"/>
        </w:rPr>
        <w:t> </w:t>
      </w:r>
      <w:r>
        <w:rPr>
          <w:sz w:val="14"/>
        </w:rPr>
        <w:t>for</w:t>
      </w:r>
      <w:r>
        <w:rPr>
          <w:spacing w:val="-11"/>
          <w:sz w:val="14"/>
        </w:rPr>
        <w:t> </w:t>
      </w:r>
      <w:r>
        <w:rPr>
          <w:sz w:val="14"/>
        </w:rPr>
        <w:t>most</w:t>
      </w:r>
      <w:r>
        <w:rPr>
          <w:spacing w:val="-11"/>
          <w:sz w:val="14"/>
        </w:rPr>
        <w:t> </w:t>
      </w:r>
      <w:r>
        <w:rPr>
          <w:sz w:val="14"/>
        </w:rPr>
        <w:t>leases:</w:t>
      </w:r>
      <w:r>
        <w:rPr>
          <w:spacing w:val="-8"/>
          <w:sz w:val="14"/>
        </w:rPr>
        <w:t> </w:t>
      </w:r>
      <w:r>
        <w:rPr>
          <w:sz w:val="14"/>
        </w:rPr>
        <w:t>some</w:t>
      </w:r>
      <w:r>
        <w:rPr>
          <w:spacing w:val="-9"/>
          <w:sz w:val="14"/>
        </w:rPr>
        <w:t> </w:t>
      </w:r>
      <w:r>
        <w:rPr>
          <w:sz w:val="14"/>
        </w:rPr>
        <w:t>leases</w:t>
      </w:r>
      <w:r>
        <w:rPr>
          <w:spacing w:val="-6"/>
          <w:sz w:val="14"/>
        </w:rPr>
        <w:t> </w:t>
      </w:r>
      <w:r>
        <w:rPr>
          <w:sz w:val="14"/>
        </w:rPr>
        <w:t>are</w:t>
      </w:r>
      <w:r>
        <w:rPr>
          <w:spacing w:val="-11"/>
          <w:sz w:val="14"/>
        </w:rPr>
        <w:t> </w:t>
      </w:r>
      <w:r>
        <w:rPr>
          <w:sz w:val="14"/>
        </w:rPr>
        <w:t>exempt</w:t>
      </w:r>
      <w:r>
        <w:rPr>
          <w:spacing w:val="-8"/>
          <w:sz w:val="14"/>
        </w:rPr>
        <w:t> </w:t>
      </w:r>
      <w:r>
        <w:rPr>
          <w:sz w:val="14"/>
        </w:rPr>
        <w:t>through</w:t>
      </w:r>
      <w:r>
        <w:rPr>
          <w:spacing w:val="-9"/>
          <w:sz w:val="14"/>
        </w:rPr>
        <w:t> </w:t>
      </w:r>
      <w:r>
        <w:rPr>
          <w:sz w:val="14"/>
        </w:rPr>
        <w:t>application</w:t>
      </w:r>
      <w:r>
        <w:rPr>
          <w:spacing w:val="-9"/>
          <w:sz w:val="14"/>
        </w:rPr>
        <w:t> </w:t>
      </w:r>
      <w:r>
        <w:rPr>
          <w:sz w:val="14"/>
        </w:rPr>
        <w:t>of</w:t>
      </w:r>
      <w:r>
        <w:rPr>
          <w:spacing w:val="-6"/>
          <w:sz w:val="14"/>
        </w:rPr>
        <w:t> </w:t>
      </w:r>
      <w:r>
        <w:rPr>
          <w:sz w:val="14"/>
        </w:rPr>
        <w:t>practical</w:t>
      </w:r>
      <w:r>
        <w:rPr>
          <w:spacing w:val="-11"/>
          <w:sz w:val="14"/>
        </w:rPr>
        <w:t> </w:t>
      </w:r>
      <w:r>
        <w:rPr>
          <w:sz w:val="14"/>
        </w:rPr>
        <w:t>expedients</w:t>
      </w:r>
      <w:r>
        <w:rPr>
          <w:spacing w:val="-8"/>
          <w:sz w:val="14"/>
        </w:rPr>
        <w:t> </w:t>
      </w:r>
      <w:r>
        <w:rPr>
          <w:sz w:val="14"/>
        </w:rPr>
        <w:t>explained</w:t>
      </w:r>
      <w:r>
        <w:rPr>
          <w:spacing w:val="-10"/>
          <w:sz w:val="14"/>
        </w:rPr>
        <w:t> </w:t>
      </w:r>
      <w:r>
        <w:rPr>
          <w:sz w:val="14"/>
        </w:rPr>
        <w:t>below.</w:t>
      </w:r>
      <w:r>
        <w:rPr>
          <w:spacing w:val="-7"/>
          <w:sz w:val="14"/>
        </w:rPr>
        <w:t> </w:t>
      </w:r>
      <w:r>
        <w:rPr>
          <w:sz w:val="14"/>
        </w:rPr>
        <w:t>For those</w:t>
      </w:r>
      <w:r>
        <w:rPr>
          <w:spacing w:val="-12"/>
          <w:sz w:val="14"/>
        </w:rPr>
        <w:t> </w:t>
      </w:r>
      <w:r>
        <w:rPr>
          <w:sz w:val="14"/>
        </w:rPr>
        <w:t>recognised</w:t>
      </w:r>
      <w:r>
        <w:rPr>
          <w:spacing w:val="-9"/>
          <w:sz w:val="14"/>
        </w:rPr>
        <w:t> </w:t>
      </w:r>
      <w:r>
        <w:rPr>
          <w:sz w:val="14"/>
        </w:rPr>
        <w:t>in</w:t>
      </w:r>
      <w:r>
        <w:rPr>
          <w:spacing w:val="-11"/>
          <w:sz w:val="14"/>
        </w:rPr>
        <w:t> </w:t>
      </w:r>
      <w:r>
        <w:rPr>
          <w:sz w:val="14"/>
        </w:rPr>
        <w:t>the</w:t>
      </w:r>
      <w:r>
        <w:rPr>
          <w:spacing w:val="-9"/>
          <w:sz w:val="14"/>
        </w:rPr>
        <w:t> </w:t>
      </w:r>
      <w:r>
        <w:rPr>
          <w:sz w:val="14"/>
        </w:rPr>
        <w:t>statement</w:t>
      </w:r>
      <w:r>
        <w:rPr>
          <w:spacing w:val="-8"/>
          <w:sz w:val="14"/>
        </w:rPr>
        <w:t> </w:t>
      </w:r>
      <w:r>
        <w:rPr>
          <w:sz w:val="14"/>
        </w:rPr>
        <w:t>of</w:t>
      </w:r>
      <w:r>
        <w:rPr>
          <w:spacing w:val="-8"/>
          <w:sz w:val="14"/>
        </w:rPr>
        <w:t> </w:t>
      </w:r>
      <w:r>
        <w:rPr>
          <w:sz w:val="14"/>
        </w:rPr>
        <w:t>financial</w:t>
      </w:r>
      <w:r>
        <w:rPr>
          <w:spacing w:val="-6"/>
          <w:sz w:val="14"/>
        </w:rPr>
        <w:t> </w:t>
      </w:r>
      <w:r>
        <w:rPr>
          <w:sz w:val="14"/>
        </w:rPr>
        <w:t>position</w:t>
      </w:r>
      <w:r>
        <w:rPr>
          <w:spacing w:val="-8"/>
          <w:sz w:val="14"/>
        </w:rPr>
        <w:t> </w:t>
      </w:r>
      <w:r>
        <w:rPr>
          <w:sz w:val="14"/>
        </w:rPr>
        <w:t>the</w:t>
      </w:r>
      <w:r>
        <w:rPr>
          <w:spacing w:val="-9"/>
          <w:sz w:val="14"/>
        </w:rPr>
        <w:t> </w:t>
      </w:r>
      <w:r>
        <w:rPr>
          <w:sz w:val="14"/>
        </w:rPr>
        <w:t>standard</w:t>
      </w:r>
      <w:r>
        <w:rPr>
          <w:spacing w:val="-9"/>
          <w:sz w:val="14"/>
        </w:rPr>
        <w:t> </w:t>
      </w:r>
      <w:r>
        <w:rPr>
          <w:sz w:val="14"/>
        </w:rPr>
        <w:t>also</w:t>
      </w:r>
      <w:r>
        <w:rPr>
          <w:spacing w:val="-8"/>
          <w:sz w:val="14"/>
        </w:rPr>
        <w:t> </w:t>
      </w:r>
      <w:r>
        <w:rPr>
          <w:sz w:val="14"/>
        </w:rPr>
        <w:t>requires</w:t>
      </w:r>
      <w:r>
        <w:rPr>
          <w:spacing w:val="-11"/>
          <w:sz w:val="14"/>
        </w:rPr>
        <w:t> </w:t>
      </w:r>
      <w:r>
        <w:rPr>
          <w:sz w:val="14"/>
        </w:rPr>
        <w:t>the</w:t>
      </w:r>
      <w:r>
        <w:rPr>
          <w:spacing w:val="-8"/>
          <w:sz w:val="14"/>
        </w:rPr>
        <w:t> </w:t>
      </w:r>
      <w:r>
        <w:rPr>
          <w:sz w:val="14"/>
        </w:rPr>
        <w:t>remeasurement</w:t>
      </w:r>
      <w:r>
        <w:rPr>
          <w:spacing w:val="-8"/>
          <w:sz w:val="14"/>
        </w:rPr>
        <w:t> </w:t>
      </w:r>
      <w:r>
        <w:rPr>
          <w:sz w:val="14"/>
        </w:rPr>
        <w:t>of</w:t>
      </w:r>
      <w:r>
        <w:rPr>
          <w:spacing w:val="-11"/>
          <w:sz w:val="14"/>
        </w:rPr>
        <w:t> </w:t>
      </w:r>
      <w:r>
        <w:rPr>
          <w:sz w:val="14"/>
        </w:rPr>
        <w:t>lease</w:t>
      </w:r>
      <w:r>
        <w:rPr>
          <w:spacing w:val="-11"/>
          <w:sz w:val="14"/>
        </w:rPr>
        <w:t> </w:t>
      </w:r>
      <w:r>
        <w:rPr>
          <w:sz w:val="14"/>
        </w:rPr>
        <w:t>liabilities</w:t>
      </w:r>
      <w:r>
        <w:rPr>
          <w:spacing w:val="-8"/>
          <w:sz w:val="14"/>
        </w:rPr>
        <w:t> </w:t>
      </w:r>
      <w:r>
        <w:rPr>
          <w:sz w:val="14"/>
        </w:rPr>
        <w:t>in</w:t>
      </w:r>
      <w:r>
        <w:rPr>
          <w:spacing w:val="-11"/>
          <w:sz w:val="14"/>
        </w:rPr>
        <w:t> </w:t>
      </w:r>
      <w:r>
        <w:rPr>
          <w:sz w:val="14"/>
        </w:rPr>
        <w:t>specific</w:t>
      </w:r>
      <w:r>
        <w:rPr>
          <w:spacing w:val="-9"/>
          <w:sz w:val="14"/>
        </w:rPr>
        <w:t> </w:t>
      </w:r>
      <w:r>
        <w:rPr>
          <w:sz w:val="14"/>
        </w:rPr>
        <w:t>circumstances</w:t>
      </w:r>
      <w:r>
        <w:rPr>
          <w:spacing w:val="-8"/>
          <w:sz w:val="14"/>
        </w:rPr>
        <w:t> </w:t>
      </w:r>
      <w:r>
        <w:rPr>
          <w:sz w:val="14"/>
        </w:rPr>
        <w:t>after</w:t>
      </w:r>
      <w:r>
        <w:rPr>
          <w:spacing w:val="-9"/>
          <w:sz w:val="14"/>
        </w:rPr>
        <w:t> </w:t>
      </w:r>
      <w:r>
        <w:rPr>
          <w:sz w:val="14"/>
        </w:rPr>
        <w:t>the commencement of the lease term. For lessors, the distinction between operating and finance leases will remain and the accounting will be largely unchanged</w:t>
      </w:r>
    </w:p>
    <w:p>
      <w:pPr>
        <w:spacing w:after="0" w:line="256" w:lineRule="auto"/>
        <w:jc w:val="left"/>
        <w:rPr>
          <w:sz w:val="14"/>
        </w:rPr>
        <w:sectPr>
          <w:pgSz w:w="11920" w:h="16850"/>
          <w:pgMar w:header="0" w:footer="407" w:top="1000" w:bottom="640" w:left="740" w:right="520"/>
        </w:sectPr>
      </w:pPr>
    </w:p>
    <w:p>
      <w:pPr>
        <w:spacing w:before="75"/>
        <w:ind w:left="318" w:right="0" w:firstLine="0"/>
        <w:jc w:val="left"/>
        <w:rPr>
          <w:sz w:val="14"/>
        </w:rPr>
      </w:pPr>
      <w:r>
        <w:rPr>
          <w:sz w:val="14"/>
        </w:rPr>
        <w:t>NHS North Lincolnshire CCG - Annual Accounts 2021-22</w:t>
      </w:r>
    </w:p>
    <w:p>
      <w:pPr>
        <w:pStyle w:val="BodyText"/>
        <w:rPr>
          <w:sz w:val="16"/>
        </w:rPr>
      </w:pPr>
    </w:p>
    <w:p>
      <w:pPr>
        <w:spacing w:before="0"/>
        <w:ind w:left="318" w:right="0" w:firstLine="0"/>
        <w:jc w:val="left"/>
        <w:rPr>
          <w:b/>
          <w:sz w:val="14"/>
        </w:rPr>
      </w:pPr>
      <w:r>
        <w:rPr>
          <w:b/>
          <w:sz w:val="14"/>
        </w:rPr>
        <w:t>Notes to the financial statements</w:t>
      </w:r>
    </w:p>
    <w:p>
      <w:pPr>
        <w:pStyle w:val="BodyText"/>
        <w:spacing w:before="3"/>
        <w:rPr>
          <w:b/>
          <w:sz w:val="16"/>
        </w:rPr>
      </w:pPr>
    </w:p>
    <w:p>
      <w:pPr>
        <w:spacing w:line="254" w:lineRule="auto" w:before="0"/>
        <w:ind w:left="704" w:right="604" w:firstLine="0"/>
        <w:jc w:val="left"/>
        <w:rPr>
          <w:sz w:val="14"/>
        </w:rPr>
      </w:pPr>
      <w:r>
        <w:rPr>
          <w:sz w:val="14"/>
        </w:rPr>
        <w:t>IFRS</w:t>
      </w:r>
      <w:r>
        <w:rPr>
          <w:spacing w:val="-8"/>
          <w:sz w:val="14"/>
        </w:rPr>
        <w:t> </w:t>
      </w:r>
      <w:r>
        <w:rPr>
          <w:sz w:val="14"/>
        </w:rPr>
        <w:t>16</w:t>
      </w:r>
      <w:r>
        <w:rPr>
          <w:spacing w:val="-8"/>
          <w:sz w:val="14"/>
        </w:rPr>
        <w:t> </w:t>
      </w:r>
      <w:r>
        <w:rPr>
          <w:sz w:val="14"/>
        </w:rPr>
        <w:t>changes</w:t>
      </w:r>
      <w:r>
        <w:rPr>
          <w:spacing w:val="-6"/>
          <w:sz w:val="14"/>
        </w:rPr>
        <w:t> </w:t>
      </w:r>
      <w:r>
        <w:rPr>
          <w:sz w:val="14"/>
        </w:rPr>
        <w:t>the</w:t>
      </w:r>
      <w:r>
        <w:rPr>
          <w:spacing w:val="-8"/>
          <w:sz w:val="14"/>
        </w:rPr>
        <w:t> </w:t>
      </w:r>
      <w:r>
        <w:rPr>
          <w:sz w:val="14"/>
        </w:rPr>
        <w:t>definition</w:t>
      </w:r>
      <w:r>
        <w:rPr>
          <w:spacing w:val="-6"/>
          <w:sz w:val="14"/>
        </w:rPr>
        <w:t> </w:t>
      </w:r>
      <w:r>
        <w:rPr>
          <w:sz w:val="14"/>
        </w:rPr>
        <w:t>of</w:t>
      </w:r>
      <w:r>
        <w:rPr>
          <w:spacing w:val="-9"/>
          <w:sz w:val="14"/>
        </w:rPr>
        <w:t> </w:t>
      </w:r>
      <w:r>
        <w:rPr>
          <w:sz w:val="14"/>
        </w:rPr>
        <w:t>a</w:t>
      </w:r>
      <w:r>
        <w:rPr>
          <w:spacing w:val="-6"/>
          <w:sz w:val="14"/>
        </w:rPr>
        <w:t> </w:t>
      </w:r>
      <w:r>
        <w:rPr>
          <w:sz w:val="14"/>
        </w:rPr>
        <w:t>lease</w:t>
      </w:r>
      <w:r>
        <w:rPr>
          <w:spacing w:val="-8"/>
          <w:sz w:val="14"/>
        </w:rPr>
        <w:t> </w:t>
      </w:r>
      <w:r>
        <w:rPr>
          <w:sz w:val="14"/>
        </w:rPr>
        <w:t>compared</w:t>
      </w:r>
      <w:r>
        <w:rPr>
          <w:spacing w:val="-8"/>
          <w:sz w:val="14"/>
        </w:rPr>
        <w:t> </w:t>
      </w:r>
      <w:r>
        <w:rPr>
          <w:sz w:val="14"/>
        </w:rPr>
        <w:t>to</w:t>
      </w:r>
      <w:r>
        <w:rPr>
          <w:spacing w:val="-8"/>
          <w:sz w:val="14"/>
        </w:rPr>
        <w:t> </w:t>
      </w:r>
      <w:r>
        <w:rPr>
          <w:sz w:val="14"/>
        </w:rPr>
        <w:t>IAS</w:t>
      </w:r>
      <w:r>
        <w:rPr>
          <w:spacing w:val="-6"/>
          <w:sz w:val="14"/>
        </w:rPr>
        <w:t> </w:t>
      </w:r>
      <w:r>
        <w:rPr>
          <w:sz w:val="14"/>
        </w:rPr>
        <w:t>17</w:t>
      </w:r>
      <w:r>
        <w:rPr>
          <w:spacing w:val="-6"/>
          <w:sz w:val="14"/>
        </w:rPr>
        <w:t> </w:t>
      </w:r>
      <w:r>
        <w:rPr>
          <w:sz w:val="14"/>
        </w:rPr>
        <w:t>and</w:t>
      </w:r>
      <w:r>
        <w:rPr>
          <w:spacing w:val="-6"/>
          <w:sz w:val="14"/>
        </w:rPr>
        <w:t> </w:t>
      </w:r>
      <w:r>
        <w:rPr>
          <w:sz w:val="14"/>
        </w:rPr>
        <w:t>IFRIC</w:t>
      </w:r>
      <w:r>
        <w:rPr>
          <w:spacing w:val="-8"/>
          <w:sz w:val="14"/>
        </w:rPr>
        <w:t> </w:t>
      </w:r>
      <w:r>
        <w:rPr>
          <w:sz w:val="14"/>
        </w:rPr>
        <w:t>4.</w:t>
      </w:r>
      <w:r>
        <w:rPr>
          <w:spacing w:val="-8"/>
          <w:sz w:val="14"/>
        </w:rPr>
        <w:t> </w:t>
      </w:r>
      <w:r>
        <w:rPr>
          <w:sz w:val="14"/>
        </w:rPr>
        <w:t>The</w:t>
      </w:r>
      <w:r>
        <w:rPr>
          <w:spacing w:val="-8"/>
          <w:sz w:val="14"/>
        </w:rPr>
        <w:t> </w:t>
      </w:r>
      <w:r>
        <w:rPr>
          <w:sz w:val="14"/>
        </w:rPr>
        <w:t>clinical</w:t>
      </w:r>
      <w:r>
        <w:rPr>
          <w:spacing w:val="-8"/>
          <w:sz w:val="14"/>
        </w:rPr>
        <w:t> </w:t>
      </w:r>
      <w:r>
        <w:rPr>
          <w:sz w:val="14"/>
        </w:rPr>
        <w:t>commissioning</w:t>
      </w:r>
      <w:r>
        <w:rPr>
          <w:spacing w:val="-9"/>
          <w:sz w:val="14"/>
        </w:rPr>
        <w:t> </w:t>
      </w:r>
      <w:r>
        <w:rPr>
          <w:sz w:val="14"/>
        </w:rPr>
        <w:t>group</w:t>
      </w:r>
      <w:r>
        <w:rPr>
          <w:spacing w:val="-8"/>
          <w:sz w:val="14"/>
        </w:rPr>
        <w:t> </w:t>
      </w:r>
      <w:r>
        <w:rPr>
          <w:sz w:val="14"/>
        </w:rPr>
        <w:t>will</w:t>
      </w:r>
      <w:r>
        <w:rPr>
          <w:spacing w:val="-5"/>
          <w:sz w:val="14"/>
        </w:rPr>
        <w:t> </w:t>
      </w:r>
      <w:r>
        <w:rPr>
          <w:sz w:val="14"/>
        </w:rPr>
        <w:t>apply</w:t>
      </w:r>
      <w:r>
        <w:rPr>
          <w:spacing w:val="-10"/>
          <w:sz w:val="14"/>
        </w:rPr>
        <w:t> </w:t>
      </w:r>
      <w:r>
        <w:rPr>
          <w:sz w:val="14"/>
        </w:rPr>
        <w:t>this</w:t>
      </w:r>
      <w:r>
        <w:rPr>
          <w:spacing w:val="-8"/>
          <w:sz w:val="14"/>
        </w:rPr>
        <w:t> </w:t>
      </w:r>
      <w:r>
        <w:rPr>
          <w:sz w:val="14"/>
        </w:rPr>
        <w:t>definition</w:t>
      </w:r>
      <w:r>
        <w:rPr>
          <w:spacing w:val="-9"/>
          <w:sz w:val="14"/>
        </w:rPr>
        <w:t> </w:t>
      </w:r>
      <w:r>
        <w:rPr>
          <w:sz w:val="14"/>
        </w:rPr>
        <w:t>to</w:t>
      </w:r>
      <w:r>
        <w:rPr>
          <w:spacing w:val="-7"/>
          <w:sz w:val="14"/>
        </w:rPr>
        <w:t> </w:t>
      </w:r>
      <w:r>
        <w:rPr>
          <w:sz w:val="14"/>
        </w:rPr>
        <w:t>new</w:t>
      </w:r>
      <w:r>
        <w:rPr>
          <w:spacing w:val="-10"/>
          <w:sz w:val="14"/>
        </w:rPr>
        <w:t> </w:t>
      </w:r>
      <w:r>
        <w:rPr>
          <w:sz w:val="14"/>
        </w:rPr>
        <w:t>leases</w:t>
      </w:r>
      <w:r>
        <w:rPr>
          <w:spacing w:val="-5"/>
          <w:sz w:val="14"/>
        </w:rPr>
        <w:t> </w:t>
      </w:r>
      <w:r>
        <w:rPr>
          <w:sz w:val="14"/>
        </w:rPr>
        <w:t>only and</w:t>
      </w:r>
      <w:r>
        <w:rPr>
          <w:spacing w:val="-5"/>
          <w:sz w:val="14"/>
        </w:rPr>
        <w:t> </w:t>
      </w:r>
      <w:r>
        <w:rPr>
          <w:sz w:val="14"/>
        </w:rPr>
        <w:t>will</w:t>
      </w:r>
      <w:r>
        <w:rPr>
          <w:spacing w:val="-2"/>
          <w:sz w:val="14"/>
        </w:rPr>
        <w:t> </w:t>
      </w:r>
      <w:r>
        <w:rPr>
          <w:sz w:val="14"/>
        </w:rPr>
        <w:t>grandfather</w:t>
      </w:r>
      <w:r>
        <w:rPr>
          <w:spacing w:val="-4"/>
          <w:sz w:val="14"/>
        </w:rPr>
        <w:t> </w:t>
      </w:r>
      <w:r>
        <w:rPr>
          <w:sz w:val="14"/>
        </w:rPr>
        <w:t>its</w:t>
      </w:r>
      <w:r>
        <w:rPr>
          <w:spacing w:val="-2"/>
          <w:sz w:val="14"/>
        </w:rPr>
        <w:t> </w:t>
      </w:r>
      <w:r>
        <w:rPr>
          <w:sz w:val="14"/>
        </w:rPr>
        <w:t>assessments</w:t>
      </w:r>
      <w:r>
        <w:rPr>
          <w:spacing w:val="-2"/>
          <w:sz w:val="14"/>
        </w:rPr>
        <w:t> </w:t>
      </w:r>
      <w:r>
        <w:rPr>
          <w:sz w:val="14"/>
        </w:rPr>
        <w:t>made</w:t>
      </w:r>
      <w:r>
        <w:rPr>
          <w:spacing w:val="-2"/>
          <w:sz w:val="14"/>
        </w:rPr>
        <w:t> </w:t>
      </w:r>
      <w:r>
        <w:rPr>
          <w:sz w:val="14"/>
        </w:rPr>
        <w:t>under</w:t>
      </w:r>
      <w:r>
        <w:rPr>
          <w:spacing w:val="-3"/>
          <w:sz w:val="14"/>
        </w:rPr>
        <w:t> </w:t>
      </w:r>
      <w:r>
        <w:rPr>
          <w:sz w:val="14"/>
        </w:rPr>
        <w:t>the</w:t>
      </w:r>
      <w:r>
        <w:rPr>
          <w:spacing w:val="-4"/>
          <w:sz w:val="14"/>
        </w:rPr>
        <w:t> </w:t>
      </w:r>
      <w:r>
        <w:rPr>
          <w:sz w:val="14"/>
        </w:rPr>
        <w:t>old</w:t>
      </w:r>
      <w:r>
        <w:rPr>
          <w:spacing w:val="-5"/>
          <w:sz w:val="14"/>
        </w:rPr>
        <w:t> </w:t>
      </w:r>
      <w:r>
        <w:rPr>
          <w:sz w:val="14"/>
        </w:rPr>
        <w:t>standards</w:t>
      </w:r>
      <w:r>
        <w:rPr>
          <w:spacing w:val="-2"/>
          <w:sz w:val="14"/>
        </w:rPr>
        <w:t> </w:t>
      </w:r>
      <w:r>
        <w:rPr>
          <w:sz w:val="14"/>
        </w:rPr>
        <w:t>of</w:t>
      </w:r>
      <w:r>
        <w:rPr>
          <w:spacing w:val="-4"/>
          <w:sz w:val="14"/>
        </w:rPr>
        <w:t> </w:t>
      </w:r>
      <w:r>
        <w:rPr>
          <w:sz w:val="14"/>
        </w:rPr>
        <w:t>whether</w:t>
      </w:r>
      <w:r>
        <w:rPr>
          <w:spacing w:val="-3"/>
          <w:sz w:val="14"/>
        </w:rPr>
        <w:t> </w:t>
      </w:r>
      <w:r>
        <w:rPr>
          <w:sz w:val="14"/>
        </w:rPr>
        <w:t>existing</w:t>
      </w:r>
      <w:r>
        <w:rPr>
          <w:spacing w:val="-4"/>
          <w:sz w:val="14"/>
        </w:rPr>
        <w:t> </w:t>
      </w:r>
      <w:r>
        <w:rPr>
          <w:sz w:val="14"/>
        </w:rPr>
        <w:t>contracts</w:t>
      </w:r>
      <w:r>
        <w:rPr>
          <w:spacing w:val="-2"/>
          <w:sz w:val="14"/>
        </w:rPr>
        <w:t> </w:t>
      </w:r>
      <w:r>
        <w:rPr>
          <w:sz w:val="14"/>
        </w:rPr>
        <w:t>contain</w:t>
      </w:r>
      <w:r>
        <w:rPr>
          <w:spacing w:val="-5"/>
          <w:sz w:val="14"/>
        </w:rPr>
        <w:t> </w:t>
      </w:r>
      <w:r>
        <w:rPr>
          <w:sz w:val="14"/>
        </w:rPr>
        <w:t>a</w:t>
      </w:r>
      <w:r>
        <w:rPr>
          <w:spacing w:val="-4"/>
          <w:sz w:val="14"/>
        </w:rPr>
        <w:t> </w:t>
      </w:r>
      <w:r>
        <w:rPr>
          <w:sz w:val="14"/>
        </w:rPr>
        <w:t>lease.</w:t>
      </w:r>
    </w:p>
    <w:p>
      <w:pPr>
        <w:pStyle w:val="BodyText"/>
        <w:spacing w:before="6"/>
        <w:rPr>
          <w:sz w:val="13"/>
        </w:rPr>
      </w:pPr>
    </w:p>
    <w:p>
      <w:pPr>
        <w:spacing w:line="256" w:lineRule="auto" w:before="0"/>
        <w:ind w:left="703" w:right="660" w:firstLine="0"/>
        <w:jc w:val="left"/>
        <w:rPr>
          <w:sz w:val="14"/>
        </w:rPr>
      </w:pPr>
      <w:r>
        <w:rPr>
          <w:sz w:val="14"/>
        </w:rPr>
        <w:t>On transition to IFRS 16 on 1 April 2022, the clinical commissioning group will apply the standard retrospectively without restatement and with the cumulative effect of initially applying the standard recognised in the income and expenditure reserve at that date. For existing operating leases with a remaining lease term of more than 12 months and an underlying asset value of at least £5,000, a lease liability will be recognised equal to the value of remaining</w:t>
      </w:r>
      <w:r>
        <w:rPr>
          <w:spacing w:val="-12"/>
          <w:sz w:val="14"/>
        </w:rPr>
        <w:t> </w:t>
      </w:r>
      <w:r>
        <w:rPr>
          <w:sz w:val="14"/>
        </w:rPr>
        <w:t>lease</w:t>
      </w:r>
      <w:r>
        <w:rPr>
          <w:spacing w:val="-11"/>
          <w:sz w:val="14"/>
        </w:rPr>
        <w:t> </w:t>
      </w:r>
      <w:r>
        <w:rPr>
          <w:sz w:val="14"/>
        </w:rPr>
        <w:t>payments</w:t>
      </w:r>
      <w:r>
        <w:rPr>
          <w:spacing w:val="-11"/>
          <w:sz w:val="14"/>
        </w:rPr>
        <w:t> </w:t>
      </w:r>
      <w:r>
        <w:rPr>
          <w:sz w:val="14"/>
        </w:rPr>
        <w:t>discounted</w:t>
      </w:r>
      <w:r>
        <w:rPr>
          <w:spacing w:val="-9"/>
          <w:sz w:val="14"/>
        </w:rPr>
        <w:t> </w:t>
      </w:r>
      <w:r>
        <w:rPr>
          <w:sz w:val="14"/>
        </w:rPr>
        <w:t>on</w:t>
      </w:r>
      <w:r>
        <w:rPr>
          <w:spacing w:val="-12"/>
          <w:sz w:val="14"/>
        </w:rPr>
        <w:t> </w:t>
      </w:r>
      <w:r>
        <w:rPr>
          <w:sz w:val="14"/>
        </w:rPr>
        <w:t>transition</w:t>
      </w:r>
      <w:r>
        <w:rPr>
          <w:spacing w:val="-9"/>
          <w:sz w:val="14"/>
        </w:rPr>
        <w:t> </w:t>
      </w:r>
      <w:r>
        <w:rPr>
          <w:sz w:val="14"/>
        </w:rPr>
        <w:t>at</w:t>
      </w:r>
      <w:r>
        <w:rPr>
          <w:spacing w:val="-9"/>
          <w:sz w:val="14"/>
        </w:rPr>
        <w:t> </w:t>
      </w:r>
      <w:r>
        <w:rPr>
          <w:sz w:val="14"/>
        </w:rPr>
        <w:t>the</w:t>
      </w:r>
      <w:r>
        <w:rPr>
          <w:spacing w:val="-11"/>
          <w:sz w:val="14"/>
        </w:rPr>
        <w:t> </w:t>
      </w:r>
      <w:r>
        <w:rPr>
          <w:sz w:val="14"/>
        </w:rPr>
        <w:t>clinical</w:t>
      </w:r>
      <w:r>
        <w:rPr>
          <w:spacing w:val="-9"/>
          <w:sz w:val="14"/>
        </w:rPr>
        <w:t> </w:t>
      </w:r>
      <w:r>
        <w:rPr>
          <w:sz w:val="14"/>
        </w:rPr>
        <w:t>commissioning</w:t>
      </w:r>
      <w:r>
        <w:rPr>
          <w:spacing w:val="-11"/>
          <w:sz w:val="14"/>
        </w:rPr>
        <w:t> </w:t>
      </w:r>
      <w:r>
        <w:rPr>
          <w:sz w:val="14"/>
        </w:rPr>
        <w:t>group’s</w:t>
      </w:r>
      <w:r>
        <w:rPr>
          <w:spacing w:val="-11"/>
          <w:sz w:val="14"/>
        </w:rPr>
        <w:t> </w:t>
      </w:r>
      <w:r>
        <w:rPr>
          <w:sz w:val="14"/>
        </w:rPr>
        <w:t>incremental</w:t>
      </w:r>
      <w:r>
        <w:rPr>
          <w:spacing w:val="-8"/>
          <w:sz w:val="14"/>
        </w:rPr>
        <w:t> </w:t>
      </w:r>
      <w:r>
        <w:rPr>
          <w:sz w:val="14"/>
        </w:rPr>
        <w:t>borrowing</w:t>
      </w:r>
      <w:r>
        <w:rPr>
          <w:spacing w:val="-12"/>
          <w:sz w:val="14"/>
        </w:rPr>
        <w:t> </w:t>
      </w:r>
      <w:r>
        <w:rPr>
          <w:sz w:val="14"/>
        </w:rPr>
        <w:t>rate.</w:t>
      </w:r>
      <w:r>
        <w:rPr>
          <w:spacing w:val="-11"/>
          <w:sz w:val="14"/>
        </w:rPr>
        <w:t> </w:t>
      </w:r>
      <w:r>
        <w:rPr>
          <w:sz w:val="14"/>
        </w:rPr>
        <w:t>The</w:t>
      </w:r>
      <w:r>
        <w:rPr>
          <w:spacing w:val="-11"/>
          <w:sz w:val="14"/>
        </w:rPr>
        <w:t> </w:t>
      </w:r>
      <w:r>
        <w:rPr>
          <w:sz w:val="14"/>
        </w:rPr>
        <w:t>clinical</w:t>
      </w:r>
      <w:r>
        <w:rPr>
          <w:spacing w:val="-9"/>
          <w:sz w:val="14"/>
        </w:rPr>
        <w:t> </w:t>
      </w:r>
      <w:r>
        <w:rPr>
          <w:sz w:val="14"/>
        </w:rPr>
        <w:t>commissioning</w:t>
      </w:r>
      <w:r>
        <w:rPr>
          <w:spacing w:val="-11"/>
          <w:sz w:val="14"/>
        </w:rPr>
        <w:t> </w:t>
      </w:r>
      <w:r>
        <w:rPr>
          <w:sz w:val="14"/>
        </w:rPr>
        <w:t>group’s incremental</w:t>
      </w:r>
      <w:r>
        <w:rPr>
          <w:spacing w:val="-8"/>
          <w:sz w:val="14"/>
        </w:rPr>
        <w:t> </w:t>
      </w:r>
      <w:r>
        <w:rPr>
          <w:sz w:val="14"/>
        </w:rPr>
        <w:t>borrowing</w:t>
      </w:r>
      <w:r>
        <w:rPr>
          <w:spacing w:val="-8"/>
          <w:sz w:val="14"/>
        </w:rPr>
        <w:t> </w:t>
      </w:r>
      <w:r>
        <w:rPr>
          <w:sz w:val="14"/>
        </w:rPr>
        <w:t>rate</w:t>
      </w:r>
      <w:r>
        <w:rPr>
          <w:spacing w:val="-7"/>
          <w:sz w:val="14"/>
        </w:rPr>
        <w:t> </w:t>
      </w:r>
      <w:r>
        <w:rPr>
          <w:sz w:val="14"/>
        </w:rPr>
        <w:t>will</w:t>
      </w:r>
      <w:r>
        <w:rPr>
          <w:spacing w:val="-5"/>
          <w:sz w:val="14"/>
        </w:rPr>
        <w:t> </w:t>
      </w:r>
      <w:r>
        <w:rPr>
          <w:sz w:val="14"/>
        </w:rPr>
        <w:t>be</w:t>
      </w:r>
      <w:r>
        <w:rPr>
          <w:spacing w:val="-8"/>
          <w:sz w:val="14"/>
        </w:rPr>
        <w:t> </w:t>
      </w:r>
      <w:r>
        <w:rPr>
          <w:sz w:val="14"/>
        </w:rPr>
        <w:t>a</w:t>
      </w:r>
      <w:r>
        <w:rPr>
          <w:spacing w:val="-7"/>
          <w:sz w:val="14"/>
        </w:rPr>
        <w:t> </w:t>
      </w:r>
      <w:r>
        <w:rPr>
          <w:sz w:val="14"/>
        </w:rPr>
        <w:t>rate</w:t>
      </w:r>
      <w:r>
        <w:rPr>
          <w:spacing w:val="-6"/>
          <w:sz w:val="14"/>
        </w:rPr>
        <w:t> </w:t>
      </w:r>
      <w:r>
        <w:rPr>
          <w:sz w:val="14"/>
        </w:rPr>
        <w:t>defined</w:t>
      </w:r>
      <w:r>
        <w:rPr>
          <w:spacing w:val="-8"/>
          <w:sz w:val="14"/>
        </w:rPr>
        <w:t> </w:t>
      </w:r>
      <w:r>
        <w:rPr>
          <w:sz w:val="14"/>
        </w:rPr>
        <w:t>by</w:t>
      </w:r>
      <w:r>
        <w:rPr>
          <w:spacing w:val="-10"/>
          <w:sz w:val="14"/>
        </w:rPr>
        <w:t> </w:t>
      </w:r>
      <w:r>
        <w:rPr>
          <w:sz w:val="14"/>
        </w:rPr>
        <w:t>HM</w:t>
      </w:r>
      <w:r>
        <w:rPr>
          <w:spacing w:val="-10"/>
          <w:sz w:val="14"/>
        </w:rPr>
        <w:t> </w:t>
      </w:r>
      <w:r>
        <w:rPr>
          <w:sz w:val="14"/>
        </w:rPr>
        <w:t>Treasury.</w:t>
      </w:r>
      <w:r>
        <w:rPr>
          <w:spacing w:val="-8"/>
          <w:sz w:val="14"/>
        </w:rPr>
        <w:t> </w:t>
      </w:r>
      <w:r>
        <w:rPr>
          <w:sz w:val="14"/>
        </w:rPr>
        <w:t>For</w:t>
      </w:r>
      <w:r>
        <w:rPr>
          <w:spacing w:val="-6"/>
          <w:sz w:val="14"/>
        </w:rPr>
        <w:t> </w:t>
      </w:r>
      <w:r>
        <w:rPr>
          <w:sz w:val="14"/>
        </w:rPr>
        <w:t>2022,</w:t>
      </w:r>
      <w:r>
        <w:rPr>
          <w:spacing w:val="-5"/>
          <w:sz w:val="14"/>
        </w:rPr>
        <w:t> </w:t>
      </w:r>
      <w:r>
        <w:rPr>
          <w:sz w:val="14"/>
        </w:rPr>
        <w:t>this</w:t>
      </w:r>
      <w:r>
        <w:rPr>
          <w:spacing w:val="-5"/>
          <w:sz w:val="14"/>
        </w:rPr>
        <w:t> </w:t>
      </w:r>
      <w:r>
        <w:rPr>
          <w:sz w:val="14"/>
        </w:rPr>
        <w:t>rate</w:t>
      </w:r>
      <w:r>
        <w:rPr>
          <w:spacing w:val="-9"/>
          <w:sz w:val="14"/>
        </w:rPr>
        <w:t> </w:t>
      </w:r>
      <w:r>
        <w:rPr>
          <w:sz w:val="14"/>
        </w:rPr>
        <w:t>is</w:t>
      </w:r>
      <w:r>
        <w:rPr>
          <w:spacing w:val="-7"/>
          <w:sz w:val="14"/>
        </w:rPr>
        <w:t> </w:t>
      </w:r>
      <w:r>
        <w:rPr>
          <w:sz w:val="14"/>
        </w:rPr>
        <w:t>0.95%.</w:t>
      </w:r>
      <w:r>
        <w:rPr>
          <w:spacing w:val="-8"/>
          <w:sz w:val="14"/>
        </w:rPr>
        <w:t> </w:t>
      </w:r>
      <w:r>
        <w:rPr>
          <w:sz w:val="14"/>
        </w:rPr>
        <w:t>The</w:t>
      </w:r>
      <w:r>
        <w:rPr>
          <w:spacing w:val="-8"/>
          <w:sz w:val="14"/>
        </w:rPr>
        <w:t> </w:t>
      </w:r>
      <w:r>
        <w:rPr>
          <w:sz w:val="14"/>
        </w:rPr>
        <w:t>related</w:t>
      </w:r>
      <w:r>
        <w:rPr>
          <w:spacing w:val="-6"/>
          <w:sz w:val="14"/>
        </w:rPr>
        <w:t> </w:t>
      </w:r>
      <w:r>
        <w:rPr>
          <w:sz w:val="14"/>
        </w:rPr>
        <w:t>right</w:t>
      </w:r>
      <w:r>
        <w:rPr>
          <w:spacing w:val="-6"/>
          <w:sz w:val="14"/>
        </w:rPr>
        <w:t> </w:t>
      </w:r>
      <w:r>
        <w:rPr>
          <w:sz w:val="14"/>
        </w:rPr>
        <w:t>of</w:t>
      </w:r>
      <w:r>
        <w:rPr>
          <w:spacing w:val="-7"/>
          <w:sz w:val="14"/>
        </w:rPr>
        <w:t> </w:t>
      </w:r>
      <w:r>
        <w:rPr>
          <w:sz w:val="14"/>
        </w:rPr>
        <w:t>use</w:t>
      </w:r>
      <w:r>
        <w:rPr>
          <w:spacing w:val="-6"/>
          <w:sz w:val="14"/>
        </w:rPr>
        <w:t> </w:t>
      </w:r>
      <w:r>
        <w:rPr>
          <w:sz w:val="14"/>
        </w:rPr>
        <w:t>asset</w:t>
      </w:r>
      <w:r>
        <w:rPr>
          <w:spacing w:val="-8"/>
          <w:sz w:val="14"/>
        </w:rPr>
        <w:t> </w:t>
      </w:r>
      <w:r>
        <w:rPr>
          <w:sz w:val="14"/>
        </w:rPr>
        <w:t>will</w:t>
      </w:r>
      <w:r>
        <w:rPr>
          <w:spacing w:val="-5"/>
          <w:sz w:val="14"/>
        </w:rPr>
        <w:t> </w:t>
      </w:r>
      <w:r>
        <w:rPr>
          <w:sz w:val="14"/>
        </w:rPr>
        <w:t>be</w:t>
      </w:r>
      <w:r>
        <w:rPr>
          <w:spacing w:val="-7"/>
          <w:sz w:val="14"/>
        </w:rPr>
        <w:t> </w:t>
      </w:r>
      <w:r>
        <w:rPr>
          <w:sz w:val="14"/>
        </w:rPr>
        <w:t>measured</w:t>
      </w:r>
      <w:r>
        <w:rPr>
          <w:spacing w:val="-9"/>
          <w:sz w:val="14"/>
        </w:rPr>
        <w:t> </w:t>
      </w:r>
      <w:r>
        <w:rPr>
          <w:sz w:val="14"/>
        </w:rPr>
        <w:t>equal</w:t>
      </w:r>
      <w:r>
        <w:rPr>
          <w:spacing w:val="-7"/>
          <w:sz w:val="14"/>
        </w:rPr>
        <w:t> </w:t>
      </w:r>
      <w:r>
        <w:rPr>
          <w:sz w:val="14"/>
        </w:rPr>
        <w:t>to the</w:t>
      </w:r>
      <w:r>
        <w:rPr>
          <w:spacing w:val="-8"/>
          <w:sz w:val="14"/>
        </w:rPr>
        <w:t> </w:t>
      </w:r>
      <w:r>
        <w:rPr>
          <w:sz w:val="14"/>
        </w:rPr>
        <w:t>lease</w:t>
      </w:r>
      <w:r>
        <w:rPr>
          <w:spacing w:val="-5"/>
          <w:sz w:val="14"/>
        </w:rPr>
        <w:t> </w:t>
      </w:r>
      <w:r>
        <w:rPr>
          <w:sz w:val="14"/>
        </w:rPr>
        <w:t>liability</w:t>
      </w:r>
      <w:r>
        <w:rPr>
          <w:spacing w:val="-9"/>
          <w:sz w:val="14"/>
        </w:rPr>
        <w:t> </w:t>
      </w:r>
      <w:r>
        <w:rPr>
          <w:sz w:val="14"/>
        </w:rPr>
        <w:t>adjusted</w:t>
      </w:r>
      <w:r>
        <w:rPr>
          <w:spacing w:val="-8"/>
          <w:sz w:val="14"/>
        </w:rPr>
        <w:t> </w:t>
      </w:r>
      <w:r>
        <w:rPr>
          <w:sz w:val="14"/>
        </w:rPr>
        <w:t>for</w:t>
      </w:r>
      <w:r>
        <w:rPr>
          <w:spacing w:val="-5"/>
          <w:sz w:val="14"/>
        </w:rPr>
        <w:t> </w:t>
      </w:r>
      <w:r>
        <w:rPr>
          <w:sz w:val="14"/>
        </w:rPr>
        <w:t>any</w:t>
      </w:r>
      <w:r>
        <w:rPr>
          <w:spacing w:val="-9"/>
          <w:sz w:val="14"/>
        </w:rPr>
        <w:t> </w:t>
      </w:r>
      <w:r>
        <w:rPr>
          <w:sz w:val="14"/>
        </w:rPr>
        <w:t>prepaid</w:t>
      </w:r>
      <w:r>
        <w:rPr>
          <w:spacing w:val="-8"/>
          <w:sz w:val="14"/>
        </w:rPr>
        <w:t> </w:t>
      </w:r>
      <w:r>
        <w:rPr>
          <w:sz w:val="14"/>
        </w:rPr>
        <w:t>or</w:t>
      </w:r>
      <w:r>
        <w:rPr>
          <w:spacing w:val="-5"/>
          <w:sz w:val="14"/>
        </w:rPr>
        <w:t> </w:t>
      </w:r>
      <w:r>
        <w:rPr>
          <w:sz w:val="14"/>
        </w:rPr>
        <w:t>accrued</w:t>
      </w:r>
      <w:r>
        <w:rPr>
          <w:spacing w:val="-5"/>
          <w:sz w:val="14"/>
        </w:rPr>
        <w:t> </w:t>
      </w:r>
      <w:r>
        <w:rPr>
          <w:sz w:val="14"/>
        </w:rPr>
        <w:t>lease</w:t>
      </w:r>
      <w:r>
        <w:rPr>
          <w:spacing w:val="-5"/>
          <w:sz w:val="14"/>
        </w:rPr>
        <w:t> </w:t>
      </w:r>
      <w:r>
        <w:rPr>
          <w:sz w:val="14"/>
        </w:rPr>
        <w:t>payments.</w:t>
      </w:r>
      <w:r>
        <w:rPr>
          <w:spacing w:val="-8"/>
          <w:sz w:val="14"/>
        </w:rPr>
        <w:t> </w:t>
      </w:r>
      <w:r>
        <w:rPr>
          <w:sz w:val="14"/>
        </w:rPr>
        <w:t>No</w:t>
      </w:r>
      <w:r>
        <w:rPr>
          <w:spacing w:val="-7"/>
          <w:sz w:val="14"/>
        </w:rPr>
        <w:t> </w:t>
      </w:r>
      <w:r>
        <w:rPr>
          <w:sz w:val="14"/>
        </w:rPr>
        <w:t>adjustments</w:t>
      </w:r>
      <w:r>
        <w:rPr>
          <w:spacing w:val="-4"/>
          <w:sz w:val="14"/>
        </w:rPr>
        <w:t> </w:t>
      </w:r>
      <w:r>
        <w:rPr>
          <w:sz w:val="14"/>
        </w:rPr>
        <w:t>will</w:t>
      </w:r>
      <w:r>
        <w:rPr>
          <w:spacing w:val="-4"/>
          <w:sz w:val="14"/>
        </w:rPr>
        <w:t> </w:t>
      </w:r>
      <w:r>
        <w:rPr>
          <w:sz w:val="14"/>
        </w:rPr>
        <w:t>be</w:t>
      </w:r>
      <w:r>
        <w:rPr>
          <w:spacing w:val="-5"/>
          <w:sz w:val="14"/>
        </w:rPr>
        <w:t> </w:t>
      </w:r>
      <w:r>
        <w:rPr>
          <w:sz w:val="14"/>
        </w:rPr>
        <w:t>made</w:t>
      </w:r>
      <w:r>
        <w:rPr>
          <w:spacing w:val="-6"/>
          <w:sz w:val="14"/>
        </w:rPr>
        <w:t> </w:t>
      </w:r>
      <w:r>
        <w:rPr>
          <w:sz w:val="14"/>
        </w:rPr>
        <w:t>on</w:t>
      </w:r>
      <w:r>
        <w:rPr>
          <w:spacing w:val="-5"/>
          <w:sz w:val="14"/>
        </w:rPr>
        <w:t> </w:t>
      </w:r>
      <w:r>
        <w:rPr>
          <w:sz w:val="14"/>
        </w:rPr>
        <w:t>1</w:t>
      </w:r>
      <w:r>
        <w:rPr>
          <w:spacing w:val="-7"/>
          <w:sz w:val="14"/>
        </w:rPr>
        <w:t> </w:t>
      </w:r>
      <w:r>
        <w:rPr>
          <w:sz w:val="14"/>
        </w:rPr>
        <w:t>April</w:t>
      </w:r>
      <w:r>
        <w:rPr>
          <w:spacing w:val="-4"/>
          <w:sz w:val="14"/>
        </w:rPr>
        <w:t> </w:t>
      </w:r>
      <w:r>
        <w:rPr>
          <w:sz w:val="14"/>
        </w:rPr>
        <w:t>2022</w:t>
      </w:r>
      <w:r>
        <w:rPr>
          <w:spacing w:val="-6"/>
          <w:sz w:val="14"/>
        </w:rPr>
        <w:t> </w:t>
      </w:r>
      <w:r>
        <w:rPr>
          <w:sz w:val="14"/>
        </w:rPr>
        <w:t>for</w:t>
      </w:r>
      <w:r>
        <w:rPr>
          <w:spacing w:val="-5"/>
          <w:sz w:val="14"/>
        </w:rPr>
        <w:t> </w:t>
      </w:r>
      <w:r>
        <w:rPr>
          <w:sz w:val="14"/>
        </w:rPr>
        <w:t>existing</w:t>
      </w:r>
      <w:r>
        <w:rPr>
          <w:spacing w:val="-5"/>
          <w:sz w:val="14"/>
        </w:rPr>
        <w:t> </w:t>
      </w:r>
      <w:r>
        <w:rPr>
          <w:sz w:val="14"/>
        </w:rPr>
        <w:t>finance</w:t>
      </w:r>
      <w:r>
        <w:rPr>
          <w:spacing w:val="-5"/>
          <w:sz w:val="14"/>
        </w:rPr>
        <w:t> </w:t>
      </w:r>
      <w:r>
        <w:rPr>
          <w:sz w:val="14"/>
        </w:rPr>
        <w:t>leases.</w:t>
      </w:r>
    </w:p>
    <w:p>
      <w:pPr>
        <w:pStyle w:val="BodyText"/>
        <w:rPr>
          <w:sz w:val="16"/>
        </w:rPr>
      </w:pPr>
    </w:p>
    <w:p>
      <w:pPr>
        <w:pStyle w:val="BodyText"/>
        <w:spacing w:before="4"/>
        <w:rPr>
          <w:sz w:val="14"/>
        </w:rPr>
      </w:pPr>
    </w:p>
    <w:p>
      <w:pPr>
        <w:spacing w:line="256" w:lineRule="auto" w:before="0"/>
        <w:ind w:left="704" w:right="465" w:firstLine="0"/>
        <w:jc w:val="left"/>
        <w:rPr>
          <w:sz w:val="14"/>
        </w:rPr>
      </w:pPr>
      <w:r>
        <w:rPr>
          <w:sz w:val="14"/>
        </w:rPr>
        <w:t>For leases commencing in 2022/23, the clinical commissioning group will not recognise a right of use asset or lease liability for short term leases (less than or equal to 12 months) or for leases of low value assets (less than £5,000). Right of use assets will be subsequently measured on a basis consistent with owned assets and depreciated over the length of the lease term.</w:t>
      </w:r>
    </w:p>
    <w:p>
      <w:pPr>
        <w:spacing w:line="261" w:lineRule="auto" w:before="110"/>
        <w:ind w:left="704" w:right="604" w:firstLine="0"/>
        <w:jc w:val="left"/>
        <w:rPr>
          <w:sz w:val="14"/>
        </w:rPr>
      </w:pPr>
      <w:r>
        <w:rPr>
          <w:sz w:val="14"/>
        </w:rPr>
        <w:t>Implementation</w:t>
      </w:r>
      <w:r>
        <w:rPr>
          <w:spacing w:val="-9"/>
          <w:sz w:val="14"/>
        </w:rPr>
        <w:t> </w:t>
      </w:r>
      <w:r>
        <w:rPr>
          <w:sz w:val="14"/>
        </w:rPr>
        <w:t>of</w:t>
      </w:r>
      <w:r>
        <w:rPr>
          <w:spacing w:val="-6"/>
          <w:sz w:val="14"/>
        </w:rPr>
        <w:t> </w:t>
      </w:r>
      <w:r>
        <w:rPr>
          <w:sz w:val="14"/>
        </w:rPr>
        <w:t>this</w:t>
      </w:r>
      <w:r>
        <w:rPr>
          <w:spacing w:val="-8"/>
          <w:sz w:val="14"/>
        </w:rPr>
        <w:t> </w:t>
      </w:r>
      <w:r>
        <w:rPr>
          <w:sz w:val="14"/>
        </w:rPr>
        <w:t>standard</w:t>
      </w:r>
      <w:r>
        <w:rPr>
          <w:spacing w:val="-8"/>
          <w:sz w:val="14"/>
        </w:rPr>
        <w:t> </w:t>
      </w:r>
      <w:r>
        <w:rPr>
          <w:sz w:val="14"/>
        </w:rPr>
        <w:t>will</w:t>
      </w:r>
      <w:r>
        <w:rPr>
          <w:spacing w:val="-7"/>
          <w:sz w:val="14"/>
        </w:rPr>
        <w:t> </w:t>
      </w:r>
      <w:r>
        <w:rPr>
          <w:sz w:val="14"/>
        </w:rPr>
        <w:t>result</w:t>
      </w:r>
      <w:r>
        <w:rPr>
          <w:spacing w:val="-8"/>
          <w:sz w:val="14"/>
        </w:rPr>
        <w:t> </w:t>
      </w:r>
      <w:r>
        <w:rPr>
          <w:sz w:val="14"/>
        </w:rPr>
        <w:t>in</w:t>
      </w:r>
      <w:r>
        <w:rPr>
          <w:spacing w:val="-7"/>
          <w:sz w:val="14"/>
        </w:rPr>
        <w:t> </w:t>
      </w:r>
      <w:r>
        <w:rPr>
          <w:sz w:val="14"/>
        </w:rPr>
        <w:t>an</w:t>
      </w:r>
      <w:r>
        <w:rPr>
          <w:spacing w:val="-11"/>
          <w:sz w:val="14"/>
        </w:rPr>
        <w:t> </w:t>
      </w:r>
      <w:r>
        <w:rPr>
          <w:sz w:val="14"/>
        </w:rPr>
        <w:t>increase</w:t>
      </w:r>
      <w:r>
        <w:rPr>
          <w:spacing w:val="-6"/>
          <w:sz w:val="14"/>
        </w:rPr>
        <w:t> </w:t>
      </w:r>
      <w:r>
        <w:rPr>
          <w:sz w:val="14"/>
        </w:rPr>
        <w:t>of</w:t>
      </w:r>
      <w:r>
        <w:rPr>
          <w:spacing w:val="-8"/>
          <w:sz w:val="14"/>
        </w:rPr>
        <w:t> </w:t>
      </w:r>
      <w:r>
        <w:rPr>
          <w:sz w:val="14"/>
        </w:rPr>
        <w:t>assets</w:t>
      </w:r>
      <w:r>
        <w:rPr>
          <w:spacing w:val="-5"/>
          <w:sz w:val="14"/>
        </w:rPr>
        <w:t> </w:t>
      </w:r>
      <w:r>
        <w:rPr>
          <w:sz w:val="14"/>
        </w:rPr>
        <w:t>and</w:t>
      </w:r>
      <w:r>
        <w:rPr>
          <w:spacing w:val="-8"/>
          <w:sz w:val="14"/>
        </w:rPr>
        <w:t> </w:t>
      </w:r>
      <w:r>
        <w:rPr>
          <w:sz w:val="14"/>
        </w:rPr>
        <w:t>liabilities</w:t>
      </w:r>
      <w:r>
        <w:rPr>
          <w:spacing w:val="-7"/>
          <w:sz w:val="14"/>
        </w:rPr>
        <w:t> </w:t>
      </w:r>
      <w:r>
        <w:rPr>
          <w:sz w:val="14"/>
        </w:rPr>
        <w:t>of</w:t>
      </w:r>
      <w:r>
        <w:rPr>
          <w:spacing w:val="-6"/>
          <w:sz w:val="14"/>
        </w:rPr>
        <w:t> </w:t>
      </w:r>
      <w:r>
        <w:rPr>
          <w:sz w:val="14"/>
        </w:rPr>
        <w:t>£0.4m.</w:t>
      </w:r>
      <w:r>
        <w:rPr>
          <w:spacing w:val="-8"/>
          <w:sz w:val="14"/>
        </w:rPr>
        <w:t> </w:t>
      </w:r>
      <w:r>
        <w:rPr>
          <w:sz w:val="14"/>
        </w:rPr>
        <w:t>Revenue</w:t>
      </w:r>
      <w:r>
        <w:rPr>
          <w:spacing w:val="-8"/>
          <w:sz w:val="14"/>
        </w:rPr>
        <w:t> </w:t>
      </w:r>
      <w:r>
        <w:rPr>
          <w:sz w:val="14"/>
        </w:rPr>
        <w:t>impact</w:t>
      </w:r>
      <w:r>
        <w:rPr>
          <w:spacing w:val="-8"/>
          <w:sz w:val="14"/>
        </w:rPr>
        <w:t> </w:t>
      </w:r>
      <w:r>
        <w:rPr>
          <w:sz w:val="14"/>
        </w:rPr>
        <w:t>is</w:t>
      </w:r>
      <w:r>
        <w:rPr>
          <w:spacing w:val="-8"/>
          <w:sz w:val="14"/>
        </w:rPr>
        <w:t> </w:t>
      </w:r>
      <w:r>
        <w:rPr>
          <w:sz w:val="14"/>
        </w:rPr>
        <w:t>assessed</w:t>
      </w:r>
      <w:r>
        <w:rPr>
          <w:spacing w:val="-7"/>
          <w:sz w:val="14"/>
        </w:rPr>
        <w:t> </w:t>
      </w:r>
      <w:r>
        <w:rPr>
          <w:sz w:val="14"/>
        </w:rPr>
        <w:t>as</w:t>
      </w:r>
      <w:r>
        <w:rPr>
          <w:spacing w:val="-8"/>
          <w:sz w:val="14"/>
        </w:rPr>
        <w:t> </w:t>
      </w:r>
      <w:r>
        <w:rPr>
          <w:sz w:val="14"/>
        </w:rPr>
        <w:t>immaterial</w:t>
      </w:r>
      <w:r>
        <w:rPr>
          <w:spacing w:val="-5"/>
          <w:sz w:val="14"/>
        </w:rPr>
        <w:t> </w:t>
      </w:r>
      <w:r>
        <w:rPr>
          <w:sz w:val="14"/>
        </w:rPr>
        <w:t>(less</w:t>
      </w:r>
      <w:r>
        <w:rPr>
          <w:spacing w:val="-8"/>
          <w:sz w:val="14"/>
        </w:rPr>
        <w:t> </w:t>
      </w:r>
      <w:r>
        <w:rPr>
          <w:sz w:val="14"/>
        </w:rPr>
        <w:t>than</w:t>
      </w:r>
      <w:r>
        <w:rPr>
          <w:spacing w:val="-8"/>
          <w:sz w:val="14"/>
        </w:rPr>
        <w:t> </w:t>
      </w:r>
      <w:r>
        <w:rPr>
          <w:sz w:val="14"/>
        </w:rPr>
        <w:t>£2k</w:t>
      </w:r>
      <w:r>
        <w:rPr>
          <w:spacing w:val="-5"/>
          <w:sz w:val="14"/>
        </w:rPr>
        <w:t> </w:t>
      </w:r>
      <w:r>
        <w:rPr>
          <w:sz w:val="14"/>
        </w:rPr>
        <w:t>per annum).</w:t>
      </w:r>
    </w:p>
    <w:p>
      <w:pPr>
        <w:pStyle w:val="ListParagraph"/>
        <w:numPr>
          <w:ilvl w:val="0"/>
          <w:numId w:val="23"/>
        </w:numPr>
        <w:tabs>
          <w:tab w:pos="828" w:val="left" w:leader="none"/>
        </w:tabs>
        <w:spacing w:line="256" w:lineRule="auto" w:before="67" w:after="0"/>
        <w:ind w:left="704" w:right="826" w:firstLine="0"/>
        <w:jc w:val="left"/>
        <w:rPr>
          <w:sz w:val="14"/>
        </w:rPr>
      </w:pPr>
      <w:r>
        <w:rPr>
          <w:sz w:val="14"/>
        </w:rPr>
        <w:t>IFRS</w:t>
      </w:r>
      <w:r>
        <w:rPr>
          <w:spacing w:val="-8"/>
          <w:sz w:val="14"/>
        </w:rPr>
        <w:t> </w:t>
      </w:r>
      <w:r>
        <w:rPr>
          <w:sz w:val="14"/>
        </w:rPr>
        <w:t>17</w:t>
      </w:r>
      <w:r>
        <w:rPr>
          <w:spacing w:val="-8"/>
          <w:sz w:val="14"/>
        </w:rPr>
        <w:t> </w:t>
      </w:r>
      <w:r>
        <w:rPr>
          <w:sz w:val="14"/>
        </w:rPr>
        <w:t>Insurance</w:t>
      </w:r>
      <w:r>
        <w:rPr>
          <w:spacing w:val="-8"/>
          <w:sz w:val="14"/>
        </w:rPr>
        <w:t> </w:t>
      </w:r>
      <w:r>
        <w:rPr>
          <w:sz w:val="14"/>
        </w:rPr>
        <w:t>Contracts</w:t>
      </w:r>
      <w:r>
        <w:rPr>
          <w:spacing w:val="-8"/>
          <w:sz w:val="14"/>
        </w:rPr>
        <w:t> </w:t>
      </w:r>
      <w:r>
        <w:rPr>
          <w:sz w:val="14"/>
        </w:rPr>
        <w:t>–</w:t>
      </w:r>
      <w:r>
        <w:rPr>
          <w:spacing w:val="-9"/>
          <w:sz w:val="14"/>
        </w:rPr>
        <w:t> </w:t>
      </w:r>
      <w:r>
        <w:rPr>
          <w:sz w:val="14"/>
        </w:rPr>
        <w:t>Application</w:t>
      </w:r>
      <w:r>
        <w:rPr>
          <w:spacing w:val="-9"/>
          <w:sz w:val="14"/>
        </w:rPr>
        <w:t> </w:t>
      </w:r>
      <w:r>
        <w:rPr>
          <w:sz w:val="14"/>
        </w:rPr>
        <w:t>required</w:t>
      </w:r>
      <w:r>
        <w:rPr>
          <w:spacing w:val="-9"/>
          <w:sz w:val="14"/>
        </w:rPr>
        <w:t> </w:t>
      </w:r>
      <w:r>
        <w:rPr>
          <w:sz w:val="14"/>
        </w:rPr>
        <w:t>for</w:t>
      </w:r>
      <w:r>
        <w:rPr>
          <w:spacing w:val="-6"/>
          <w:sz w:val="14"/>
        </w:rPr>
        <w:t> </w:t>
      </w:r>
      <w:r>
        <w:rPr>
          <w:sz w:val="14"/>
        </w:rPr>
        <w:t>accounting</w:t>
      </w:r>
      <w:r>
        <w:rPr>
          <w:spacing w:val="-9"/>
          <w:sz w:val="14"/>
        </w:rPr>
        <w:t> </w:t>
      </w:r>
      <w:r>
        <w:rPr>
          <w:sz w:val="14"/>
        </w:rPr>
        <w:t>periods</w:t>
      </w:r>
      <w:r>
        <w:rPr>
          <w:spacing w:val="-8"/>
          <w:sz w:val="14"/>
        </w:rPr>
        <w:t> </w:t>
      </w:r>
      <w:r>
        <w:rPr>
          <w:sz w:val="14"/>
        </w:rPr>
        <w:t>beginning</w:t>
      </w:r>
      <w:r>
        <w:rPr>
          <w:spacing w:val="-10"/>
          <w:sz w:val="14"/>
        </w:rPr>
        <w:t> </w:t>
      </w:r>
      <w:r>
        <w:rPr>
          <w:sz w:val="14"/>
        </w:rPr>
        <w:t>on</w:t>
      </w:r>
      <w:r>
        <w:rPr>
          <w:spacing w:val="-8"/>
          <w:sz w:val="14"/>
        </w:rPr>
        <w:t> </w:t>
      </w:r>
      <w:r>
        <w:rPr>
          <w:sz w:val="14"/>
        </w:rPr>
        <w:t>or</w:t>
      </w:r>
      <w:r>
        <w:rPr>
          <w:spacing w:val="-9"/>
          <w:sz w:val="14"/>
        </w:rPr>
        <w:t> </w:t>
      </w:r>
      <w:r>
        <w:rPr>
          <w:sz w:val="14"/>
        </w:rPr>
        <w:t>after</w:t>
      </w:r>
      <w:r>
        <w:rPr>
          <w:spacing w:val="-6"/>
          <w:sz w:val="14"/>
        </w:rPr>
        <w:t> </w:t>
      </w:r>
      <w:r>
        <w:rPr>
          <w:sz w:val="14"/>
        </w:rPr>
        <w:t>1</w:t>
      </w:r>
      <w:r>
        <w:rPr>
          <w:spacing w:val="-11"/>
          <w:sz w:val="14"/>
        </w:rPr>
        <w:t> </w:t>
      </w:r>
      <w:r>
        <w:rPr>
          <w:sz w:val="14"/>
        </w:rPr>
        <w:t>January</w:t>
      </w:r>
      <w:r>
        <w:rPr>
          <w:spacing w:val="-13"/>
          <w:sz w:val="14"/>
        </w:rPr>
        <w:t> </w:t>
      </w:r>
      <w:r>
        <w:rPr>
          <w:sz w:val="14"/>
        </w:rPr>
        <w:t>2021.</w:t>
      </w:r>
      <w:r>
        <w:rPr>
          <w:spacing w:val="-11"/>
          <w:sz w:val="14"/>
        </w:rPr>
        <w:t> </w:t>
      </w:r>
      <w:r>
        <w:rPr>
          <w:sz w:val="14"/>
        </w:rPr>
        <w:t>Standard</w:t>
      </w:r>
      <w:r>
        <w:rPr>
          <w:spacing w:val="-9"/>
          <w:sz w:val="14"/>
        </w:rPr>
        <w:t> </w:t>
      </w:r>
      <w:r>
        <w:rPr>
          <w:sz w:val="14"/>
        </w:rPr>
        <w:t>is</w:t>
      </w:r>
      <w:r>
        <w:rPr>
          <w:spacing w:val="-8"/>
          <w:sz w:val="14"/>
        </w:rPr>
        <w:t> </w:t>
      </w:r>
      <w:r>
        <w:rPr>
          <w:sz w:val="14"/>
        </w:rPr>
        <w:t>not</w:t>
      </w:r>
      <w:r>
        <w:rPr>
          <w:spacing w:val="-10"/>
          <w:sz w:val="14"/>
        </w:rPr>
        <w:t> </w:t>
      </w:r>
      <w:r>
        <w:rPr>
          <w:spacing w:val="-3"/>
          <w:sz w:val="14"/>
        </w:rPr>
        <w:t>yet</w:t>
      </w:r>
      <w:r>
        <w:rPr>
          <w:spacing w:val="-9"/>
          <w:sz w:val="14"/>
        </w:rPr>
        <w:t> </w:t>
      </w:r>
      <w:r>
        <w:rPr>
          <w:sz w:val="14"/>
        </w:rPr>
        <w:t>adopted</w:t>
      </w:r>
      <w:r>
        <w:rPr>
          <w:spacing w:val="-9"/>
          <w:sz w:val="14"/>
        </w:rPr>
        <w:t> </w:t>
      </w:r>
      <w:r>
        <w:rPr>
          <w:sz w:val="14"/>
        </w:rPr>
        <w:t>by</w:t>
      </w:r>
      <w:r>
        <w:rPr>
          <w:spacing w:val="-13"/>
          <w:sz w:val="14"/>
        </w:rPr>
        <w:t> </w:t>
      </w:r>
      <w:r>
        <w:rPr>
          <w:sz w:val="14"/>
        </w:rPr>
        <w:t>the FReM</w:t>
      </w:r>
      <w:r>
        <w:rPr>
          <w:spacing w:val="-8"/>
          <w:sz w:val="14"/>
        </w:rPr>
        <w:t> </w:t>
      </w:r>
      <w:r>
        <w:rPr>
          <w:sz w:val="14"/>
        </w:rPr>
        <w:t>which</w:t>
      </w:r>
      <w:r>
        <w:rPr>
          <w:spacing w:val="-4"/>
          <w:sz w:val="14"/>
        </w:rPr>
        <w:t> </w:t>
      </w:r>
      <w:r>
        <w:rPr>
          <w:sz w:val="14"/>
        </w:rPr>
        <w:t>is</w:t>
      </w:r>
      <w:r>
        <w:rPr>
          <w:spacing w:val="-3"/>
          <w:sz w:val="14"/>
        </w:rPr>
        <w:t> </w:t>
      </w:r>
      <w:r>
        <w:rPr>
          <w:sz w:val="14"/>
        </w:rPr>
        <w:t>expected</w:t>
      </w:r>
      <w:r>
        <w:rPr>
          <w:spacing w:val="-3"/>
          <w:sz w:val="14"/>
        </w:rPr>
        <w:t> </w:t>
      </w:r>
      <w:r>
        <w:rPr>
          <w:sz w:val="14"/>
        </w:rPr>
        <w:t>to</w:t>
      </w:r>
      <w:r>
        <w:rPr>
          <w:spacing w:val="-2"/>
          <w:sz w:val="14"/>
        </w:rPr>
        <w:t> </w:t>
      </w:r>
      <w:r>
        <w:rPr>
          <w:sz w:val="14"/>
        </w:rPr>
        <w:t>be</w:t>
      </w:r>
      <w:r>
        <w:rPr>
          <w:spacing w:val="-4"/>
          <w:sz w:val="14"/>
        </w:rPr>
        <w:t> </w:t>
      </w:r>
      <w:r>
        <w:rPr>
          <w:sz w:val="14"/>
        </w:rPr>
        <w:t>April</w:t>
      </w:r>
      <w:r>
        <w:rPr>
          <w:spacing w:val="-4"/>
          <w:sz w:val="14"/>
        </w:rPr>
        <w:t> </w:t>
      </w:r>
      <w:r>
        <w:rPr>
          <w:sz w:val="14"/>
        </w:rPr>
        <w:t>2023:</w:t>
      </w:r>
      <w:r>
        <w:rPr>
          <w:spacing w:val="-4"/>
          <w:sz w:val="14"/>
        </w:rPr>
        <w:t> </w:t>
      </w:r>
      <w:r>
        <w:rPr>
          <w:sz w:val="14"/>
        </w:rPr>
        <w:t>early</w:t>
      </w:r>
      <w:r>
        <w:rPr>
          <w:spacing w:val="-3"/>
          <w:sz w:val="14"/>
        </w:rPr>
        <w:t> </w:t>
      </w:r>
      <w:r>
        <w:rPr>
          <w:sz w:val="14"/>
        </w:rPr>
        <w:t>adoption</w:t>
      </w:r>
      <w:r>
        <w:rPr>
          <w:spacing w:val="-2"/>
          <w:sz w:val="14"/>
        </w:rPr>
        <w:t> </w:t>
      </w:r>
      <w:r>
        <w:rPr>
          <w:sz w:val="14"/>
        </w:rPr>
        <w:t>is</w:t>
      </w:r>
      <w:r>
        <w:rPr>
          <w:spacing w:val="-2"/>
          <w:sz w:val="14"/>
        </w:rPr>
        <w:t> </w:t>
      </w:r>
      <w:r>
        <w:rPr>
          <w:sz w:val="14"/>
        </w:rPr>
        <w:t>not</w:t>
      </w:r>
      <w:r>
        <w:rPr>
          <w:spacing w:val="-1"/>
          <w:sz w:val="14"/>
        </w:rPr>
        <w:t> </w:t>
      </w:r>
      <w:r>
        <w:rPr>
          <w:sz w:val="14"/>
        </w:rPr>
        <w:t>therefore</w:t>
      </w:r>
      <w:r>
        <w:rPr>
          <w:spacing w:val="-2"/>
          <w:sz w:val="14"/>
        </w:rPr>
        <w:t> </w:t>
      </w:r>
      <w:r>
        <w:rPr>
          <w:sz w:val="14"/>
        </w:rPr>
        <w:t>permitted.</w:t>
      </w:r>
    </w:p>
    <w:p>
      <w:pPr>
        <w:spacing w:before="90"/>
        <w:ind w:left="704" w:right="0" w:firstLine="0"/>
        <w:jc w:val="left"/>
        <w:rPr>
          <w:sz w:val="14"/>
        </w:rPr>
      </w:pPr>
      <w:r>
        <w:rPr>
          <w:sz w:val="14"/>
        </w:rPr>
        <w:t>Financial impact for North Lincolsnhire CCG is assessed as immaterial</w:t>
      </w:r>
    </w:p>
    <w:p>
      <w:pPr>
        <w:spacing w:after="0"/>
        <w:jc w:val="left"/>
        <w:rPr>
          <w:sz w:val="14"/>
        </w:rPr>
        <w:sectPr>
          <w:pgSz w:w="11920" w:h="16850"/>
          <w:pgMar w:header="0" w:footer="407" w:top="1000" w:bottom="640" w:left="740" w:right="520"/>
        </w:sectPr>
      </w:pPr>
    </w:p>
    <w:p>
      <w:pPr>
        <w:spacing w:before="64"/>
        <w:ind w:left="328" w:right="0" w:firstLine="0"/>
        <w:jc w:val="left"/>
        <w:rPr>
          <w:sz w:val="20"/>
        </w:rPr>
      </w:pPr>
      <w:r>
        <w:rPr>
          <w:sz w:val="20"/>
        </w:rPr>
        <w:t>NHS North Lincolnshire CCG - Annual Accounts 2021-22</w:t>
      </w:r>
    </w:p>
    <w:p>
      <w:pPr>
        <w:pStyle w:val="BodyText"/>
        <w:spacing w:before="7"/>
      </w:pPr>
    </w:p>
    <w:p>
      <w:pPr>
        <w:pStyle w:val="ListParagraph"/>
        <w:numPr>
          <w:ilvl w:val="0"/>
          <w:numId w:val="17"/>
        </w:numPr>
        <w:tabs>
          <w:tab w:pos="1015" w:val="left" w:leader="none"/>
        </w:tabs>
        <w:spacing w:line="240" w:lineRule="auto" w:before="0" w:after="20"/>
        <w:ind w:left="1014" w:right="0" w:hanging="188"/>
        <w:jc w:val="left"/>
        <w:rPr>
          <w:b/>
          <w:sz w:val="20"/>
        </w:rPr>
      </w:pPr>
      <w:r>
        <w:rPr>
          <w:b/>
          <w:sz w:val="20"/>
        </w:rPr>
        <w:t>Other Operating</w:t>
      </w:r>
      <w:r>
        <w:rPr>
          <w:b/>
          <w:spacing w:val="-5"/>
          <w:sz w:val="20"/>
        </w:rPr>
        <w:t> </w:t>
      </w:r>
      <w:r>
        <w:rPr>
          <w:b/>
          <w:sz w:val="20"/>
        </w:rPr>
        <w:t>Revenue</w:t>
      </w:r>
    </w:p>
    <w:tbl>
      <w:tblPr>
        <w:tblW w:w="0" w:type="auto"/>
        <w:jc w:val="left"/>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81"/>
        <w:gridCol w:w="1018"/>
        <w:gridCol w:w="219"/>
        <w:gridCol w:w="1019"/>
      </w:tblGrid>
      <w:tr>
        <w:trPr>
          <w:trHeight w:val="522" w:hRule="atLeast"/>
        </w:trPr>
        <w:tc>
          <w:tcPr>
            <w:tcW w:w="7081" w:type="dxa"/>
          </w:tcPr>
          <w:p>
            <w:pPr>
              <w:pStyle w:val="TableParagraph"/>
              <w:rPr>
                <w:rFonts w:ascii="Times New Roman"/>
                <w:sz w:val="18"/>
              </w:rPr>
            </w:pPr>
          </w:p>
        </w:tc>
        <w:tc>
          <w:tcPr>
            <w:tcW w:w="1018" w:type="dxa"/>
          </w:tcPr>
          <w:p>
            <w:pPr>
              <w:pStyle w:val="TableParagraph"/>
              <w:spacing w:line="223" w:lineRule="exact"/>
              <w:ind w:left="121" w:right="122"/>
              <w:jc w:val="center"/>
              <w:rPr>
                <w:b/>
                <w:sz w:val="20"/>
              </w:rPr>
            </w:pPr>
            <w:r>
              <w:rPr>
                <w:b/>
                <w:sz w:val="20"/>
              </w:rPr>
              <w:t>2021-22</w:t>
            </w:r>
          </w:p>
          <w:p>
            <w:pPr>
              <w:pStyle w:val="TableParagraph"/>
              <w:spacing w:before="17"/>
              <w:ind w:left="121" w:right="122"/>
              <w:jc w:val="center"/>
              <w:rPr>
                <w:b/>
                <w:sz w:val="20"/>
              </w:rPr>
            </w:pPr>
            <w:r>
              <w:rPr>
                <w:b/>
                <w:sz w:val="20"/>
              </w:rPr>
              <w:t>Total</w:t>
            </w:r>
          </w:p>
        </w:tc>
        <w:tc>
          <w:tcPr>
            <w:tcW w:w="219" w:type="dxa"/>
          </w:tcPr>
          <w:p>
            <w:pPr>
              <w:pStyle w:val="TableParagraph"/>
              <w:rPr>
                <w:rFonts w:ascii="Times New Roman"/>
                <w:sz w:val="18"/>
              </w:rPr>
            </w:pPr>
          </w:p>
        </w:tc>
        <w:tc>
          <w:tcPr>
            <w:tcW w:w="1019" w:type="dxa"/>
          </w:tcPr>
          <w:p>
            <w:pPr>
              <w:pStyle w:val="TableParagraph"/>
              <w:spacing w:line="223" w:lineRule="exact"/>
              <w:ind w:left="120" w:right="124"/>
              <w:jc w:val="center"/>
              <w:rPr>
                <w:sz w:val="20"/>
              </w:rPr>
            </w:pPr>
            <w:r>
              <w:rPr>
                <w:sz w:val="20"/>
              </w:rPr>
              <w:t>2020-21</w:t>
            </w:r>
          </w:p>
          <w:p>
            <w:pPr>
              <w:pStyle w:val="TableParagraph"/>
              <w:spacing w:before="17"/>
              <w:ind w:left="120" w:right="121"/>
              <w:jc w:val="center"/>
              <w:rPr>
                <w:sz w:val="20"/>
              </w:rPr>
            </w:pPr>
            <w:r>
              <w:rPr>
                <w:sz w:val="20"/>
              </w:rPr>
              <w:t>Total</w:t>
            </w:r>
          </w:p>
        </w:tc>
      </w:tr>
      <w:tr>
        <w:trPr>
          <w:trHeight w:val="409" w:hRule="atLeast"/>
        </w:trPr>
        <w:tc>
          <w:tcPr>
            <w:tcW w:w="7081" w:type="dxa"/>
          </w:tcPr>
          <w:p>
            <w:pPr>
              <w:pStyle w:val="TableParagraph"/>
              <w:rPr>
                <w:rFonts w:ascii="Times New Roman"/>
                <w:sz w:val="18"/>
              </w:rPr>
            </w:pPr>
          </w:p>
        </w:tc>
        <w:tc>
          <w:tcPr>
            <w:tcW w:w="1018" w:type="dxa"/>
          </w:tcPr>
          <w:p>
            <w:pPr>
              <w:pStyle w:val="TableParagraph"/>
              <w:spacing w:before="46"/>
              <w:ind w:left="263"/>
              <w:rPr>
                <w:b/>
                <w:sz w:val="20"/>
              </w:rPr>
            </w:pPr>
            <w:r>
              <w:rPr>
                <w:b/>
                <w:sz w:val="20"/>
              </w:rPr>
              <w:t>£'000</w:t>
            </w:r>
          </w:p>
        </w:tc>
        <w:tc>
          <w:tcPr>
            <w:tcW w:w="219" w:type="dxa"/>
          </w:tcPr>
          <w:p>
            <w:pPr>
              <w:pStyle w:val="TableParagraph"/>
              <w:rPr>
                <w:rFonts w:ascii="Times New Roman"/>
                <w:sz w:val="18"/>
              </w:rPr>
            </w:pPr>
          </w:p>
        </w:tc>
        <w:tc>
          <w:tcPr>
            <w:tcW w:w="1019" w:type="dxa"/>
          </w:tcPr>
          <w:p>
            <w:pPr>
              <w:pStyle w:val="TableParagraph"/>
              <w:spacing w:before="46"/>
              <w:ind w:left="267"/>
              <w:rPr>
                <w:sz w:val="20"/>
              </w:rPr>
            </w:pPr>
            <w:r>
              <w:rPr>
                <w:sz w:val="20"/>
              </w:rPr>
              <w:t>£'000</w:t>
            </w:r>
          </w:p>
        </w:tc>
      </w:tr>
      <w:tr>
        <w:trPr>
          <w:trHeight w:val="608" w:hRule="atLeast"/>
        </w:trPr>
        <w:tc>
          <w:tcPr>
            <w:tcW w:w="7081" w:type="dxa"/>
          </w:tcPr>
          <w:p>
            <w:pPr>
              <w:pStyle w:val="TableParagraph"/>
              <w:spacing w:before="126"/>
              <w:ind w:left="464"/>
              <w:rPr>
                <w:b/>
                <w:sz w:val="20"/>
              </w:rPr>
            </w:pPr>
            <w:r>
              <w:rPr>
                <w:b/>
                <w:sz w:val="20"/>
              </w:rPr>
              <w:t>Income from sale of goods and services (contracts)</w:t>
            </w:r>
          </w:p>
          <w:p>
            <w:pPr>
              <w:pStyle w:val="TableParagraph"/>
              <w:spacing w:line="225" w:lineRule="exact" w:before="8"/>
              <w:ind w:left="463"/>
              <w:rPr>
                <w:sz w:val="20"/>
              </w:rPr>
            </w:pPr>
            <w:r>
              <w:rPr>
                <w:sz w:val="20"/>
              </w:rPr>
              <w:t>Education, training and research</w:t>
            </w:r>
          </w:p>
        </w:tc>
        <w:tc>
          <w:tcPr>
            <w:tcW w:w="1018" w:type="dxa"/>
          </w:tcPr>
          <w:p>
            <w:pPr>
              <w:pStyle w:val="TableParagraph"/>
              <w:spacing w:before="7"/>
              <w:rPr>
                <w:b/>
                <w:sz w:val="31"/>
              </w:rPr>
            </w:pPr>
          </w:p>
          <w:p>
            <w:pPr>
              <w:pStyle w:val="TableParagraph"/>
              <w:spacing w:line="225" w:lineRule="exact"/>
              <w:ind w:right="50"/>
              <w:jc w:val="right"/>
              <w:rPr>
                <w:b/>
                <w:sz w:val="20"/>
              </w:rPr>
            </w:pPr>
            <w:r>
              <w:rPr>
                <w:b/>
                <w:w w:val="98"/>
                <w:sz w:val="20"/>
              </w:rPr>
              <w:t>-</w:t>
            </w:r>
          </w:p>
        </w:tc>
        <w:tc>
          <w:tcPr>
            <w:tcW w:w="219" w:type="dxa"/>
          </w:tcPr>
          <w:p>
            <w:pPr>
              <w:pStyle w:val="TableParagraph"/>
              <w:rPr>
                <w:rFonts w:ascii="Times New Roman"/>
                <w:sz w:val="18"/>
              </w:rPr>
            </w:pPr>
          </w:p>
        </w:tc>
        <w:tc>
          <w:tcPr>
            <w:tcW w:w="1019" w:type="dxa"/>
          </w:tcPr>
          <w:p>
            <w:pPr>
              <w:pStyle w:val="TableParagraph"/>
              <w:spacing w:before="7"/>
              <w:rPr>
                <w:b/>
                <w:sz w:val="31"/>
              </w:rPr>
            </w:pPr>
          </w:p>
          <w:p>
            <w:pPr>
              <w:pStyle w:val="TableParagraph"/>
              <w:spacing w:line="225" w:lineRule="exact"/>
              <w:ind w:right="52"/>
              <w:jc w:val="right"/>
              <w:rPr>
                <w:sz w:val="20"/>
              </w:rPr>
            </w:pPr>
            <w:r>
              <w:rPr>
                <w:w w:val="98"/>
                <w:sz w:val="20"/>
              </w:rPr>
              <w:t>-</w:t>
            </w:r>
          </w:p>
        </w:tc>
      </w:tr>
      <w:tr>
        <w:trPr>
          <w:trHeight w:val="2084" w:hRule="atLeast"/>
        </w:trPr>
        <w:tc>
          <w:tcPr>
            <w:tcW w:w="7081" w:type="dxa"/>
          </w:tcPr>
          <w:p>
            <w:pPr>
              <w:pStyle w:val="TableParagraph"/>
              <w:spacing w:line="252" w:lineRule="auto" w:before="10"/>
              <w:ind w:left="463" w:right="2970" w:hanging="264"/>
              <w:rPr>
                <w:sz w:val="20"/>
              </w:rPr>
            </w:pPr>
            <w:r>
              <w:rPr>
                <w:b/>
                <w:sz w:val="20"/>
              </w:rPr>
              <w:t>1* </w:t>
            </w:r>
            <w:r>
              <w:rPr>
                <w:sz w:val="20"/>
              </w:rPr>
              <w:t>Non-patient care services to other bodies Patient transport services</w:t>
            </w:r>
          </w:p>
          <w:p>
            <w:pPr>
              <w:pStyle w:val="TableParagraph"/>
              <w:spacing w:line="254" w:lineRule="auto" w:before="4"/>
              <w:ind w:left="463" w:right="3971" w:hanging="264"/>
              <w:rPr>
                <w:sz w:val="20"/>
              </w:rPr>
            </w:pPr>
            <w:r>
              <w:rPr>
                <w:b/>
                <w:sz w:val="20"/>
              </w:rPr>
              <w:t>2* </w:t>
            </w:r>
            <w:r>
              <w:rPr>
                <w:sz w:val="20"/>
              </w:rPr>
              <w:t>Prescription fees and charges Dental fees and charges Income generation</w:t>
            </w:r>
          </w:p>
          <w:p>
            <w:pPr>
              <w:pStyle w:val="TableParagraph"/>
              <w:spacing w:before="1"/>
              <w:ind w:left="463"/>
              <w:rPr>
                <w:sz w:val="20"/>
              </w:rPr>
            </w:pPr>
            <w:r>
              <w:rPr>
                <w:sz w:val="20"/>
              </w:rPr>
              <w:t>Other Contract income</w:t>
            </w:r>
          </w:p>
          <w:p>
            <w:pPr>
              <w:pStyle w:val="TableParagraph"/>
              <w:spacing w:before="14"/>
              <w:ind w:left="463"/>
              <w:rPr>
                <w:sz w:val="20"/>
              </w:rPr>
            </w:pPr>
            <w:r>
              <w:rPr>
                <w:sz w:val="20"/>
              </w:rPr>
              <w:t>Recoveries in respect of employee benefits</w:t>
            </w:r>
          </w:p>
          <w:p>
            <w:pPr>
              <w:pStyle w:val="TableParagraph"/>
              <w:spacing w:before="15"/>
              <w:ind w:left="463"/>
              <w:rPr>
                <w:b/>
                <w:sz w:val="20"/>
              </w:rPr>
            </w:pPr>
            <w:r>
              <w:rPr>
                <w:b/>
                <w:sz w:val="20"/>
              </w:rPr>
              <w:t>Total Income from sale of goods and services</w:t>
            </w:r>
          </w:p>
        </w:tc>
        <w:tc>
          <w:tcPr>
            <w:tcW w:w="1018" w:type="dxa"/>
          </w:tcPr>
          <w:p>
            <w:pPr>
              <w:pStyle w:val="TableParagraph"/>
              <w:spacing w:before="7"/>
              <w:ind w:right="49"/>
              <w:jc w:val="right"/>
              <w:rPr>
                <w:b/>
                <w:sz w:val="20"/>
              </w:rPr>
            </w:pPr>
            <w:r>
              <w:rPr>
                <w:b/>
                <w:w w:val="90"/>
                <w:sz w:val="20"/>
              </w:rPr>
              <w:t>175</w:t>
            </w:r>
          </w:p>
          <w:p>
            <w:pPr>
              <w:pStyle w:val="TableParagraph"/>
              <w:spacing w:line="254" w:lineRule="auto" w:before="15"/>
              <w:ind w:left="650" w:right="49" w:firstLine="249"/>
              <w:jc w:val="right"/>
              <w:rPr>
                <w:b/>
                <w:sz w:val="20"/>
              </w:rPr>
            </w:pPr>
            <w:r>
              <w:rPr>
                <w:b/>
                <w:w w:val="90"/>
                <w:sz w:val="20"/>
              </w:rPr>
              <w:t>- 245</w:t>
            </w:r>
          </w:p>
          <w:p>
            <w:pPr>
              <w:pStyle w:val="TableParagraph"/>
              <w:spacing w:before="2"/>
              <w:ind w:right="50"/>
              <w:jc w:val="right"/>
              <w:rPr>
                <w:b/>
                <w:sz w:val="20"/>
              </w:rPr>
            </w:pPr>
            <w:r>
              <w:rPr>
                <w:b/>
                <w:w w:val="98"/>
                <w:sz w:val="20"/>
              </w:rPr>
              <w:t>-</w:t>
            </w:r>
          </w:p>
          <w:p>
            <w:pPr>
              <w:pStyle w:val="TableParagraph"/>
              <w:spacing w:before="15"/>
              <w:ind w:right="50"/>
              <w:jc w:val="right"/>
              <w:rPr>
                <w:b/>
                <w:sz w:val="20"/>
              </w:rPr>
            </w:pPr>
            <w:r>
              <w:rPr>
                <w:b/>
                <w:w w:val="98"/>
                <w:sz w:val="20"/>
              </w:rPr>
              <w:t>-</w:t>
            </w:r>
          </w:p>
          <w:p>
            <w:pPr>
              <w:pStyle w:val="TableParagraph"/>
              <w:spacing w:before="15"/>
              <w:ind w:right="50"/>
              <w:jc w:val="right"/>
              <w:rPr>
                <w:b/>
                <w:sz w:val="20"/>
              </w:rPr>
            </w:pPr>
            <w:r>
              <w:rPr>
                <w:b/>
                <w:w w:val="98"/>
                <w:sz w:val="20"/>
              </w:rPr>
              <w:t>-</w:t>
            </w:r>
          </w:p>
          <w:p>
            <w:pPr>
              <w:pStyle w:val="TableParagraph"/>
              <w:tabs>
                <w:tab w:pos="895" w:val="left" w:leader="none"/>
              </w:tabs>
              <w:spacing w:before="14"/>
              <w:ind w:right="1"/>
              <w:jc w:val="right"/>
              <w:rPr>
                <w:b/>
                <w:sz w:val="20"/>
              </w:rPr>
            </w:pPr>
            <w:r>
              <w:rPr>
                <w:b/>
                <w:w w:val="99"/>
                <w:sz w:val="20"/>
                <w:u w:val="single"/>
              </w:rPr>
              <w:t> </w:t>
            </w:r>
            <w:r>
              <w:rPr>
                <w:b/>
                <w:sz w:val="20"/>
                <w:u w:val="single"/>
              </w:rPr>
              <w:tab/>
            </w:r>
            <w:r>
              <w:rPr>
                <w:b/>
                <w:spacing w:val="-1"/>
                <w:sz w:val="20"/>
                <w:u w:val="single"/>
              </w:rPr>
              <w:t>-</w:t>
            </w:r>
          </w:p>
          <w:p>
            <w:pPr>
              <w:pStyle w:val="TableParagraph"/>
              <w:tabs>
                <w:tab w:pos="631" w:val="left" w:leader="none"/>
              </w:tabs>
              <w:spacing w:before="15"/>
              <w:jc w:val="right"/>
              <w:rPr>
                <w:b/>
                <w:sz w:val="20"/>
              </w:rPr>
            </w:pPr>
            <w:r>
              <w:rPr>
                <w:b/>
                <w:w w:val="94"/>
                <w:sz w:val="20"/>
                <w:u w:val="single"/>
              </w:rPr>
              <w:t> </w:t>
            </w:r>
            <w:r>
              <w:rPr>
                <w:b/>
                <w:sz w:val="20"/>
                <w:u w:val="single"/>
              </w:rPr>
              <w:tab/>
            </w:r>
            <w:r>
              <w:rPr>
                <w:b/>
                <w:w w:val="90"/>
                <w:sz w:val="20"/>
                <w:u w:val="single"/>
              </w:rPr>
              <w:t>420</w:t>
            </w:r>
          </w:p>
        </w:tc>
        <w:tc>
          <w:tcPr>
            <w:tcW w:w="219" w:type="dxa"/>
          </w:tcPr>
          <w:p>
            <w:pPr>
              <w:pStyle w:val="TableParagraph"/>
              <w:rPr>
                <w:rFonts w:ascii="Times New Roman"/>
                <w:sz w:val="18"/>
              </w:rPr>
            </w:pPr>
          </w:p>
        </w:tc>
        <w:tc>
          <w:tcPr>
            <w:tcW w:w="1019" w:type="dxa"/>
          </w:tcPr>
          <w:p>
            <w:pPr>
              <w:pStyle w:val="TableParagraph"/>
              <w:spacing w:before="7"/>
              <w:ind w:right="55"/>
              <w:jc w:val="right"/>
              <w:rPr>
                <w:sz w:val="20"/>
              </w:rPr>
            </w:pPr>
            <w:r>
              <w:rPr>
                <w:spacing w:val="-3"/>
                <w:w w:val="95"/>
                <w:sz w:val="20"/>
              </w:rPr>
              <w:t>84</w:t>
            </w:r>
          </w:p>
          <w:p>
            <w:pPr>
              <w:pStyle w:val="TableParagraph"/>
              <w:spacing w:line="254" w:lineRule="auto" w:before="15"/>
              <w:ind w:left="649" w:right="51" w:firstLine="252"/>
              <w:jc w:val="right"/>
              <w:rPr>
                <w:sz w:val="20"/>
              </w:rPr>
            </w:pPr>
            <w:r>
              <w:rPr>
                <w:w w:val="95"/>
                <w:sz w:val="20"/>
              </w:rPr>
              <w:t>-</w:t>
            </w:r>
            <w:r>
              <w:rPr>
                <w:w w:val="95"/>
                <w:sz w:val="20"/>
              </w:rPr>
              <w:t> </w:t>
            </w:r>
            <w:r>
              <w:rPr>
                <w:spacing w:val="-2"/>
                <w:w w:val="95"/>
                <w:sz w:val="20"/>
              </w:rPr>
              <w:t>165</w:t>
            </w:r>
          </w:p>
          <w:p>
            <w:pPr>
              <w:pStyle w:val="TableParagraph"/>
              <w:spacing w:before="2"/>
              <w:ind w:right="52"/>
              <w:jc w:val="right"/>
              <w:rPr>
                <w:sz w:val="20"/>
              </w:rPr>
            </w:pPr>
            <w:r>
              <w:rPr>
                <w:w w:val="98"/>
                <w:sz w:val="20"/>
              </w:rPr>
              <w:t>-</w:t>
            </w:r>
          </w:p>
          <w:p>
            <w:pPr>
              <w:pStyle w:val="TableParagraph"/>
              <w:spacing w:line="252" w:lineRule="auto" w:before="15"/>
              <w:ind w:left="754" w:right="51" w:firstLine="146"/>
              <w:jc w:val="right"/>
              <w:rPr>
                <w:sz w:val="20"/>
              </w:rPr>
            </w:pPr>
            <w:r>
              <w:rPr>
                <w:w w:val="95"/>
                <w:sz w:val="20"/>
              </w:rPr>
              <w:t>-</w:t>
            </w:r>
            <w:r>
              <w:rPr>
                <w:w w:val="95"/>
                <w:sz w:val="20"/>
              </w:rPr>
              <w:t> </w:t>
            </w:r>
            <w:r>
              <w:rPr>
                <w:spacing w:val="-1"/>
                <w:w w:val="95"/>
                <w:sz w:val="20"/>
              </w:rPr>
              <w:t>20</w:t>
            </w:r>
          </w:p>
          <w:p>
            <w:pPr>
              <w:pStyle w:val="TableParagraph"/>
              <w:tabs>
                <w:tab w:pos="895" w:val="left" w:leader="none"/>
              </w:tabs>
              <w:spacing w:before="4"/>
              <w:ind w:right="1"/>
              <w:jc w:val="right"/>
              <w:rPr>
                <w:sz w:val="20"/>
              </w:rPr>
            </w:pPr>
            <w:r>
              <w:rPr>
                <w:w w:val="99"/>
                <w:sz w:val="20"/>
                <w:u w:val="single"/>
              </w:rPr>
              <w:t> </w:t>
            </w:r>
            <w:r>
              <w:rPr>
                <w:sz w:val="20"/>
                <w:u w:val="single"/>
              </w:rPr>
              <w:tab/>
            </w:r>
            <w:r>
              <w:rPr>
                <w:spacing w:val="-1"/>
                <w:sz w:val="20"/>
                <w:u w:val="single"/>
              </w:rPr>
              <w:t>-</w:t>
            </w:r>
          </w:p>
          <w:p>
            <w:pPr>
              <w:pStyle w:val="TableParagraph"/>
              <w:tabs>
                <w:tab w:pos="631" w:val="left" w:leader="none"/>
              </w:tabs>
              <w:spacing w:before="15"/>
              <w:jc w:val="right"/>
              <w:rPr>
                <w:b/>
                <w:sz w:val="20"/>
              </w:rPr>
            </w:pPr>
            <w:r>
              <w:rPr>
                <w:b/>
                <w:w w:val="94"/>
                <w:sz w:val="20"/>
                <w:u w:val="single"/>
              </w:rPr>
              <w:t> </w:t>
            </w:r>
            <w:r>
              <w:rPr>
                <w:b/>
                <w:sz w:val="20"/>
                <w:u w:val="single"/>
              </w:rPr>
              <w:tab/>
            </w:r>
            <w:r>
              <w:rPr>
                <w:b/>
                <w:spacing w:val="-1"/>
                <w:w w:val="95"/>
                <w:sz w:val="20"/>
                <w:u w:val="single"/>
              </w:rPr>
              <w:t>268</w:t>
            </w:r>
          </w:p>
        </w:tc>
      </w:tr>
      <w:tr>
        <w:trPr>
          <w:trHeight w:val="606" w:hRule="atLeast"/>
        </w:trPr>
        <w:tc>
          <w:tcPr>
            <w:tcW w:w="7081" w:type="dxa"/>
          </w:tcPr>
          <w:p>
            <w:pPr>
              <w:pStyle w:val="TableParagraph"/>
              <w:spacing w:before="126"/>
              <w:ind w:left="463"/>
              <w:rPr>
                <w:b/>
                <w:sz w:val="20"/>
              </w:rPr>
            </w:pPr>
            <w:r>
              <w:rPr>
                <w:b/>
                <w:sz w:val="20"/>
              </w:rPr>
              <w:t>Other operating income</w:t>
            </w:r>
          </w:p>
          <w:p>
            <w:pPr>
              <w:pStyle w:val="TableParagraph"/>
              <w:spacing w:line="225" w:lineRule="exact" w:before="5"/>
              <w:ind w:left="463"/>
              <w:rPr>
                <w:sz w:val="20"/>
              </w:rPr>
            </w:pPr>
            <w:r>
              <w:rPr>
                <w:sz w:val="20"/>
              </w:rPr>
              <w:t>Rental revenue from finance leases</w:t>
            </w:r>
          </w:p>
        </w:tc>
        <w:tc>
          <w:tcPr>
            <w:tcW w:w="1018" w:type="dxa"/>
          </w:tcPr>
          <w:p>
            <w:pPr>
              <w:pStyle w:val="TableParagraph"/>
              <w:spacing w:before="5"/>
              <w:rPr>
                <w:b/>
                <w:sz w:val="31"/>
              </w:rPr>
            </w:pPr>
          </w:p>
          <w:p>
            <w:pPr>
              <w:pStyle w:val="TableParagraph"/>
              <w:spacing w:line="225" w:lineRule="exact"/>
              <w:ind w:right="50"/>
              <w:jc w:val="right"/>
              <w:rPr>
                <w:b/>
                <w:sz w:val="20"/>
              </w:rPr>
            </w:pPr>
            <w:r>
              <w:rPr>
                <w:b/>
                <w:w w:val="98"/>
                <w:sz w:val="20"/>
              </w:rPr>
              <w:t>-</w:t>
            </w:r>
          </w:p>
        </w:tc>
        <w:tc>
          <w:tcPr>
            <w:tcW w:w="219" w:type="dxa"/>
          </w:tcPr>
          <w:p>
            <w:pPr>
              <w:pStyle w:val="TableParagraph"/>
              <w:rPr>
                <w:rFonts w:ascii="Times New Roman"/>
                <w:sz w:val="18"/>
              </w:rPr>
            </w:pPr>
          </w:p>
        </w:tc>
        <w:tc>
          <w:tcPr>
            <w:tcW w:w="1019" w:type="dxa"/>
          </w:tcPr>
          <w:p>
            <w:pPr>
              <w:pStyle w:val="TableParagraph"/>
              <w:spacing w:before="5"/>
              <w:rPr>
                <w:b/>
                <w:sz w:val="31"/>
              </w:rPr>
            </w:pPr>
          </w:p>
          <w:p>
            <w:pPr>
              <w:pStyle w:val="TableParagraph"/>
              <w:spacing w:line="225" w:lineRule="exact"/>
              <w:ind w:right="52"/>
              <w:jc w:val="right"/>
              <w:rPr>
                <w:sz w:val="20"/>
              </w:rPr>
            </w:pPr>
            <w:r>
              <w:rPr>
                <w:w w:val="98"/>
                <w:sz w:val="20"/>
              </w:rPr>
              <w:t>-</w:t>
            </w:r>
          </w:p>
        </w:tc>
      </w:tr>
      <w:tr>
        <w:trPr>
          <w:trHeight w:val="1958" w:hRule="atLeast"/>
        </w:trPr>
        <w:tc>
          <w:tcPr>
            <w:tcW w:w="7081" w:type="dxa"/>
          </w:tcPr>
          <w:p>
            <w:pPr>
              <w:pStyle w:val="TableParagraph"/>
              <w:spacing w:before="7"/>
              <w:ind w:left="463"/>
              <w:rPr>
                <w:sz w:val="20"/>
              </w:rPr>
            </w:pPr>
            <w:r>
              <w:rPr>
                <w:sz w:val="20"/>
              </w:rPr>
              <w:t>Rental revenue from operating leases</w:t>
            </w:r>
          </w:p>
          <w:p>
            <w:pPr>
              <w:pStyle w:val="TableParagraph"/>
              <w:spacing w:line="254" w:lineRule="auto" w:before="17"/>
              <w:ind w:left="463" w:right="560"/>
              <w:rPr>
                <w:sz w:val="20"/>
              </w:rPr>
            </w:pPr>
            <w:r>
              <w:rPr>
                <w:sz w:val="20"/>
              </w:rPr>
              <w:t>Charitable and other contributions to revenue expenditure: NHS Charitable and other contributions to revenue expenditure: non-NHS Receipt of donations (capital/cash)</w:t>
            </w:r>
          </w:p>
          <w:p>
            <w:pPr>
              <w:pStyle w:val="TableParagraph"/>
              <w:spacing w:line="254" w:lineRule="auto" w:before="1"/>
              <w:ind w:left="463" w:right="1906"/>
              <w:rPr>
                <w:sz w:val="20"/>
              </w:rPr>
            </w:pPr>
            <w:r>
              <w:rPr>
                <w:sz w:val="20"/>
              </w:rPr>
              <w:t>Receipt of Government grants for capital acquisitions Continuing Health Care risk pool contributions</w:t>
            </w:r>
          </w:p>
          <w:p>
            <w:pPr>
              <w:pStyle w:val="TableParagraph"/>
              <w:spacing w:line="236" w:lineRule="exact" w:before="1"/>
              <w:ind w:left="463" w:right="2295"/>
              <w:rPr>
                <w:sz w:val="20"/>
              </w:rPr>
            </w:pPr>
            <w:r>
              <w:rPr>
                <w:sz w:val="20"/>
              </w:rPr>
              <w:t>Non cash apprenticeship training grants revenue Other non contract revenue</w:t>
            </w:r>
          </w:p>
        </w:tc>
        <w:tc>
          <w:tcPr>
            <w:tcW w:w="1018" w:type="dxa"/>
          </w:tcPr>
          <w:p>
            <w:pPr>
              <w:pStyle w:val="TableParagraph"/>
              <w:spacing w:before="7"/>
              <w:ind w:right="50"/>
              <w:jc w:val="right"/>
              <w:rPr>
                <w:b/>
                <w:sz w:val="20"/>
              </w:rPr>
            </w:pPr>
            <w:r>
              <w:rPr>
                <w:b/>
                <w:w w:val="98"/>
                <w:sz w:val="20"/>
              </w:rPr>
              <w:t>-</w:t>
            </w:r>
          </w:p>
          <w:p>
            <w:pPr>
              <w:pStyle w:val="TableParagraph"/>
              <w:spacing w:before="17"/>
              <w:ind w:right="50"/>
              <w:jc w:val="right"/>
              <w:rPr>
                <w:b/>
                <w:sz w:val="20"/>
              </w:rPr>
            </w:pPr>
            <w:r>
              <w:rPr>
                <w:b/>
                <w:w w:val="98"/>
                <w:sz w:val="20"/>
              </w:rPr>
              <w:t>-</w:t>
            </w:r>
          </w:p>
          <w:p>
            <w:pPr>
              <w:pStyle w:val="TableParagraph"/>
              <w:spacing w:before="15"/>
              <w:ind w:right="50"/>
              <w:jc w:val="right"/>
              <w:rPr>
                <w:b/>
                <w:sz w:val="20"/>
              </w:rPr>
            </w:pPr>
            <w:r>
              <w:rPr>
                <w:b/>
                <w:w w:val="98"/>
                <w:sz w:val="20"/>
              </w:rPr>
              <w:t>-</w:t>
            </w:r>
          </w:p>
          <w:p>
            <w:pPr>
              <w:pStyle w:val="TableParagraph"/>
              <w:spacing w:before="15"/>
              <w:ind w:right="50"/>
              <w:jc w:val="right"/>
              <w:rPr>
                <w:b/>
                <w:sz w:val="20"/>
              </w:rPr>
            </w:pPr>
            <w:r>
              <w:rPr>
                <w:b/>
                <w:w w:val="98"/>
                <w:sz w:val="20"/>
              </w:rPr>
              <w:t>-</w:t>
            </w:r>
          </w:p>
          <w:p>
            <w:pPr>
              <w:pStyle w:val="TableParagraph"/>
              <w:spacing w:before="15"/>
              <w:ind w:right="50"/>
              <w:jc w:val="right"/>
              <w:rPr>
                <w:b/>
                <w:sz w:val="20"/>
              </w:rPr>
            </w:pPr>
            <w:r>
              <w:rPr>
                <w:b/>
                <w:w w:val="98"/>
                <w:sz w:val="20"/>
              </w:rPr>
              <w:t>-</w:t>
            </w:r>
          </w:p>
          <w:p>
            <w:pPr>
              <w:pStyle w:val="TableParagraph"/>
              <w:spacing w:before="15"/>
              <w:ind w:right="50"/>
              <w:jc w:val="right"/>
              <w:rPr>
                <w:b/>
                <w:sz w:val="20"/>
              </w:rPr>
            </w:pPr>
            <w:r>
              <w:rPr>
                <w:b/>
                <w:w w:val="98"/>
                <w:sz w:val="20"/>
              </w:rPr>
              <w:t>-</w:t>
            </w:r>
          </w:p>
          <w:p>
            <w:pPr>
              <w:pStyle w:val="TableParagraph"/>
              <w:spacing w:before="14"/>
              <w:ind w:right="50"/>
              <w:jc w:val="right"/>
              <w:rPr>
                <w:b/>
                <w:sz w:val="20"/>
              </w:rPr>
            </w:pPr>
            <w:r>
              <w:rPr>
                <w:b/>
                <w:w w:val="98"/>
                <w:sz w:val="20"/>
              </w:rPr>
              <w:t>-</w:t>
            </w:r>
          </w:p>
          <w:p>
            <w:pPr>
              <w:pStyle w:val="TableParagraph"/>
              <w:tabs>
                <w:tab w:pos="741" w:val="left" w:leader="none"/>
              </w:tabs>
              <w:spacing w:line="225" w:lineRule="exact" w:before="6"/>
              <w:jc w:val="right"/>
              <w:rPr>
                <w:b/>
                <w:sz w:val="20"/>
              </w:rPr>
            </w:pPr>
            <w:r>
              <w:rPr>
                <w:b/>
                <w:w w:val="94"/>
                <w:sz w:val="20"/>
                <w:u w:val="single"/>
              </w:rPr>
              <w:t> </w:t>
            </w:r>
            <w:r>
              <w:rPr>
                <w:b/>
                <w:sz w:val="20"/>
                <w:u w:val="single"/>
              </w:rPr>
              <w:tab/>
            </w:r>
            <w:r>
              <w:rPr>
                <w:b/>
                <w:w w:val="90"/>
                <w:sz w:val="20"/>
                <w:u w:val="single"/>
              </w:rPr>
              <w:t>16</w:t>
            </w:r>
          </w:p>
        </w:tc>
        <w:tc>
          <w:tcPr>
            <w:tcW w:w="219" w:type="dxa"/>
          </w:tcPr>
          <w:p>
            <w:pPr>
              <w:pStyle w:val="TableParagraph"/>
              <w:rPr>
                <w:rFonts w:ascii="Times New Roman"/>
                <w:sz w:val="18"/>
              </w:rPr>
            </w:pPr>
          </w:p>
        </w:tc>
        <w:tc>
          <w:tcPr>
            <w:tcW w:w="1019" w:type="dxa"/>
          </w:tcPr>
          <w:p>
            <w:pPr>
              <w:pStyle w:val="TableParagraph"/>
              <w:spacing w:before="7"/>
              <w:ind w:right="52"/>
              <w:jc w:val="right"/>
              <w:rPr>
                <w:sz w:val="20"/>
              </w:rPr>
            </w:pPr>
            <w:r>
              <w:rPr>
                <w:w w:val="98"/>
                <w:sz w:val="20"/>
              </w:rPr>
              <w:t>-</w:t>
            </w:r>
          </w:p>
          <w:p>
            <w:pPr>
              <w:pStyle w:val="TableParagraph"/>
              <w:spacing w:before="17"/>
              <w:ind w:right="52"/>
              <w:jc w:val="right"/>
              <w:rPr>
                <w:sz w:val="20"/>
              </w:rPr>
            </w:pPr>
            <w:r>
              <w:rPr>
                <w:w w:val="98"/>
                <w:sz w:val="20"/>
              </w:rPr>
              <w:t>-</w:t>
            </w:r>
          </w:p>
          <w:p>
            <w:pPr>
              <w:pStyle w:val="TableParagraph"/>
              <w:spacing w:before="15"/>
              <w:ind w:right="52"/>
              <w:jc w:val="right"/>
              <w:rPr>
                <w:sz w:val="20"/>
              </w:rPr>
            </w:pPr>
            <w:r>
              <w:rPr>
                <w:w w:val="98"/>
                <w:sz w:val="20"/>
              </w:rPr>
              <w:t>-</w:t>
            </w:r>
          </w:p>
          <w:p>
            <w:pPr>
              <w:pStyle w:val="TableParagraph"/>
              <w:spacing w:before="15"/>
              <w:ind w:right="52"/>
              <w:jc w:val="right"/>
              <w:rPr>
                <w:sz w:val="20"/>
              </w:rPr>
            </w:pPr>
            <w:r>
              <w:rPr>
                <w:w w:val="98"/>
                <w:sz w:val="20"/>
              </w:rPr>
              <w:t>-</w:t>
            </w:r>
          </w:p>
          <w:p>
            <w:pPr>
              <w:pStyle w:val="TableParagraph"/>
              <w:spacing w:before="15"/>
              <w:ind w:right="52"/>
              <w:jc w:val="right"/>
              <w:rPr>
                <w:sz w:val="20"/>
              </w:rPr>
            </w:pPr>
            <w:r>
              <w:rPr>
                <w:w w:val="98"/>
                <w:sz w:val="20"/>
              </w:rPr>
              <w:t>-</w:t>
            </w:r>
          </w:p>
          <w:p>
            <w:pPr>
              <w:pStyle w:val="TableParagraph"/>
              <w:spacing w:before="15"/>
              <w:ind w:right="52"/>
              <w:jc w:val="right"/>
              <w:rPr>
                <w:sz w:val="20"/>
              </w:rPr>
            </w:pPr>
            <w:r>
              <w:rPr>
                <w:w w:val="98"/>
                <w:sz w:val="20"/>
              </w:rPr>
              <w:t>-</w:t>
            </w:r>
          </w:p>
          <w:p>
            <w:pPr>
              <w:pStyle w:val="TableParagraph"/>
              <w:spacing w:before="14"/>
              <w:ind w:right="52"/>
              <w:jc w:val="right"/>
              <w:rPr>
                <w:sz w:val="20"/>
              </w:rPr>
            </w:pPr>
            <w:r>
              <w:rPr>
                <w:w w:val="98"/>
                <w:sz w:val="20"/>
              </w:rPr>
              <w:t>-</w:t>
            </w:r>
          </w:p>
          <w:p>
            <w:pPr>
              <w:pStyle w:val="TableParagraph"/>
              <w:tabs>
                <w:tab w:pos="895" w:val="left" w:leader="none"/>
              </w:tabs>
              <w:spacing w:line="225" w:lineRule="exact" w:before="6"/>
              <w:ind w:right="1"/>
              <w:jc w:val="right"/>
              <w:rPr>
                <w:sz w:val="20"/>
              </w:rPr>
            </w:pPr>
            <w:r>
              <w:rPr>
                <w:w w:val="95"/>
                <w:sz w:val="20"/>
                <w:u w:val="single"/>
              </w:rPr>
              <w:t> </w:t>
            </w:r>
            <w:r>
              <w:rPr>
                <w:sz w:val="20"/>
                <w:u w:val="single"/>
              </w:rPr>
              <w:tab/>
            </w:r>
            <w:r>
              <w:rPr>
                <w:w w:val="95"/>
                <w:sz w:val="20"/>
                <w:u w:val="single"/>
              </w:rPr>
              <w:t>-</w:t>
            </w:r>
          </w:p>
        </w:tc>
      </w:tr>
      <w:tr>
        <w:trPr>
          <w:trHeight w:val="501" w:hRule="atLeast"/>
        </w:trPr>
        <w:tc>
          <w:tcPr>
            <w:tcW w:w="7081" w:type="dxa"/>
          </w:tcPr>
          <w:p>
            <w:pPr>
              <w:pStyle w:val="TableParagraph"/>
              <w:spacing w:before="7"/>
              <w:ind w:left="463"/>
              <w:rPr>
                <w:b/>
                <w:sz w:val="20"/>
              </w:rPr>
            </w:pPr>
            <w:r>
              <w:rPr>
                <w:b/>
                <w:sz w:val="20"/>
              </w:rPr>
              <w:t>Total Other operating income</w:t>
            </w:r>
          </w:p>
        </w:tc>
        <w:tc>
          <w:tcPr>
            <w:tcW w:w="1018" w:type="dxa"/>
            <w:tcBorders>
              <w:bottom w:val="single" w:sz="8" w:space="0" w:color="000000"/>
            </w:tcBorders>
          </w:tcPr>
          <w:p>
            <w:pPr>
              <w:pStyle w:val="TableParagraph"/>
              <w:tabs>
                <w:tab w:pos="741" w:val="left" w:leader="none"/>
              </w:tabs>
              <w:spacing w:before="7"/>
              <w:jc w:val="right"/>
              <w:rPr>
                <w:b/>
                <w:sz w:val="20"/>
              </w:rPr>
            </w:pPr>
            <w:r>
              <w:rPr>
                <w:b/>
                <w:w w:val="94"/>
                <w:sz w:val="20"/>
                <w:u w:val="single"/>
              </w:rPr>
              <w:t> </w:t>
            </w:r>
            <w:r>
              <w:rPr>
                <w:b/>
                <w:sz w:val="20"/>
                <w:u w:val="single"/>
              </w:rPr>
              <w:tab/>
            </w:r>
            <w:r>
              <w:rPr>
                <w:b/>
                <w:w w:val="90"/>
                <w:sz w:val="20"/>
                <w:u w:val="single"/>
              </w:rPr>
              <w:t>16</w:t>
            </w:r>
          </w:p>
        </w:tc>
        <w:tc>
          <w:tcPr>
            <w:tcW w:w="219" w:type="dxa"/>
          </w:tcPr>
          <w:p>
            <w:pPr>
              <w:pStyle w:val="TableParagraph"/>
              <w:rPr>
                <w:rFonts w:ascii="Times New Roman"/>
                <w:sz w:val="18"/>
              </w:rPr>
            </w:pPr>
          </w:p>
        </w:tc>
        <w:tc>
          <w:tcPr>
            <w:tcW w:w="1019" w:type="dxa"/>
            <w:tcBorders>
              <w:bottom w:val="single" w:sz="8" w:space="0" w:color="000000"/>
            </w:tcBorders>
          </w:tcPr>
          <w:p>
            <w:pPr>
              <w:pStyle w:val="TableParagraph"/>
              <w:tabs>
                <w:tab w:pos="895" w:val="left" w:leader="none"/>
              </w:tabs>
              <w:spacing w:before="7"/>
              <w:ind w:right="2"/>
              <w:jc w:val="right"/>
              <w:rPr>
                <w:b/>
                <w:sz w:val="20"/>
              </w:rPr>
            </w:pPr>
            <w:r>
              <w:rPr>
                <w:b/>
                <w:w w:val="94"/>
                <w:sz w:val="20"/>
                <w:u w:val="single"/>
              </w:rPr>
              <w:t> </w:t>
            </w:r>
            <w:r>
              <w:rPr>
                <w:b/>
                <w:sz w:val="20"/>
                <w:u w:val="single"/>
              </w:rPr>
              <w:tab/>
            </w:r>
            <w:r>
              <w:rPr>
                <w:b/>
                <w:w w:val="90"/>
                <w:sz w:val="20"/>
                <w:u w:val="single"/>
              </w:rPr>
              <w:t>-</w:t>
            </w:r>
          </w:p>
        </w:tc>
      </w:tr>
      <w:tr>
        <w:trPr>
          <w:trHeight w:val="465" w:hRule="atLeast"/>
        </w:trPr>
        <w:tc>
          <w:tcPr>
            <w:tcW w:w="7081" w:type="dxa"/>
          </w:tcPr>
          <w:p>
            <w:pPr>
              <w:pStyle w:val="TableParagraph"/>
              <w:spacing w:line="220" w:lineRule="exact"/>
              <w:ind w:left="463"/>
              <w:rPr>
                <w:b/>
                <w:sz w:val="20"/>
              </w:rPr>
            </w:pPr>
            <w:r>
              <w:rPr>
                <w:b/>
                <w:sz w:val="20"/>
              </w:rPr>
              <w:t>Total Operating Income</w:t>
            </w:r>
          </w:p>
        </w:tc>
        <w:tc>
          <w:tcPr>
            <w:tcW w:w="1018" w:type="dxa"/>
            <w:tcBorders>
              <w:top w:val="single" w:sz="8" w:space="0" w:color="000000"/>
            </w:tcBorders>
          </w:tcPr>
          <w:p>
            <w:pPr>
              <w:pStyle w:val="TableParagraph"/>
              <w:tabs>
                <w:tab w:pos="631" w:val="left" w:leader="none"/>
              </w:tabs>
              <w:spacing w:line="220" w:lineRule="exact"/>
              <w:jc w:val="right"/>
              <w:rPr>
                <w:b/>
                <w:sz w:val="20"/>
              </w:rPr>
            </w:pPr>
            <w:r>
              <w:rPr>
                <w:b/>
                <w:w w:val="94"/>
                <w:sz w:val="20"/>
                <w:u w:val="single"/>
              </w:rPr>
              <w:t> </w:t>
            </w:r>
            <w:r>
              <w:rPr>
                <w:b/>
                <w:sz w:val="20"/>
                <w:u w:val="single"/>
              </w:rPr>
              <w:tab/>
            </w:r>
            <w:r>
              <w:rPr>
                <w:b/>
                <w:w w:val="90"/>
                <w:sz w:val="20"/>
                <w:u w:val="single"/>
              </w:rPr>
              <w:t>436</w:t>
            </w:r>
          </w:p>
        </w:tc>
        <w:tc>
          <w:tcPr>
            <w:tcW w:w="219" w:type="dxa"/>
          </w:tcPr>
          <w:p>
            <w:pPr>
              <w:pStyle w:val="TableParagraph"/>
              <w:rPr>
                <w:rFonts w:ascii="Times New Roman"/>
                <w:sz w:val="18"/>
              </w:rPr>
            </w:pPr>
          </w:p>
        </w:tc>
        <w:tc>
          <w:tcPr>
            <w:tcW w:w="1019" w:type="dxa"/>
            <w:tcBorders>
              <w:top w:val="single" w:sz="8" w:space="0" w:color="000000"/>
            </w:tcBorders>
          </w:tcPr>
          <w:p>
            <w:pPr>
              <w:pStyle w:val="TableParagraph"/>
              <w:tabs>
                <w:tab w:pos="631" w:val="left" w:leader="none"/>
              </w:tabs>
              <w:spacing w:line="220" w:lineRule="exact"/>
              <w:jc w:val="right"/>
              <w:rPr>
                <w:b/>
                <w:sz w:val="20"/>
              </w:rPr>
            </w:pPr>
            <w:r>
              <w:rPr>
                <w:b/>
                <w:w w:val="94"/>
                <w:sz w:val="20"/>
                <w:u w:val="single"/>
              </w:rPr>
              <w:t> </w:t>
            </w:r>
            <w:r>
              <w:rPr>
                <w:b/>
                <w:sz w:val="20"/>
                <w:u w:val="single"/>
              </w:rPr>
              <w:tab/>
            </w:r>
            <w:r>
              <w:rPr>
                <w:b/>
                <w:w w:val="90"/>
                <w:sz w:val="20"/>
                <w:u w:val="single"/>
              </w:rPr>
              <w:t>268</w:t>
            </w:r>
          </w:p>
        </w:tc>
      </w:tr>
      <w:tr>
        <w:trPr>
          <w:trHeight w:val="468" w:hRule="atLeast"/>
        </w:trPr>
        <w:tc>
          <w:tcPr>
            <w:tcW w:w="7081" w:type="dxa"/>
          </w:tcPr>
          <w:p>
            <w:pPr>
              <w:pStyle w:val="TableParagraph"/>
              <w:spacing w:before="9"/>
              <w:rPr>
                <w:b/>
                <w:sz w:val="20"/>
              </w:rPr>
            </w:pPr>
          </w:p>
          <w:p>
            <w:pPr>
              <w:pStyle w:val="TableParagraph"/>
              <w:spacing w:line="210" w:lineRule="exact"/>
              <w:ind w:left="463"/>
              <w:rPr>
                <w:b/>
                <w:sz w:val="20"/>
              </w:rPr>
            </w:pPr>
            <w:r>
              <w:rPr>
                <w:b/>
                <w:sz w:val="20"/>
              </w:rPr>
              <w:t>Explanatory Notes</w:t>
            </w:r>
          </w:p>
        </w:tc>
        <w:tc>
          <w:tcPr>
            <w:tcW w:w="1018" w:type="dxa"/>
          </w:tcPr>
          <w:p>
            <w:pPr>
              <w:pStyle w:val="TableParagraph"/>
              <w:rPr>
                <w:rFonts w:ascii="Times New Roman"/>
                <w:sz w:val="18"/>
              </w:rPr>
            </w:pPr>
          </w:p>
        </w:tc>
        <w:tc>
          <w:tcPr>
            <w:tcW w:w="219" w:type="dxa"/>
          </w:tcPr>
          <w:p>
            <w:pPr>
              <w:pStyle w:val="TableParagraph"/>
              <w:rPr>
                <w:rFonts w:ascii="Times New Roman"/>
                <w:sz w:val="18"/>
              </w:rPr>
            </w:pPr>
          </w:p>
        </w:tc>
        <w:tc>
          <w:tcPr>
            <w:tcW w:w="1019" w:type="dxa"/>
          </w:tcPr>
          <w:p>
            <w:pPr>
              <w:pStyle w:val="TableParagraph"/>
              <w:rPr>
                <w:rFonts w:ascii="Times New Roman"/>
                <w:sz w:val="18"/>
              </w:rPr>
            </w:pPr>
          </w:p>
        </w:tc>
      </w:tr>
    </w:tbl>
    <w:p>
      <w:pPr>
        <w:pStyle w:val="BodyText"/>
        <w:spacing w:before="7"/>
        <w:rPr>
          <w:b/>
          <w:sz w:val="24"/>
        </w:rPr>
      </w:pPr>
    </w:p>
    <w:p>
      <w:pPr>
        <w:spacing w:line="264" w:lineRule="auto" w:before="0"/>
        <w:ind w:left="1014" w:right="1264" w:hanging="264"/>
        <w:jc w:val="left"/>
        <w:rPr>
          <w:b/>
          <w:sz w:val="20"/>
        </w:rPr>
      </w:pPr>
      <w:r>
        <w:rPr>
          <w:b/>
          <w:position w:val="1"/>
          <w:sz w:val="20"/>
        </w:rPr>
        <w:t>1* </w:t>
      </w:r>
      <w:r>
        <w:rPr>
          <w:b/>
          <w:sz w:val="20"/>
        </w:rPr>
        <w:t>Non-patient care services to other bodies increased in 2021-22 as a result of prescribing income returning to pre-COVID levels.</w:t>
      </w:r>
    </w:p>
    <w:p>
      <w:pPr>
        <w:pStyle w:val="BodyText"/>
        <w:spacing w:before="9"/>
        <w:rPr>
          <w:b/>
          <w:sz w:val="18"/>
        </w:rPr>
      </w:pPr>
    </w:p>
    <w:p>
      <w:pPr>
        <w:spacing w:line="266" w:lineRule="auto" w:before="0"/>
        <w:ind w:left="1014" w:right="986" w:hanging="264"/>
        <w:jc w:val="left"/>
        <w:rPr>
          <w:b/>
          <w:sz w:val="20"/>
        </w:rPr>
      </w:pPr>
      <w:r>
        <w:rPr>
          <w:b/>
          <w:position w:val="1"/>
          <w:sz w:val="20"/>
        </w:rPr>
        <w:t>2* </w:t>
      </w:r>
      <w:r>
        <w:rPr>
          <w:b/>
          <w:sz w:val="20"/>
        </w:rPr>
        <w:t>Prescription fees and charges income increased in 2021-22 as a result of increased income from prescribing rebate schemes.</w:t>
      </w:r>
    </w:p>
    <w:p>
      <w:pPr>
        <w:spacing w:after="0" w:line="266" w:lineRule="auto"/>
        <w:jc w:val="left"/>
        <w:rPr>
          <w:sz w:val="20"/>
        </w:rPr>
        <w:sectPr>
          <w:footerReference w:type="default" r:id="rId50"/>
          <w:pgSz w:w="11920" w:h="16850"/>
          <w:pgMar w:footer="542" w:header="0" w:top="1000" w:bottom="740" w:left="740" w:right="520"/>
        </w:sectPr>
      </w:pPr>
    </w:p>
    <w:p>
      <w:pPr>
        <w:pStyle w:val="BodyText"/>
        <w:spacing w:before="4"/>
        <w:rPr>
          <w:b/>
          <w:sz w:val="6"/>
        </w:rPr>
      </w:pPr>
    </w:p>
    <w:p>
      <w:pPr>
        <w:spacing w:before="0"/>
        <w:ind w:left="311" w:right="0" w:firstLine="0"/>
        <w:jc w:val="left"/>
        <w:rPr>
          <w:sz w:val="8"/>
        </w:rPr>
      </w:pPr>
      <w:r>
        <w:rPr>
          <w:sz w:val="8"/>
        </w:rPr>
        <w:t>NHS North Lincolnshire CCG - Annual Accounts 2021-22</w:t>
      </w:r>
    </w:p>
    <w:p>
      <w:pPr>
        <w:pStyle w:val="BodyText"/>
        <w:rPr>
          <w:sz w:val="10"/>
        </w:rPr>
      </w:pPr>
    </w:p>
    <w:p>
      <w:pPr>
        <w:pStyle w:val="ListParagraph"/>
        <w:numPr>
          <w:ilvl w:val="1"/>
          <w:numId w:val="24"/>
        </w:numPr>
        <w:tabs>
          <w:tab w:pos="736" w:val="left" w:leader="none"/>
        </w:tabs>
        <w:spacing w:line="240" w:lineRule="auto" w:before="0" w:after="0"/>
        <w:ind w:left="736" w:right="0" w:hanging="159"/>
        <w:jc w:val="left"/>
        <w:rPr>
          <w:b/>
          <w:sz w:val="8"/>
        </w:rPr>
      </w:pPr>
      <w:r>
        <w:rPr>
          <w:b/>
          <w:sz w:val="8"/>
        </w:rPr>
        <w:t>Disaggregation of Income - Income from sale of</w:t>
      </w:r>
      <w:r>
        <w:rPr>
          <w:b/>
          <w:spacing w:val="6"/>
          <w:sz w:val="8"/>
        </w:rPr>
        <w:t> </w:t>
      </w:r>
      <w:r>
        <w:rPr>
          <w:b/>
          <w:sz w:val="8"/>
        </w:rPr>
        <w:t>good and services (contracts)</w:t>
      </w:r>
    </w:p>
    <w:p>
      <w:pPr>
        <w:pStyle w:val="BodyText"/>
        <w:rPr>
          <w:b/>
          <w:sz w:val="23"/>
        </w:rPr>
      </w:pPr>
    </w:p>
    <w:p>
      <w:pPr>
        <w:spacing w:after="0"/>
        <w:rPr>
          <w:sz w:val="23"/>
        </w:rPr>
        <w:sectPr>
          <w:footerReference w:type="default" r:id="rId51"/>
          <w:pgSz w:w="11920" w:h="16850"/>
          <w:pgMar w:footer="0" w:header="0" w:top="1000" w:bottom="280" w:left="740" w:right="520"/>
        </w:sectPr>
      </w:pPr>
    </w:p>
    <w:p>
      <w:pPr>
        <w:pStyle w:val="BodyText"/>
        <w:rPr>
          <w:b/>
          <w:sz w:val="8"/>
        </w:rPr>
      </w:pPr>
    </w:p>
    <w:p>
      <w:pPr>
        <w:pStyle w:val="BodyText"/>
        <w:spacing w:before="5"/>
        <w:rPr>
          <w:b/>
          <w:sz w:val="9"/>
        </w:rPr>
      </w:pPr>
    </w:p>
    <w:p>
      <w:pPr>
        <w:spacing w:before="0"/>
        <w:ind w:left="0" w:right="38" w:firstLine="0"/>
        <w:jc w:val="right"/>
        <w:rPr>
          <w:b/>
          <w:sz w:val="8"/>
        </w:rPr>
      </w:pPr>
      <w:r>
        <w:rPr>
          <w:b/>
          <w:sz w:val="8"/>
        </w:rPr>
        <w:t>2021/22</w:t>
      </w:r>
    </w:p>
    <w:p>
      <w:pPr>
        <w:pStyle w:val="BodyText"/>
        <w:rPr>
          <w:b/>
          <w:sz w:val="8"/>
        </w:rPr>
      </w:pPr>
      <w:r>
        <w:rPr/>
        <w:br w:type="column"/>
      </w:r>
      <w:r>
        <w:rPr>
          <w:b/>
          <w:sz w:val="8"/>
        </w:rPr>
      </w:r>
    </w:p>
    <w:p>
      <w:pPr>
        <w:spacing w:line="280" w:lineRule="auto" w:before="58"/>
        <w:ind w:left="851" w:right="-14" w:hanging="116"/>
        <w:jc w:val="left"/>
        <w:rPr>
          <w:b/>
          <w:sz w:val="8"/>
        </w:rPr>
      </w:pPr>
      <w:r>
        <w:rPr>
          <w:b/>
          <w:sz w:val="8"/>
        </w:rPr>
        <w:t>Education, training and research</w:t>
      </w:r>
    </w:p>
    <w:p>
      <w:pPr>
        <w:pStyle w:val="BodyText"/>
        <w:spacing w:before="5"/>
        <w:rPr>
          <w:b/>
          <w:sz w:val="8"/>
        </w:rPr>
      </w:pPr>
      <w:r>
        <w:rPr/>
        <w:br w:type="column"/>
      </w:r>
      <w:r>
        <w:rPr>
          <w:b/>
          <w:sz w:val="8"/>
        </w:rPr>
      </w:r>
    </w:p>
    <w:p>
      <w:pPr>
        <w:spacing w:line="278" w:lineRule="auto" w:before="0"/>
        <w:ind w:left="221" w:right="0" w:firstLine="1"/>
        <w:jc w:val="center"/>
        <w:rPr>
          <w:b/>
          <w:sz w:val="8"/>
        </w:rPr>
      </w:pPr>
      <w:r>
        <w:rPr>
          <w:b/>
          <w:sz w:val="8"/>
        </w:rPr>
        <w:t>Non-patient care services to other bodies</w:t>
      </w:r>
    </w:p>
    <w:p>
      <w:pPr>
        <w:pStyle w:val="BodyText"/>
        <w:rPr>
          <w:b/>
          <w:sz w:val="8"/>
        </w:rPr>
      </w:pPr>
      <w:r>
        <w:rPr/>
        <w:br w:type="column"/>
      </w:r>
      <w:r>
        <w:rPr>
          <w:b/>
          <w:sz w:val="8"/>
        </w:rPr>
      </w:r>
    </w:p>
    <w:p>
      <w:pPr>
        <w:spacing w:line="280" w:lineRule="auto" w:before="58"/>
        <w:ind w:left="363" w:right="-14" w:hanging="168"/>
        <w:jc w:val="left"/>
        <w:rPr>
          <w:b/>
          <w:sz w:val="8"/>
        </w:rPr>
      </w:pPr>
      <w:r>
        <w:rPr>
          <w:b/>
          <w:sz w:val="8"/>
        </w:rPr>
        <w:t>Patient transport services</w:t>
      </w:r>
    </w:p>
    <w:p>
      <w:pPr>
        <w:pStyle w:val="BodyText"/>
        <w:rPr>
          <w:b/>
          <w:sz w:val="8"/>
        </w:rPr>
      </w:pPr>
      <w:r>
        <w:rPr/>
        <w:br w:type="column"/>
      </w:r>
      <w:r>
        <w:rPr>
          <w:b/>
          <w:sz w:val="8"/>
        </w:rPr>
      </w:r>
    </w:p>
    <w:p>
      <w:pPr>
        <w:spacing w:line="280" w:lineRule="auto" w:before="58"/>
        <w:ind w:left="298" w:right="-6" w:hanging="94"/>
        <w:jc w:val="left"/>
        <w:rPr>
          <w:b/>
          <w:sz w:val="8"/>
        </w:rPr>
      </w:pPr>
      <w:r>
        <w:rPr>
          <w:b/>
          <w:sz w:val="8"/>
        </w:rPr>
        <w:t>Prescription fees and charges</w:t>
      </w:r>
    </w:p>
    <w:p>
      <w:pPr>
        <w:pStyle w:val="BodyText"/>
        <w:rPr>
          <w:b/>
          <w:sz w:val="8"/>
        </w:rPr>
      </w:pPr>
      <w:r>
        <w:rPr/>
        <w:br w:type="column"/>
      </w:r>
      <w:r>
        <w:rPr>
          <w:b/>
          <w:sz w:val="8"/>
        </w:rPr>
      </w:r>
    </w:p>
    <w:p>
      <w:pPr>
        <w:spacing w:line="276" w:lineRule="auto" w:before="60"/>
        <w:ind w:left="368" w:right="-4" w:hanging="149"/>
        <w:jc w:val="left"/>
        <w:rPr>
          <w:b/>
          <w:sz w:val="8"/>
        </w:rPr>
      </w:pPr>
      <w:r>
        <w:rPr>
          <w:b/>
          <w:sz w:val="8"/>
        </w:rPr>
        <w:t>Dental fees and charges</w:t>
      </w:r>
    </w:p>
    <w:p>
      <w:pPr>
        <w:pStyle w:val="BodyText"/>
        <w:rPr>
          <w:b/>
          <w:sz w:val="8"/>
        </w:rPr>
      </w:pPr>
      <w:r>
        <w:rPr/>
        <w:br w:type="column"/>
      </w:r>
      <w:r>
        <w:rPr>
          <w:b/>
          <w:sz w:val="8"/>
        </w:rPr>
      </w:r>
    </w:p>
    <w:p>
      <w:pPr>
        <w:pStyle w:val="BodyText"/>
        <w:spacing w:before="7"/>
        <w:rPr>
          <w:b/>
          <w:sz w:val="9"/>
        </w:rPr>
      </w:pPr>
    </w:p>
    <w:p>
      <w:pPr>
        <w:spacing w:before="0"/>
        <w:ind w:left="185" w:right="0" w:firstLine="0"/>
        <w:jc w:val="left"/>
        <w:rPr>
          <w:b/>
          <w:sz w:val="8"/>
        </w:rPr>
      </w:pPr>
      <w:r>
        <w:rPr>
          <w:b/>
          <w:sz w:val="8"/>
        </w:rPr>
        <w:t>Income </w:t>
      </w:r>
      <w:r>
        <w:rPr>
          <w:b/>
          <w:spacing w:val="-4"/>
          <w:sz w:val="8"/>
        </w:rPr>
        <w:t>generation</w:t>
      </w:r>
    </w:p>
    <w:p>
      <w:pPr>
        <w:pStyle w:val="BodyText"/>
        <w:rPr>
          <w:b/>
          <w:sz w:val="8"/>
        </w:rPr>
      </w:pPr>
      <w:r>
        <w:rPr/>
        <w:br w:type="column"/>
      </w:r>
      <w:r>
        <w:rPr>
          <w:b/>
          <w:sz w:val="8"/>
        </w:rPr>
      </w:r>
    </w:p>
    <w:p>
      <w:pPr>
        <w:spacing w:line="280" w:lineRule="auto" w:before="58"/>
        <w:ind w:left="367" w:right="0" w:hanging="152"/>
        <w:jc w:val="left"/>
        <w:rPr>
          <w:b/>
          <w:sz w:val="8"/>
        </w:rPr>
      </w:pPr>
      <w:r>
        <w:rPr>
          <w:b/>
          <w:sz w:val="8"/>
        </w:rPr>
        <w:t>Other </w:t>
      </w:r>
      <w:r>
        <w:rPr>
          <w:b/>
          <w:spacing w:val="-4"/>
          <w:sz w:val="8"/>
        </w:rPr>
        <w:t>Contract </w:t>
      </w:r>
      <w:r>
        <w:rPr>
          <w:b/>
          <w:sz w:val="8"/>
        </w:rPr>
        <w:t>income</w:t>
      </w:r>
    </w:p>
    <w:p>
      <w:pPr>
        <w:pStyle w:val="BodyText"/>
        <w:spacing w:before="5"/>
        <w:rPr>
          <w:b/>
          <w:sz w:val="8"/>
        </w:rPr>
      </w:pPr>
      <w:r>
        <w:rPr/>
        <w:br w:type="column"/>
      </w:r>
      <w:r>
        <w:rPr>
          <w:b/>
          <w:sz w:val="8"/>
        </w:rPr>
      </w:r>
    </w:p>
    <w:p>
      <w:pPr>
        <w:spacing w:line="278" w:lineRule="auto" w:before="0"/>
        <w:ind w:left="219" w:right="720" w:hanging="1"/>
        <w:jc w:val="center"/>
        <w:rPr>
          <w:b/>
          <w:sz w:val="8"/>
        </w:rPr>
      </w:pPr>
      <w:r>
        <w:rPr>
          <w:b/>
          <w:sz w:val="8"/>
        </w:rPr>
        <w:t>Recoveries in respect of employee benefits</w:t>
      </w:r>
    </w:p>
    <w:p>
      <w:pPr>
        <w:spacing w:after="0" w:line="278" w:lineRule="auto"/>
        <w:jc w:val="center"/>
        <w:rPr>
          <w:sz w:val="8"/>
        </w:rPr>
        <w:sectPr>
          <w:type w:val="continuous"/>
          <w:pgSz w:w="11920" w:h="16850"/>
          <w:pgMar w:top="1600" w:bottom="560" w:left="740" w:right="520"/>
          <w:cols w:num="9" w:equalWidth="0">
            <w:col w:w="1077" w:space="1023"/>
            <w:col w:w="1466" w:space="39"/>
            <w:col w:w="870" w:space="40"/>
            <w:col w:w="842" w:space="40"/>
            <w:col w:w="868" w:space="39"/>
            <w:col w:w="827" w:space="39"/>
            <w:col w:w="894" w:space="40"/>
            <w:col w:w="779" w:space="39"/>
            <w:col w:w="1738"/>
          </w:cols>
        </w:sectPr>
      </w:pPr>
    </w:p>
    <w:p>
      <w:pPr>
        <w:pStyle w:val="BodyText"/>
        <w:spacing w:before="10"/>
        <w:rPr>
          <w:b/>
          <w:sz w:val="20"/>
        </w:rPr>
      </w:pPr>
    </w:p>
    <w:tbl>
      <w:tblPr>
        <w:tblW w:w="0" w:type="auto"/>
        <w:jc w:val="left"/>
        <w:tblInd w:w="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4"/>
        <w:gridCol w:w="947"/>
        <w:gridCol w:w="1057"/>
        <w:gridCol w:w="534"/>
        <w:gridCol w:w="1252"/>
        <w:gridCol w:w="534"/>
        <w:gridCol w:w="1114"/>
        <w:gridCol w:w="906"/>
        <w:gridCol w:w="888"/>
      </w:tblGrid>
      <w:tr>
        <w:trPr>
          <w:trHeight w:val="88" w:hRule="atLeast"/>
        </w:trPr>
        <w:tc>
          <w:tcPr>
            <w:tcW w:w="2971" w:type="dxa"/>
            <w:gridSpan w:val="2"/>
          </w:tcPr>
          <w:p>
            <w:pPr>
              <w:pStyle w:val="TableParagraph"/>
              <w:spacing w:line="68" w:lineRule="exact"/>
              <w:ind w:right="369"/>
              <w:jc w:val="right"/>
              <w:rPr>
                <w:b/>
                <w:sz w:val="8"/>
              </w:rPr>
            </w:pPr>
            <w:r>
              <w:rPr>
                <w:b/>
                <w:sz w:val="8"/>
              </w:rPr>
              <w:t>£'000</w:t>
            </w:r>
          </w:p>
        </w:tc>
        <w:tc>
          <w:tcPr>
            <w:tcW w:w="1057" w:type="dxa"/>
          </w:tcPr>
          <w:p>
            <w:pPr>
              <w:pStyle w:val="TableParagraph"/>
              <w:spacing w:line="68" w:lineRule="exact"/>
              <w:ind w:left="355" w:right="465"/>
              <w:jc w:val="center"/>
              <w:rPr>
                <w:b/>
                <w:sz w:val="8"/>
              </w:rPr>
            </w:pPr>
            <w:r>
              <w:rPr>
                <w:b/>
                <w:sz w:val="8"/>
              </w:rPr>
              <w:t>£'000</w:t>
            </w:r>
          </w:p>
        </w:tc>
        <w:tc>
          <w:tcPr>
            <w:tcW w:w="534" w:type="dxa"/>
          </w:tcPr>
          <w:p>
            <w:pPr>
              <w:pStyle w:val="TableParagraph"/>
              <w:spacing w:line="68" w:lineRule="exact"/>
              <w:ind w:left="206"/>
              <w:rPr>
                <w:b/>
                <w:sz w:val="8"/>
              </w:rPr>
            </w:pPr>
            <w:r>
              <w:rPr>
                <w:b/>
                <w:sz w:val="8"/>
              </w:rPr>
              <w:t>£'000</w:t>
            </w:r>
          </w:p>
        </w:tc>
        <w:tc>
          <w:tcPr>
            <w:tcW w:w="1252" w:type="dxa"/>
          </w:tcPr>
          <w:p>
            <w:pPr>
              <w:pStyle w:val="TableParagraph"/>
              <w:spacing w:line="68" w:lineRule="exact"/>
              <w:ind w:left="548" w:right="466"/>
              <w:jc w:val="center"/>
              <w:rPr>
                <w:b/>
                <w:sz w:val="8"/>
              </w:rPr>
            </w:pPr>
            <w:r>
              <w:rPr>
                <w:b/>
                <w:sz w:val="8"/>
              </w:rPr>
              <w:t>£'000</w:t>
            </w:r>
          </w:p>
        </w:tc>
        <w:tc>
          <w:tcPr>
            <w:tcW w:w="534" w:type="dxa"/>
          </w:tcPr>
          <w:p>
            <w:pPr>
              <w:pStyle w:val="TableParagraph"/>
              <w:spacing w:line="68" w:lineRule="exact"/>
              <w:ind w:left="205"/>
              <w:rPr>
                <w:b/>
                <w:sz w:val="8"/>
              </w:rPr>
            </w:pPr>
            <w:r>
              <w:rPr>
                <w:b/>
                <w:sz w:val="8"/>
              </w:rPr>
              <w:t>£'000</w:t>
            </w:r>
          </w:p>
        </w:tc>
        <w:tc>
          <w:tcPr>
            <w:tcW w:w="1114" w:type="dxa"/>
          </w:tcPr>
          <w:p>
            <w:pPr>
              <w:pStyle w:val="TableParagraph"/>
              <w:spacing w:line="68" w:lineRule="exact"/>
              <w:ind w:left="564"/>
              <w:rPr>
                <w:b/>
                <w:sz w:val="8"/>
              </w:rPr>
            </w:pPr>
            <w:r>
              <w:rPr>
                <w:b/>
                <w:sz w:val="8"/>
              </w:rPr>
              <w:t>£'000</w:t>
            </w:r>
          </w:p>
        </w:tc>
        <w:tc>
          <w:tcPr>
            <w:tcW w:w="906" w:type="dxa"/>
          </w:tcPr>
          <w:p>
            <w:pPr>
              <w:pStyle w:val="TableParagraph"/>
              <w:spacing w:line="68" w:lineRule="exact"/>
              <w:ind w:left="84" w:right="96"/>
              <w:jc w:val="center"/>
              <w:rPr>
                <w:b/>
                <w:sz w:val="8"/>
              </w:rPr>
            </w:pPr>
            <w:r>
              <w:rPr>
                <w:b/>
                <w:sz w:val="8"/>
              </w:rPr>
              <w:t>£'000</w:t>
            </w:r>
          </w:p>
        </w:tc>
        <w:tc>
          <w:tcPr>
            <w:tcW w:w="888" w:type="dxa"/>
          </w:tcPr>
          <w:p>
            <w:pPr>
              <w:pStyle w:val="TableParagraph"/>
              <w:spacing w:line="68" w:lineRule="exact"/>
              <w:ind w:left="340" w:right="311"/>
              <w:jc w:val="center"/>
              <w:rPr>
                <w:b/>
                <w:sz w:val="8"/>
              </w:rPr>
            </w:pPr>
            <w:r>
              <w:rPr>
                <w:b/>
                <w:sz w:val="8"/>
              </w:rPr>
              <w:t>£'000</w:t>
            </w:r>
          </w:p>
        </w:tc>
      </w:tr>
      <w:tr>
        <w:trPr>
          <w:trHeight w:val="110" w:hRule="atLeast"/>
        </w:trPr>
        <w:tc>
          <w:tcPr>
            <w:tcW w:w="2024" w:type="dxa"/>
          </w:tcPr>
          <w:p>
            <w:pPr>
              <w:pStyle w:val="TableParagraph"/>
              <w:spacing w:line="78" w:lineRule="exact"/>
              <w:ind w:left="19"/>
              <w:rPr>
                <w:b/>
                <w:sz w:val="8"/>
              </w:rPr>
            </w:pPr>
            <w:r>
              <w:rPr>
                <w:b/>
                <w:sz w:val="8"/>
              </w:rPr>
              <w:t>Source of Revenue</w:t>
            </w:r>
          </w:p>
        </w:tc>
        <w:tc>
          <w:tcPr>
            <w:tcW w:w="2004" w:type="dxa"/>
            <w:gridSpan w:val="2"/>
          </w:tcPr>
          <w:p>
            <w:pPr>
              <w:pStyle w:val="TableParagraph"/>
              <w:rPr>
                <w:rFonts w:ascii="Times New Roman"/>
                <w:sz w:val="4"/>
              </w:rPr>
            </w:pPr>
          </w:p>
        </w:tc>
        <w:tc>
          <w:tcPr>
            <w:tcW w:w="1786" w:type="dxa"/>
            <w:gridSpan w:val="2"/>
          </w:tcPr>
          <w:p>
            <w:pPr>
              <w:pStyle w:val="TableParagraph"/>
              <w:rPr>
                <w:rFonts w:ascii="Times New Roman"/>
                <w:sz w:val="4"/>
              </w:rPr>
            </w:pPr>
          </w:p>
        </w:tc>
        <w:tc>
          <w:tcPr>
            <w:tcW w:w="3442" w:type="dxa"/>
            <w:gridSpan w:val="4"/>
          </w:tcPr>
          <w:p>
            <w:pPr>
              <w:pStyle w:val="TableParagraph"/>
              <w:rPr>
                <w:rFonts w:ascii="Times New Roman"/>
                <w:sz w:val="4"/>
              </w:rPr>
            </w:pPr>
          </w:p>
        </w:tc>
      </w:tr>
      <w:tr>
        <w:trPr>
          <w:trHeight w:val="105" w:hRule="atLeast"/>
        </w:trPr>
        <w:tc>
          <w:tcPr>
            <w:tcW w:w="2024" w:type="dxa"/>
          </w:tcPr>
          <w:p>
            <w:pPr>
              <w:pStyle w:val="TableParagraph"/>
              <w:spacing w:line="79" w:lineRule="exact" w:before="6"/>
              <w:ind w:left="19"/>
              <w:rPr>
                <w:sz w:val="8"/>
              </w:rPr>
            </w:pPr>
            <w:r>
              <w:rPr>
                <w:sz w:val="8"/>
              </w:rPr>
              <w:t>NHS</w:t>
            </w:r>
          </w:p>
        </w:tc>
        <w:tc>
          <w:tcPr>
            <w:tcW w:w="2004" w:type="dxa"/>
            <w:gridSpan w:val="2"/>
          </w:tcPr>
          <w:p>
            <w:pPr>
              <w:pStyle w:val="TableParagraph"/>
              <w:tabs>
                <w:tab w:pos="1768" w:val="left" w:leader="none"/>
              </w:tabs>
              <w:spacing w:line="79" w:lineRule="exact" w:before="6"/>
              <w:ind w:left="875"/>
              <w:rPr>
                <w:sz w:val="8"/>
              </w:rPr>
            </w:pPr>
            <w:r>
              <w:rPr>
                <w:sz w:val="8"/>
              </w:rPr>
              <w:t>-</w:t>
              <w:tab/>
              <w:t>-</w:t>
            </w:r>
          </w:p>
        </w:tc>
        <w:tc>
          <w:tcPr>
            <w:tcW w:w="1786" w:type="dxa"/>
            <w:gridSpan w:val="2"/>
          </w:tcPr>
          <w:p>
            <w:pPr>
              <w:pStyle w:val="TableParagraph"/>
              <w:tabs>
                <w:tab w:pos="1550" w:val="left" w:leader="none"/>
              </w:tabs>
              <w:spacing w:line="79" w:lineRule="exact" w:before="6"/>
              <w:ind w:left="657"/>
              <w:rPr>
                <w:sz w:val="8"/>
              </w:rPr>
            </w:pPr>
            <w:r>
              <w:rPr>
                <w:sz w:val="8"/>
              </w:rPr>
              <w:t>-</w:t>
              <w:tab/>
              <w:t>-</w:t>
            </w:r>
          </w:p>
        </w:tc>
        <w:tc>
          <w:tcPr>
            <w:tcW w:w="3442" w:type="dxa"/>
            <w:gridSpan w:val="4"/>
          </w:tcPr>
          <w:p>
            <w:pPr>
              <w:pStyle w:val="TableParagraph"/>
              <w:tabs>
                <w:tab w:pos="1549" w:val="left" w:leader="none"/>
                <w:tab w:pos="2442" w:val="left" w:leader="none"/>
                <w:tab w:pos="3388" w:val="left" w:leader="none"/>
              </w:tabs>
              <w:spacing w:line="79" w:lineRule="exact" w:before="6"/>
              <w:ind w:left="657"/>
              <w:rPr>
                <w:sz w:val="8"/>
              </w:rPr>
            </w:pPr>
            <w:r>
              <w:rPr>
                <w:sz w:val="8"/>
              </w:rPr>
              <w:t>-</w:t>
              <w:tab/>
              <w:t>-</w:t>
              <w:tab/>
              <w:t>-</w:t>
              <w:tab/>
              <w:t>-</w:t>
            </w:r>
          </w:p>
        </w:tc>
      </w:tr>
      <w:tr>
        <w:trPr>
          <w:trHeight w:val="93" w:hRule="atLeast"/>
        </w:trPr>
        <w:tc>
          <w:tcPr>
            <w:tcW w:w="2024" w:type="dxa"/>
          </w:tcPr>
          <w:p>
            <w:pPr>
              <w:pStyle w:val="TableParagraph"/>
              <w:spacing w:line="69" w:lineRule="exact" w:before="4"/>
              <w:ind w:left="19"/>
              <w:rPr>
                <w:sz w:val="8"/>
              </w:rPr>
            </w:pPr>
            <w:r>
              <w:rPr>
                <w:sz w:val="8"/>
              </w:rPr>
              <w:t>Non NHS</w:t>
            </w:r>
          </w:p>
        </w:tc>
        <w:tc>
          <w:tcPr>
            <w:tcW w:w="2004" w:type="dxa"/>
            <w:gridSpan w:val="2"/>
            <w:tcBorders>
              <w:bottom w:val="single" w:sz="2" w:space="0" w:color="000000"/>
            </w:tcBorders>
          </w:tcPr>
          <w:p>
            <w:pPr>
              <w:pStyle w:val="TableParagraph"/>
              <w:tabs>
                <w:tab w:pos="1660" w:val="left" w:leader="none"/>
              </w:tabs>
              <w:spacing w:line="62" w:lineRule="exact" w:before="4"/>
              <w:ind w:left="875"/>
              <w:rPr>
                <w:sz w:val="8"/>
              </w:rPr>
            </w:pPr>
            <w:r>
              <w:rPr>
                <w:sz w:val="8"/>
              </w:rPr>
              <w:t>-</w:t>
              <w:tab/>
              <w:t>175</w:t>
            </w:r>
          </w:p>
        </w:tc>
        <w:tc>
          <w:tcPr>
            <w:tcW w:w="1786" w:type="dxa"/>
            <w:gridSpan w:val="2"/>
            <w:tcBorders>
              <w:bottom w:val="single" w:sz="2" w:space="0" w:color="000000"/>
            </w:tcBorders>
          </w:tcPr>
          <w:p>
            <w:pPr>
              <w:pStyle w:val="TableParagraph"/>
              <w:tabs>
                <w:tab w:pos="1442" w:val="left" w:leader="none"/>
              </w:tabs>
              <w:spacing w:line="62" w:lineRule="exact" w:before="4"/>
              <w:ind w:left="657"/>
              <w:rPr>
                <w:sz w:val="8"/>
              </w:rPr>
            </w:pPr>
            <w:r>
              <w:rPr>
                <w:sz w:val="8"/>
              </w:rPr>
              <w:t>-</w:t>
              <w:tab/>
              <w:t>245</w:t>
            </w:r>
          </w:p>
        </w:tc>
        <w:tc>
          <w:tcPr>
            <w:tcW w:w="3442" w:type="dxa"/>
            <w:gridSpan w:val="4"/>
            <w:tcBorders>
              <w:bottom w:val="single" w:sz="2" w:space="0" w:color="000000"/>
            </w:tcBorders>
          </w:tcPr>
          <w:p>
            <w:pPr>
              <w:pStyle w:val="TableParagraph"/>
              <w:tabs>
                <w:tab w:pos="1549" w:val="left" w:leader="none"/>
                <w:tab w:pos="2442" w:val="left" w:leader="none"/>
                <w:tab w:pos="3387" w:val="left" w:leader="none"/>
              </w:tabs>
              <w:spacing w:line="62" w:lineRule="exact" w:before="4"/>
              <w:ind w:left="657"/>
              <w:rPr>
                <w:sz w:val="8"/>
              </w:rPr>
            </w:pPr>
            <w:r>
              <w:rPr>
                <w:sz w:val="8"/>
              </w:rPr>
              <w:t>-</w:t>
              <w:tab/>
              <w:t>-</w:t>
              <w:tab/>
              <w:t>-</w:t>
              <w:tab/>
              <w:t>-</w:t>
            </w:r>
          </w:p>
        </w:tc>
      </w:tr>
      <w:tr>
        <w:trPr>
          <w:trHeight w:val="89" w:hRule="atLeast"/>
        </w:trPr>
        <w:tc>
          <w:tcPr>
            <w:tcW w:w="2024" w:type="dxa"/>
          </w:tcPr>
          <w:p>
            <w:pPr>
              <w:pStyle w:val="TableParagraph"/>
              <w:spacing w:line="61" w:lineRule="exact" w:before="9"/>
              <w:ind w:left="19"/>
              <w:rPr>
                <w:b/>
                <w:sz w:val="8"/>
              </w:rPr>
            </w:pPr>
            <w:r>
              <w:rPr>
                <w:b/>
                <w:sz w:val="8"/>
              </w:rPr>
              <w:t>Total</w:t>
            </w:r>
          </w:p>
        </w:tc>
        <w:tc>
          <w:tcPr>
            <w:tcW w:w="2004" w:type="dxa"/>
            <w:gridSpan w:val="2"/>
            <w:tcBorders>
              <w:top w:val="single" w:sz="2" w:space="0" w:color="000000"/>
              <w:bottom w:val="single" w:sz="4" w:space="0" w:color="000000"/>
            </w:tcBorders>
          </w:tcPr>
          <w:p>
            <w:pPr>
              <w:pStyle w:val="TableParagraph"/>
              <w:tabs>
                <w:tab w:pos="1660" w:val="left" w:leader="none"/>
              </w:tabs>
              <w:spacing w:line="61" w:lineRule="exact" w:before="16"/>
              <w:ind w:left="875"/>
              <w:rPr>
                <w:b/>
                <w:sz w:val="8"/>
              </w:rPr>
            </w:pPr>
            <w:r>
              <w:rPr>
                <w:b/>
                <w:sz w:val="8"/>
              </w:rPr>
              <w:t>-</w:t>
              <w:tab/>
              <w:t>175</w:t>
            </w:r>
          </w:p>
        </w:tc>
        <w:tc>
          <w:tcPr>
            <w:tcW w:w="1786" w:type="dxa"/>
            <w:gridSpan w:val="2"/>
            <w:tcBorders>
              <w:top w:val="single" w:sz="2" w:space="0" w:color="000000"/>
              <w:bottom w:val="single" w:sz="4" w:space="0" w:color="000000"/>
            </w:tcBorders>
          </w:tcPr>
          <w:p>
            <w:pPr>
              <w:pStyle w:val="TableParagraph"/>
              <w:tabs>
                <w:tab w:pos="1442" w:val="left" w:leader="none"/>
              </w:tabs>
              <w:spacing w:line="61" w:lineRule="exact" w:before="16"/>
              <w:ind w:left="657"/>
              <w:rPr>
                <w:b/>
                <w:sz w:val="8"/>
              </w:rPr>
            </w:pPr>
            <w:r>
              <w:rPr>
                <w:b/>
                <w:sz w:val="8"/>
              </w:rPr>
              <w:t>-</w:t>
              <w:tab/>
              <w:t>245</w:t>
            </w:r>
          </w:p>
        </w:tc>
        <w:tc>
          <w:tcPr>
            <w:tcW w:w="3442" w:type="dxa"/>
            <w:gridSpan w:val="4"/>
            <w:tcBorders>
              <w:top w:val="single" w:sz="2" w:space="0" w:color="000000"/>
              <w:bottom w:val="single" w:sz="4" w:space="0" w:color="000000"/>
            </w:tcBorders>
          </w:tcPr>
          <w:p>
            <w:pPr>
              <w:pStyle w:val="TableParagraph"/>
              <w:tabs>
                <w:tab w:pos="1549" w:val="left" w:leader="none"/>
                <w:tab w:pos="2442" w:val="left" w:leader="none"/>
                <w:tab w:pos="3388" w:val="left" w:leader="none"/>
              </w:tabs>
              <w:spacing w:line="61" w:lineRule="exact" w:before="16"/>
              <w:ind w:left="657"/>
              <w:rPr>
                <w:b/>
                <w:sz w:val="8"/>
              </w:rPr>
            </w:pPr>
            <w:r>
              <w:rPr>
                <w:b/>
                <w:sz w:val="8"/>
              </w:rPr>
              <w:t>-</w:t>
              <w:tab/>
              <w:t>-</w:t>
              <w:tab/>
              <w:t>-</w:t>
              <w:tab/>
              <w:t>-</w:t>
            </w:r>
          </w:p>
        </w:tc>
      </w:tr>
    </w:tbl>
    <w:p>
      <w:pPr>
        <w:pStyle w:val="BodyText"/>
        <w:spacing w:before="9"/>
        <w:rPr>
          <w:b/>
          <w:sz w:val="19"/>
        </w:rPr>
      </w:pPr>
    </w:p>
    <w:p>
      <w:pPr>
        <w:spacing w:after="0"/>
        <w:rPr>
          <w:sz w:val="19"/>
        </w:rPr>
        <w:sectPr>
          <w:type w:val="continuous"/>
          <w:pgSz w:w="11920" w:h="16850"/>
          <w:pgMar w:top="1600" w:bottom="560" w:left="740" w:right="520"/>
        </w:sectPr>
      </w:pPr>
    </w:p>
    <w:p>
      <w:pPr>
        <w:pStyle w:val="BodyText"/>
        <w:rPr>
          <w:b/>
          <w:sz w:val="8"/>
        </w:rPr>
      </w:pPr>
    </w:p>
    <w:p>
      <w:pPr>
        <w:spacing w:line="280" w:lineRule="auto" w:before="58"/>
        <w:ind w:left="2951" w:right="-14" w:hanging="116"/>
        <w:jc w:val="left"/>
        <w:rPr>
          <w:b/>
          <w:sz w:val="8"/>
        </w:rPr>
      </w:pPr>
      <w:r>
        <w:rPr>
          <w:b/>
          <w:sz w:val="8"/>
        </w:rPr>
        <w:t>Education, training and research</w:t>
      </w:r>
    </w:p>
    <w:p>
      <w:pPr>
        <w:pStyle w:val="BodyText"/>
        <w:spacing w:before="5"/>
        <w:rPr>
          <w:b/>
          <w:sz w:val="8"/>
        </w:rPr>
      </w:pPr>
      <w:r>
        <w:rPr/>
        <w:br w:type="column"/>
      </w:r>
      <w:r>
        <w:rPr>
          <w:b/>
          <w:sz w:val="8"/>
        </w:rPr>
      </w:r>
    </w:p>
    <w:p>
      <w:pPr>
        <w:spacing w:line="278" w:lineRule="auto" w:before="0"/>
        <w:ind w:left="221" w:right="0" w:firstLine="1"/>
        <w:jc w:val="center"/>
        <w:rPr>
          <w:b/>
          <w:sz w:val="8"/>
        </w:rPr>
      </w:pPr>
      <w:r>
        <w:rPr>
          <w:b/>
          <w:sz w:val="8"/>
        </w:rPr>
        <w:t>Non-patient care services to other bodies</w:t>
      </w:r>
    </w:p>
    <w:p>
      <w:pPr>
        <w:pStyle w:val="BodyText"/>
        <w:rPr>
          <w:b/>
          <w:sz w:val="8"/>
        </w:rPr>
      </w:pPr>
      <w:r>
        <w:rPr/>
        <w:br w:type="column"/>
      </w:r>
      <w:r>
        <w:rPr>
          <w:b/>
          <w:sz w:val="8"/>
        </w:rPr>
      </w:r>
    </w:p>
    <w:p>
      <w:pPr>
        <w:spacing w:line="280" w:lineRule="auto" w:before="58"/>
        <w:ind w:left="363" w:right="-14" w:hanging="168"/>
        <w:jc w:val="left"/>
        <w:rPr>
          <w:b/>
          <w:sz w:val="8"/>
        </w:rPr>
      </w:pPr>
      <w:r>
        <w:rPr>
          <w:b/>
          <w:sz w:val="8"/>
        </w:rPr>
        <w:t>Patient transport services</w:t>
      </w:r>
    </w:p>
    <w:p>
      <w:pPr>
        <w:pStyle w:val="BodyText"/>
        <w:rPr>
          <w:b/>
          <w:sz w:val="8"/>
        </w:rPr>
      </w:pPr>
      <w:r>
        <w:rPr/>
        <w:br w:type="column"/>
      </w:r>
      <w:r>
        <w:rPr>
          <w:b/>
          <w:sz w:val="8"/>
        </w:rPr>
      </w:r>
    </w:p>
    <w:p>
      <w:pPr>
        <w:spacing w:line="280" w:lineRule="auto" w:before="58"/>
        <w:ind w:left="298" w:right="-6" w:hanging="94"/>
        <w:jc w:val="left"/>
        <w:rPr>
          <w:b/>
          <w:sz w:val="8"/>
        </w:rPr>
      </w:pPr>
      <w:r>
        <w:rPr>
          <w:b/>
          <w:sz w:val="8"/>
        </w:rPr>
        <w:t>Prescription fees and charges</w:t>
      </w:r>
    </w:p>
    <w:p>
      <w:pPr>
        <w:pStyle w:val="BodyText"/>
        <w:rPr>
          <w:b/>
          <w:sz w:val="8"/>
        </w:rPr>
      </w:pPr>
      <w:r>
        <w:rPr/>
        <w:br w:type="column"/>
      </w:r>
      <w:r>
        <w:rPr>
          <w:b/>
          <w:sz w:val="8"/>
        </w:rPr>
      </w:r>
    </w:p>
    <w:p>
      <w:pPr>
        <w:spacing w:line="276" w:lineRule="auto" w:before="58"/>
        <w:ind w:left="368" w:right="-4" w:hanging="149"/>
        <w:jc w:val="left"/>
        <w:rPr>
          <w:b/>
          <w:sz w:val="8"/>
        </w:rPr>
      </w:pPr>
      <w:r>
        <w:rPr>
          <w:b/>
          <w:sz w:val="8"/>
        </w:rPr>
        <w:t>Dental fees and charges</w:t>
      </w:r>
    </w:p>
    <w:p>
      <w:pPr>
        <w:pStyle w:val="BodyText"/>
        <w:rPr>
          <w:b/>
          <w:sz w:val="8"/>
        </w:rPr>
      </w:pPr>
      <w:r>
        <w:rPr/>
        <w:br w:type="column"/>
      </w:r>
      <w:r>
        <w:rPr>
          <w:b/>
          <w:sz w:val="8"/>
        </w:rPr>
      </w:r>
    </w:p>
    <w:p>
      <w:pPr>
        <w:pStyle w:val="BodyText"/>
        <w:spacing w:before="5"/>
        <w:rPr>
          <w:b/>
          <w:sz w:val="9"/>
        </w:rPr>
      </w:pPr>
    </w:p>
    <w:p>
      <w:pPr>
        <w:spacing w:before="0"/>
        <w:ind w:left="185" w:right="0" w:firstLine="0"/>
        <w:jc w:val="left"/>
        <w:rPr>
          <w:b/>
          <w:sz w:val="8"/>
        </w:rPr>
      </w:pPr>
      <w:r>
        <w:rPr>
          <w:b/>
          <w:sz w:val="8"/>
        </w:rPr>
        <w:t>Income </w:t>
      </w:r>
      <w:r>
        <w:rPr>
          <w:b/>
          <w:spacing w:val="-4"/>
          <w:sz w:val="8"/>
        </w:rPr>
        <w:t>generation</w:t>
      </w:r>
    </w:p>
    <w:p>
      <w:pPr>
        <w:pStyle w:val="BodyText"/>
        <w:rPr>
          <w:b/>
          <w:sz w:val="8"/>
        </w:rPr>
      </w:pPr>
      <w:r>
        <w:rPr/>
        <w:br w:type="column"/>
      </w:r>
      <w:r>
        <w:rPr>
          <w:b/>
          <w:sz w:val="8"/>
        </w:rPr>
      </w:r>
    </w:p>
    <w:p>
      <w:pPr>
        <w:spacing w:line="280" w:lineRule="auto" w:before="58"/>
        <w:ind w:left="367" w:right="0" w:hanging="152"/>
        <w:jc w:val="left"/>
        <w:rPr>
          <w:b/>
          <w:sz w:val="8"/>
        </w:rPr>
      </w:pPr>
      <w:r>
        <w:rPr>
          <w:b/>
          <w:sz w:val="8"/>
        </w:rPr>
        <w:t>Other </w:t>
      </w:r>
      <w:r>
        <w:rPr>
          <w:b/>
          <w:spacing w:val="-4"/>
          <w:sz w:val="8"/>
        </w:rPr>
        <w:t>Contract </w:t>
      </w:r>
      <w:r>
        <w:rPr>
          <w:b/>
          <w:sz w:val="8"/>
        </w:rPr>
        <w:t>income</w:t>
      </w:r>
    </w:p>
    <w:p>
      <w:pPr>
        <w:pStyle w:val="BodyText"/>
        <w:spacing w:before="5"/>
        <w:rPr>
          <w:b/>
          <w:sz w:val="8"/>
        </w:rPr>
      </w:pPr>
      <w:r>
        <w:rPr/>
        <w:br w:type="column"/>
      </w:r>
      <w:r>
        <w:rPr>
          <w:b/>
          <w:sz w:val="8"/>
        </w:rPr>
      </w:r>
    </w:p>
    <w:p>
      <w:pPr>
        <w:spacing w:line="278" w:lineRule="auto" w:before="0"/>
        <w:ind w:left="219" w:right="720" w:hanging="1"/>
        <w:jc w:val="center"/>
        <w:rPr>
          <w:b/>
          <w:sz w:val="8"/>
        </w:rPr>
      </w:pPr>
      <w:r>
        <w:rPr>
          <w:b/>
          <w:sz w:val="8"/>
        </w:rPr>
        <w:t>Recoveries in respect of employee benefits</w:t>
      </w:r>
    </w:p>
    <w:p>
      <w:pPr>
        <w:spacing w:after="0" w:line="278" w:lineRule="auto"/>
        <w:jc w:val="center"/>
        <w:rPr>
          <w:sz w:val="8"/>
        </w:rPr>
        <w:sectPr>
          <w:type w:val="continuous"/>
          <w:pgSz w:w="11920" w:h="16850"/>
          <w:pgMar w:top="1600" w:bottom="560" w:left="740" w:right="520"/>
          <w:cols w:num="8" w:equalWidth="0">
            <w:col w:w="3566" w:space="40"/>
            <w:col w:w="870" w:space="39"/>
            <w:col w:w="842" w:space="40"/>
            <w:col w:w="868" w:space="39"/>
            <w:col w:w="827" w:space="39"/>
            <w:col w:w="894" w:space="40"/>
            <w:col w:w="779" w:space="39"/>
            <w:col w:w="1738"/>
          </w:cols>
        </w:sectPr>
      </w:pPr>
    </w:p>
    <w:p>
      <w:pPr>
        <w:pStyle w:val="BodyText"/>
        <w:spacing w:before="2"/>
        <w:rPr>
          <w:b/>
          <w:sz w:val="12"/>
        </w:rPr>
      </w:pPr>
    </w:p>
    <w:p>
      <w:pPr>
        <w:pStyle w:val="BodyText"/>
        <w:spacing w:before="5"/>
        <w:rPr>
          <w:b/>
          <w:sz w:val="8"/>
        </w:rPr>
      </w:pPr>
    </w:p>
    <w:p>
      <w:pPr>
        <w:tabs>
          <w:tab w:pos="4057" w:val="left" w:leader="none"/>
          <w:tab w:pos="4950" w:val="left" w:leader="none"/>
          <w:tab w:pos="5843" w:val="left" w:leader="none"/>
          <w:tab w:pos="6736" w:val="left" w:leader="none"/>
          <w:tab w:pos="7628" w:val="left" w:leader="none"/>
          <w:tab w:pos="8521" w:val="left" w:leader="none"/>
          <w:tab w:pos="9440" w:val="left" w:leader="none"/>
        </w:tabs>
        <w:spacing w:before="0"/>
        <w:ind w:left="3112" w:right="0" w:firstLine="0"/>
        <w:jc w:val="left"/>
        <w:rPr>
          <w:b/>
          <w:sz w:val="8"/>
        </w:rPr>
      </w:pPr>
      <w:r>
        <w:rPr>
          <w:b/>
          <w:sz w:val="8"/>
        </w:rPr>
        <w:t>£'000</w:t>
        <w:tab/>
        <w:t>£'000</w:t>
        <w:tab/>
        <w:t>£'000</w:t>
        <w:tab/>
        <w:t>£'000</w:t>
        <w:tab/>
        <w:t>£'000</w:t>
        <w:tab/>
        <w:t>£'000</w:t>
        <w:tab/>
        <w:t>£'000</w:t>
        <w:tab/>
        <w:t>£'000</w:t>
      </w:r>
    </w:p>
    <w:p>
      <w:pPr>
        <w:spacing w:before="9"/>
        <w:ind w:left="736" w:right="0" w:firstLine="0"/>
        <w:jc w:val="left"/>
        <w:rPr>
          <w:b/>
          <w:sz w:val="8"/>
        </w:rPr>
      </w:pPr>
      <w:r>
        <w:rPr>
          <w:b/>
          <w:sz w:val="8"/>
        </w:rPr>
        <w:t>Timing of Revenue</w:t>
      </w:r>
    </w:p>
    <w:p>
      <w:pPr>
        <w:tabs>
          <w:tab w:pos="3616" w:val="left" w:leader="none"/>
          <w:tab w:pos="4508" w:val="left" w:leader="none"/>
          <w:tab w:pos="5401" w:val="left" w:leader="none"/>
          <w:tab w:pos="6294" w:val="left" w:leader="none"/>
          <w:tab w:pos="7187" w:val="left" w:leader="none"/>
          <w:tab w:pos="8080" w:val="left" w:leader="none"/>
          <w:tab w:pos="8973" w:val="left" w:leader="none"/>
          <w:tab w:pos="9918" w:val="left" w:leader="none"/>
        </w:tabs>
        <w:spacing w:before="16"/>
        <w:ind w:left="736" w:right="0" w:firstLine="0"/>
        <w:jc w:val="left"/>
        <w:rPr>
          <w:sz w:val="8"/>
        </w:rPr>
      </w:pPr>
      <w:r>
        <w:rPr>
          <w:sz w:val="8"/>
        </w:rPr>
        <w:t>Point</w:t>
      </w:r>
      <w:r>
        <w:rPr>
          <w:spacing w:val="3"/>
          <w:sz w:val="8"/>
        </w:rPr>
        <w:t> </w:t>
      </w:r>
      <w:r>
        <w:rPr>
          <w:sz w:val="8"/>
        </w:rPr>
        <w:t>in</w:t>
      </w:r>
      <w:r>
        <w:rPr>
          <w:spacing w:val="-1"/>
          <w:sz w:val="8"/>
        </w:rPr>
        <w:t> </w:t>
      </w:r>
      <w:r>
        <w:rPr>
          <w:sz w:val="8"/>
        </w:rPr>
        <w:t>time</w:t>
        <w:tab/>
        <w:t>-</w:t>
        <w:tab/>
        <w:t>-</w:t>
        <w:tab/>
        <w:t>-</w:t>
        <w:tab/>
        <w:t>-</w:t>
        <w:tab/>
        <w:t>-</w:t>
        <w:tab/>
        <w:t>-</w:t>
        <w:tab/>
        <w:t>-</w:t>
        <w:tab/>
        <w:t>-</w:t>
      </w:r>
    </w:p>
    <w:p>
      <w:pPr>
        <w:tabs>
          <w:tab w:pos="3616" w:val="left" w:leader="none"/>
          <w:tab w:pos="4400" w:val="left" w:leader="none"/>
          <w:tab w:pos="5401" w:val="left" w:leader="none"/>
          <w:tab w:pos="6186" w:val="left" w:leader="none"/>
          <w:tab w:pos="7187" w:val="left" w:leader="none"/>
          <w:tab w:pos="8080" w:val="left" w:leader="none"/>
          <w:tab w:pos="8972" w:val="left" w:leader="none"/>
          <w:tab w:pos="9918" w:val="left" w:leader="none"/>
        </w:tabs>
        <w:spacing w:before="10"/>
        <w:ind w:left="736" w:right="0" w:firstLine="0"/>
        <w:jc w:val="left"/>
        <w:rPr>
          <w:sz w:val="8"/>
        </w:rPr>
      </w:pPr>
      <w:r>
        <w:rPr>
          <w:sz w:val="8"/>
        </w:rPr>
        <w:t>Over</w:t>
      </w:r>
      <w:r>
        <w:rPr>
          <w:spacing w:val="1"/>
          <w:sz w:val="8"/>
        </w:rPr>
        <w:t> </w:t>
      </w:r>
      <w:r>
        <w:rPr>
          <w:sz w:val="8"/>
        </w:rPr>
        <w:t>time</w:t>
        <w:tab/>
        <w:t>-</w:t>
        <w:tab/>
        <w:t>175</w:t>
        <w:tab/>
        <w:t>-</w:t>
        <w:tab/>
        <w:t>245</w:t>
        <w:tab/>
        <w:t>-</w:t>
        <w:tab/>
        <w:t>-</w:t>
        <w:tab/>
        <w:t>-</w:t>
        <w:tab/>
        <w:t>-</w:t>
      </w:r>
    </w:p>
    <w:p>
      <w:pPr>
        <w:pStyle w:val="BodyText"/>
        <w:spacing w:line="20" w:lineRule="exact"/>
        <w:ind w:left="2737"/>
        <w:rPr>
          <w:sz w:val="2"/>
        </w:rPr>
      </w:pPr>
      <w:r>
        <w:rPr>
          <w:sz w:val="2"/>
        </w:rPr>
        <w:pict>
          <v:group style="width:361.6pt;height:.25pt;mso-position-horizontal-relative:char;mso-position-vertical-relative:line" coordorigin="0,0" coordsize="7232,5">
            <v:line style="position:absolute" from="0,2" to="7231,2" stroked="true" strokeweight=".24pt" strokecolor="#000000">
              <v:stroke dashstyle="solid"/>
            </v:line>
          </v:group>
        </w:pict>
      </w:r>
      <w:r>
        <w:rPr>
          <w:sz w:val="2"/>
        </w:rPr>
      </w:r>
    </w:p>
    <w:p>
      <w:pPr>
        <w:tabs>
          <w:tab w:pos="3615" w:val="left" w:leader="none"/>
          <w:tab w:pos="4400" w:val="left" w:leader="none"/>
          <w:tab w:pos="5401" w:val="left" w:leader="none"/>
          <w:tab w:pos="6186" w:val="left" w:leader="none"/>
          <w:tab w:pos="7187" w:val="left" w:leader="none"/>
          <w:tab w:pos="8079" w:val="left" w:leader="none"/>
          <w:tab w:pos="8972" w:val="left" w:leader="none"/>
          <w:tab w:pos="9918" w:val="left" w:leader="none"/>
        </w:tabs>
        <w:spacing w:before="0"/>
        <w:ind w:left="736" w:right="0" w:firstLine="0"/>
        <w:jc w:val="left"/>
        <w:rPr>
          <w:b/>
          <w:sz w:val="8"/>
        </w:rPr>
      </w:pPr>
      <w:r>
        <w:rPr>
          <w:b/>
          <w:sz w:val="8"/>
        </w:rPr>
        <w:t>Total</w:t>
        <w:tab/>
        <w:t>-</w:t>
        <w:tab/>
        <w:t>175</w:t>
        <w:tab/>
        <w:t>-</w:t>
        <w:tab/>
        <w:t>245</w:t>
        <w:tab/>
        <w:t>-</w:t>
        <w:tab/>
        <w:t>-</w:t>
        <w:tab/>
        <w:t>-</w:t>
        <w:tab/>
        <w:t>-</w:t>
      </w:r>
    </w:p>
    <w:p>
      <w:pPr>
        <w:pStyle w:val="BodyText"/>
        <w:spacing w:line="20" w:lineRule="exact"/>
        <w:ind w:left="2736"/>
        <w:rPr>
          <w:sz w:val="2"/>
        </w:rPr>
      </w:pPr>
      <w:r>
        <w:rPr>
          <w:sz w:val="2"/>
        </w:rPr>
        <w:pict>
          <v:group style="width:361.6pt;height:.4pt;mso-position-horizontal-relative:char;mso-position-vertical-relative:line" coordorigin="0,0" coordsize="7232,8">
            <v:line style="position:absolute" from="0,4" to="7231,4" stroked="true" strokeweight=".36pt" strokecolor="#000000">
              <v:stroke dashstyle="solid"/>
            </v:line>
          </v:group>
        </w:pict>
      </w:r>
      <w:r>
        <w:rPr>
          <w:sz w:val="2"/>
        </w:rPr>
      </w:r>
    </w:p>
    <w:p>
      <w:pPr>
        <w:pStyle w:val="BodyText"/>
        <w:spacing w:before="7"/>
        <w:rPr>
          <w:b/>
          <w:sz w:val="25"/>
        </w:rPr>
      </w:pPr>
    </w:p>
    <w:tbl>
      <w:tblPr>
        <w:tblW w:w="0" w:type="auto"/>
        <w:jc w:val="left"/>
        <w:tblInd w:w="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6"/>
        <w:gridCol w:w="968"/>
        <w:gridCol w:w="890"/>
        <w:gridCol w:w="895"/>
        <w:gridCol w:w="893"/>
        <w:gridCol w:w="891"/>
        <w:gridCol w:w="895"/>
        <w:gridCol w:w="801"/>
        <w:gridCol w:w="1001"/>
      </w:tblGrid>
      <w:tr>
        <w:trPr>
          <w:trHeight w:val="309" w:hRule="atLeast"/>
        </w:trPr>
        <w:tc>
          <w:tcPr>
            <w:tcW w:w="2076" w:type="dxa"/>
          </w:tcPr>
          <w:p>
            <w:pPr>
              <w:pStyle w:val="TableParagraph"/>
              <w:rPr>
                <w:b/>
                <w:sz w:val="8"/>
              </w:rPr>
            </w:pPr>
          </w:p>
          <w:p>
            <w:pPr>
              <w:pStyle w:val="TableParagraph"/>
              <w:spacing w:before="2"/>
              <w:rPr>
                <w:b/>
                <w:sz w:val="9"/>
              </w:rPr>
            </w:pPr>
          </w:p>
          <w:p>
            <w:pPr>
              <w:pStyle w:val="TableParagraph"/>
              <w:spacing w:line="91" w:lineRule="exact"/>
              <w:ind w:left="79"/>
              <w:rPr>
                <w:b/>
                <w:sz w:val="8"/>
              </w:rPr>
            </w:pPr>
            <w:r>
              <w:rPr>
                <w:b/>
                <w:sz w:val="8"/>
              </w:rPr>
              <w:t>2020/21</w:t>
            </w:r>
          </w:p>
        </w:tc>
        <w:tc>
          <w:tcPr>
            <w:tcW w:w="968" w:type="dxa"/>
          </w:tcPr>
          <w:p>
            <w:pPr>
              <w:pStyle w:val="TableParagraph"/>
              <w:spacing w:before="6"/>
              <w:rPr>
                <w:b/>
                <w:sz w:val="7"/>
              </w:rPr>
            </w:pPr>
          </w:p>
          <w:p>
            <w:pPr>
              <w:pStyle w:val="TableParagraph"/>
              <w:spacing w:line="110" w:lineRule="atLeast"/>
              <w:ind w:left="26" w:right="95"/>
              <w:rPr>
                <w:b/>
                <w:sz w:val="8"/>
              </w:rPr>
            </w:pPr>
            <w:r>
              <w:rPr>
                <w:b/>
                <w:sz w:val="8"/>
              </w:rPr>
              <w:t>Education, training and research</w:t>
            </w:r>
          </w:p>
        </w:tc>
        <w:tc>
          <w:tcPr>
            <w:tcW w:w="890" w:type="dxa"/>
          </w:tcPr>
          <w:p>
            <w:pPr>
              <w:pStyle w:val="TableParagraph"/>
              <w:spacing w:line="89" w:lineRule="exact"/>
              <w:ind w:left="59"/>
              <w:rPr>
                <w:b/>
                <w:sz w:val="8"/>
              </w:rPr>
            </w:pPr>
            <w:r>
              <w:rPr>
                <w:b/>
                <w:sz w:val="8"/>
              </w:rPr>
              <w:t>Non-patient care</w:t>
            </w:r>
          </w:p>
          <w:p>
            <w:pPr>
              <w:pStyle w:val="TableParagraph"/>
              <w:spacing w:before="16"/>
              <w:ind w:left="59"/>
              <w:rPr>
                <w:b/>
                <w:sz w:val="8"/>
              </w:rPr>
            </w:pPr>
            <w:r>
              <w:rPr>
                <w:b/>
                <w:sz w:val="8"/>
              </w:rPr>
              <w:t>services to other bodies</w:t>
            </w:r>
          </w:p>
        </w:tc>
        <w:tc>
          <w:tcPr>
            <w:tcW w:w="895" w:type="dxa"/>
          </w:tcPr>
          <w:p>
            <w:pPr>
              <w:pStyle w:val="TableParagraph"/>
              <w:spacing w:before="6"/>
              <w:rPr>
                <w:b/>
                <w:sz w:val="7"/>
              </w:rPr>
            </w:pPr>
          </w:p>
          <w:p>
            <w:pPr>
              <w:pStyle w:val="TableParagraph"/>
              <w:spacing w:line="110" w:lineRule="atLeast"/>
              <w:ind w:left="59"/>
              <w:rPr>
                <w:b/>
                <w:sz w:val="8"/>
              </w:rPr>
            </w:pPr>
            <w:r>
              <w:rPr>
                <w:b/>
                <w:sz w:val="8"/>
              </w:rPr>
              <w:t>Patient transport services</w:t>
            </w:r>
          </w:p>
        </w:tc>
        <w:tc>
          <w:tcPr>
            <w:tcW w:w="893" w:type="dxa"/>
          </w:tcPr>
          <w:p>
            <w:pPr>
              <w:pStyle w:val="TableParagraph"/>
              <w:spacing w:before="6"/>
              <w:rPr>
                <w:b/>
                <w:sz w:val="7"/>
              </w:rPr>
            </w:pPr>
          </w:p>
          <w:p>
            <w:pPr>
              <w:pStyle w:val="TableParagraph"/>
              <w:spacing w:line="110" w:lineRule="atLeast"/>
              <w:ind w:left="59" w:right="62"/>
              <w:rPr>
                <w:b/>
                <w:sz w:val="8"/>
              </w:rPr>
            </w:pPr>
            <w:r>
              <w:rPr>
                <w:b/>
                <w:sz w:val="8"/>
              </w:rPr>
              <w:t>Prescription fees and charges</w:t>
            </w:r>
          </w:p>
        </w:tc>
        <w:tc>
          <w:tcPr>
            <w:tcW w:w="891" w:type="dxa"/>
          </w:tcPr>
          <w:p>
            <w:pPr>
              <w:pStyle w:val="TableParagraph"/>
              <w:spacing w:before="6"/>
              <w:rPr>
                <w:b/>
                <w:sz w:val="7"/>
              </w:rPr>
            </w:pPr>
          </w:p>
          <w:p>
            <w:pPr>
              <w:pStyle w:val="TableParagraph"/>
              <w:spacing w:line="110" w:lineRule="atLeast"/>
              <w:ind w:left="59"/>
              <w:rPr>
                <w:b/>
                <w:sz w:val="8"/>
              </w:rPr>
            </w:pPr>
            <w:r>
              <w:rPr>
                <w:b/>
                <w:sz w:val="8"/>
              </w:rPr>
              <w:t>Dental fees and charges</w:t>
            </w:r>
          </w:p>
        </w:tc>
        <w:tc>
          <w:tcPr>
            <w:tcW w:w="1696" w:type="dxa"/>
            <w:gridSpan w:val="2"/>
          </w:tcPr>
          <w:p>
            <w:pPr>
              <w:pStyle w:val="TableParagraph"/>
              <w:spacing w:before="6"/>
              <w:rPr>
                <w:b/>
                <w:sz w:val="7"/>
              </w:rPr>
            </w:pPr>
          </w:p>
          <w:p>
            <w:pPr>
              <w:pStyle w:val="TableParagraph"/>
              <w:spacing w:line="110" w:lineRule="atLeast"/>
              <w:ind w:left="59" w:firstLine="892"/>
              <w:rPr>
                <w:b/>
                <w:sz w:val="8"/>
              </w:rPr>
            </w:pPr>
            <w:r>
              <w:rPr>
                <w:b/>
                <w:sz w:val="8"/>
              </w:rPr>
              <w:t>Other Contract Income generation income</w:t>
            </w:r>
          </w:p>
        </w:tc>
        <w:tc>
          <w:tcPr>
            <w:tcW w:w="1001" w:type="dxa"/>
          </w:tcPr>
          <w:p>
            <w:pPr>
              <w:pStyle w:val="TableParagraph"/>
              <w:spacing w:line="89" w:lineRule="exact"/>
              <w:ind w:left="151"/>
              <w:rPr>
                <w:b/>
                <w:sz w:val="8"/>
              </w:rPr>
            </w:pPr>
            <w:r>
              <w:rPr>
                <w:b/>
                <w:sz w:val="8"/>
              </w:rPr>
              <w:t>Recoveries in</w:t>
            </w:r>
          </w:p>
          <w:p>
            <w:pPr>
              <w:pStyle w:val="TableParagraph"/>
              <w:spacing w:before="16"/>
              <w:ind w:left="151"/>
              <w:rPr>
                <w:b/>
                <w:sz w:val="8"/>
              </w:rPr>
            </w:pPr>
            <w:r>
              <w:rPr>
                <w:b/>
                <w:sz w:val="8"/>
              </w:rPr>
              <w:t>respect of employee benefits</w:t>
            </w:r>
          </w:p>
        </w:tc>
      </w:tr>
      <w:tr>
        <w:trPr>
          <w:trHeight w:val="91" w:hRule="atLeast"/>
        </w:trPr>
        <w:tc>
          <w:tcPr>
            <w:tcW w:w="2076" w:type="dxa"/>
          </w:tcPr>
          <w:p>
            <w:pPr>
              <w:pStyle w:val="TableParagraph"/>
              <w:rPr>
                <w:rFonts w:ascii="Times New Roman"/>
                <w:sz w:val="4"/>
              </w:rPr>
            </w:pPr>
          </w:p>
        </w:tc>
        <w:tc>
          <w:tcPr>
            <w:tcW w:w="968" w:type="dxa"/>
          </w:tcPr>
          <w:p>
            <w:pPr>
              <w:pStyle w:val="TableParagraph"/>
              <w:spacing w:line="71" w:lineRule="exact"/>
              <w:ind w:left="24"/>
              <w:rPr>
                <w:b/>
                <w:sz w:val="8"/>
              </w:rPr>
            </w:pPr>
            <w:r>
              <w:rPr>
                <w:b/>
                <w:sz w:val="8"/>
              </w:rPr>
              <w:t>£'000</w:t>
            </w:r>
          </w:p>
        </w:tc>
        <w:tc>
          <w:tcPr>
            <w:tcW w:w="890" w:type="dxa"/>
          </w:tcPr>
          <w:p>
            <w:pPr>
              <w:pStyle w:val="TableParagraph"/>
              <w:spacing w:line="71" w:lineRule="exact"/>
              <w:ind w:left="59"/>
              <w:rPr>
                <w:b/>
                <w:sz w:val="8"/>
              </w:rPr>
            </w:pPr>
            <w:r>
              <w:rPr>
                <w:b/>
                <w:sz w:val="8"/>
              </w:rPr>
              <w:t>£'000</w:t>
            </w:r>
          </w:p>
        </w:tc>
        <w:tc>
          <w:tcPr>
            <w:tcW w:w="895" w:type="dxa"/>
          </w:tcPr>
          <w:p>
            <w:pPr>
              <w:pStyle w:val="TableParagraph"/>
              <w:spacing w:line="71" w:lineRule="exact"/>
              <w:ind w:left="59"/>
              <w:rPr>
                <w:b/>
                <w:sz w:val="8"/>
              </w:rPr>
            </w:pPr>
            <w:r>
              <w:rPr>
                <w:b/>
                <w:sz w:val="8"/>
              </w:rPr>
              <w:t>£'000</w:t>
            </w:r>
          </w:p>
        </w:tc>
        <w:tc>
          <w:tcPr>
            <w:tcW w:w="893" w:type="dxa"/>
          </w:tcPr>
          <w:p>
            <w:pPr>
              <w:pStyle w:val="TableParagraph"/>
              <w:spacing w:line="71" w:lineRule="exact"/>
              <w:ind w:left="59"/>
              <w:rPr>
                <w:b/>
                <w:sz w:val="8"/>
              </w:rPr>
            </w:pPr>
            <w:r>
              <w:rPr>
                <w:b/>
                <w:sz w:val="8"/>
              </w:rPr>
              <w:t>£'000</w:t>
            </w:r>
          </w:p>
        </w:tc>
        <w:tc>
          <w:tcPr>
            <w:tcW w:w="891" w:type="dxa"/>
          </w:tcPr>
          <w:p>
            <w:pPr>
              <w:pStyle w:val="TableParagraph"/>
              <w:spacing w:line="71" w:lineRule="exact"/>
              <w:ind w:left="59"/>
              <w:rPr>
                <w:b/>
                <w:sz w:val="8"/>
              </w:rPr>
            </w:pPr>
            <w:r>
              <w:rPr>
                <w:b/>
                <w:sz w:val="8"/>
              </w:rPr>
              <w:t>£'000</w:t>
            </w:r>
          </w:p>
        </w:tc>
        <w:tc>
          <w:tcPr>
            <w:tcW w:w="895" w:type="dxa"/>
          </w:tcPr>
          <w:p>
            <w:pPr>
              <w:pStyle w:val="TableParagraph"/>
              <w:spacing w:line="71" w:lineRule="exact"/>
              <w:ind w:left="59"/>
              <w:rPr>
                <w:b/>
                <w:sz w:val="8"/>
              </w:rPr>
            </w:pPr>
            <w:r>
              <w:rPr>
                <w:b/>
                <w:sz w:val="8"/>
              </w:rPr>
              <w:t>£'000</w:t>
            </w:r>
          </w:p>
        </w:tc>
        <w:tc>
          <w:tcPr>
            <w:tcW w:w="801" w:type="dxa"/>
          </w:tcPr>
          <w:p>
            <w:pPr>
              <w:pStyle w:val="TableParagraph"/>
              <w:spacing w:line="71" w:lineRule="exact"/>
              <w:ind w:left="56"/>
              <w:rPr>
                <w:b/>
                <w:sz w:val="8"/>
              </w:rPr>
            </w:pPr>
            <w:r>
              <w:rPr>
                <w:b/>
                <w:sz w:val="8"/>
              </w:rPr>
              <w:t>£'000</w:t>
            </w:r>
          </w:p>
        </w:tc>
        <w:tc>
          <w:tcPr>
            <w:tcW w:w="1001" w:type="dxa"/>
          </w:tcPr>
          <w:p>
            <w:pPr>
              <w:pStyle w:val="TableParagraph"/>
              <w:spacing w:line="71" w:lineRule="exact"/>
              <w:ind w:left="151"/>
              <w:rPr>
                <w:b/>
                <w:sz w:val="8"/>
              </w:rPr>
            </w:pPr>
            <w:r>
              <w:rPr>
                <w:b/>
                <w:sz w:val="8"/>
              </w:rPr>
              <w:t>£'000</w:t>
            </w:r>
          </w:p>
        </w:tc>
      </w:tr>
      <w:tr>
        <w:trPr>
          <w:trHeight w:val="98" w:hRule="atLeast"/>
        </w:trPr>
        <w:tc>
          <w:tcPr>
            <w:tcW w:w="2076" w:type="dxa"/>
          </w:tcPr>
          <w:p>
            <w:pPr>
              <w:pStyle w:val="TableParagraph"/>
              <w:spacing w:line="78" w:lineRule="exact"/>
              <w:ind w:left="79"/>
              <w:rPr>
                <w:sz w:val="8"/>
              </w:rPr>
            </w:pPr>
            <w:r>
              <w:rPr>
                <w:sz w:val="8"/>
              </w:rPr>
              <w:t>Source of Revenue</w:t>
            </w:r>
          </w:p>
        </w:tc>
        <w:tc>
          <w:tcPr>
            <w:tcW w:w="968" w:type="dxa"/>
          </w:tcPr>
          <w:p>
            <w:pPr>
              <w:pStyle w:val="TableParagraph"/>
              <w:rPr>
                <w:rFonts w:ascii="Times New Roman"/>
                <w:sz w:val="4"/>
              </w:rPr>
            </w:pPr>
          </w:p>
        </w:tc>
        <w:tc>
          <w:tcPr>
            <w:tcW w:w="890" w:type="dxa"/>
          </w:tcPr>
          <w:p>
            <w:pPr>
              <w:pStyle w:val="TableParagraph"/>
              <w:rPr>
                <w:rFonts w:ascii="Times New Roman"/>
                <w:sz w:val="4"/>
              </w:rPr>
            </w:pPr>
          </w:p>
        </w:tc>
        <w:tc>
          <w:tcPr>
            <w:tcW w:w="895" w:type="dxa"/>
          </w:tcPr>
          <w:p>
            <w:pPr>
              <w:pStyle w:val="TableParagraph"/>
              <w:rPr>
                <w:rFonts w:ascii="Times New Roman"/>
                <w:sz w:val="4"/>
              </w:rPr>
            </w:pPr>
          </w:p>
        </w:tc>
        <w:tc>
          <w:tcPr>
            <w:tcW w:w="893" w:type="dxa"/>
          </w:tcPr>
          <w:p>
            <w:pPr>
              <w:pStyle w:val="TableParagraph"/>
              <w:rPr>
                <w:rFonts w:ascii="Times New Roman"/>
                <w:sz w:val="4"/>
              </w:rPr>
            </w:pPr>
          </w:p>
        </w:tc>
        <w:tc>
          <w:tcPr>
            <w:tcW w:w="891" w:type="dxa"/>
          </w:tcPr>
          <w:p>
            <w:pPr>
              <w:pStyle w:val="TableParagraph"/>
              <w:rPr>
                <w:rFonts w:ascii="Times New Roman"/>
                <w:sz w:val="4"/>
              </w:rPr>
            </w:pPr>
          </w:p>
        </w:tc>
        <w:tc>
          <w:tcPr>
            <w:tcW w:w="895" w:type="dxa"/>
          </w:tcPr>
          <w:p>
            <w:pPr>
              <w:pStyle w:val="TableParagraph"/>
              <w:rPr>
                <w:rFonts w:ascii="Times New Roman"/>
                <w:sz w:val="4"/>
              </w:rPr>
            </w:pPr>
          </w:p>
        </w:tc>
        <w:tc>
          <w:tcPr>
            <w:tcW w:w="801" w:type="dxa"/>
          </w:tcPr>
          <w:p>
            <w:pPr>
              <w:pStyle w:val="TableParagraph"/>
              <w:rPr>
                <w:rFonts w:ascii="Times New Roman"/>
                <w:sz w:val="4"/>
              </w:rPr>
            </w:pPr>
          </w:p>
        </w:tc>
        <w:tc>
          <w:tcPr>
            <w:tcW w:w="1001" w:type="dxa"/>
          </w:tcPr>
          <w:p>
            <w:pPr>
              <w:pStyle w:val="TableParagraph"/>
              <w:rPr>
                <w:rFonts w:ascii="Times New Roman"/>
                <w:sz w:val="4"/>
              </w:rPr>
            </w:pPr>
          </w:p>
        </w:tc>
      </w:tr>
      <w:tr>
        <w:trPr>
          <w:trHeight w:val="208" w:hRule="atLeast"/>
        </w:trPr>
        <w:tc>
          <w:tcPr>
            <w:tcW w:w="2076" w:type="dxa"/>
          </w:tcPr>
          <w:p>
            <w:pPr>
              <w:pStyle w:val="TableParagraph"/>
              <w:spacing w:before="6"/>
              <w:ind w:left="79"/>
              <w:rPr>
                <w:sz w:val="8"/>
              </w:rPr>
            </w:pPr>
            <w:r>
              <w:rPr>
                <w:sz w:val="8"/>
              </w:rPr>
              <w:t>NHS</w:t>
            </w:r>
          </w:p>
          <w:p>
            <w:pPr>
              <w:pStyle w:val="TableParagraph"/>
              <w:spacing w:line="62" w:lineRule="exact" w:before="28"/>
              <w:ind w:left="72"/>
              <w:rPr>
                <w:sz w:val="8"/>
              </w:rPr>
            </w:pPr>
            <w:r>
              <w:rPr>
                <w:sz w:val="8"/>
              </w:rPr>
              <w:t>Non NHS</w:t>
            </w:r>
          </w:p>
        </w:tc>
        <w:tc>
          <w:tcPr>
            <w:tcW w:w="968" w:type="dxa"/>
            <w:tcBorders>
              <w:bottom w:val="single" w:sz="2" w:space="0" w:color="000000"/>
            </w:tcBorders>
          </w:tcPr>
          <w:p>
            <w:pPr>
              <w:pStyle w:val="TableParagraph"/>
              <w:spacing w:before="6"/>
              <w:ind w:right="56"/>
              <w:jc w:val="right"/>
              <w:rPr>
                <w:sz w:val="8"/>
              </w:rPr>
            </w:pPr>
            <w:r>
              <w:rPr>
                <w:w w:val="99"/>
                <w:sz w:val="8"/>
              </w:rPr>
              <w:t>-</w:t>
            </w:r>
          </w:p>
          <w:p>
            <w:pPr>
              <w:pStyle w:val="TableParagraph"/>
              <w:spacing w:line="62" w:lineRule="exact" w:before="28"/>
              <w:ind w:right="63"/>
              <w:jc w:val="right"/>
              <w:rPr>
                <w:sz w:val="8"/>
              </w:rPr>
            </w:pPr>
            <w:r>
              <w:rPr>
                <w:w w:val="99"/>
                <w:sz w:val="8"/>
              </w:rPr>
              <w:t>-</w:t>
            </w:r>
          </w:p>
        </w:tc>
        <w:tc>
          <w:tcPr>
            <w:tcW w:w="890" w:type="dxa"/>
            <w:tcBorders>
              <w:bottom w:val="single" w:sz="2" w:space="0" w:color="000000"/>
            </w:tcBorders>
          </w:tcPr>
          <w:p>
            <w:pPr>
              <w:pStyle w:val="TableParagraph"/>
              <w:spacing w:before="6"/>
              <w:ind w:right="56"/>
              <w:jc w:val="right"/>
              <w:rPr>
                <w:sz w:val="8"/>
              </w:rPr>
            </w:pPr>
            <w:r>
              <w:rPr>
                <w:w w:val="99"/>
                <w:sz w:val="8"/>
              </w:rPr>
              <w:t>-</w:t>
            </w:r>
          </w:p>
          <w:p>
            <w:pPr>
              <w:pStyle w:val="TableParagraph"/>
              <w:spacing w:line="62" w:lineRule="exact" w:before="28"/>
              <w:ind w:right="58"/>
              <w:jc w:val="right"/>
              <w:rPr>
                <w:sz w:val="8"/>
              </w:rPr>
            </w:pPr>
            <w:r>
              <w:rPr>
                <w:sz w:val="8"/>
              </w:rPr>
              <w:t>84</w:t>
            </w:r>
          </w:p>
        </w:tc>
        <w:tc>
          <w:tcPr>
            <w:tcW w:w="895" w:type="dxa"/>
            <w:tcBorders>
              <w:bottom w:val="single" w:sz="2" w:space="0" w:color="000000"/>
            </w:tcBorders>
          </w:tcPr>
          <w:p>
            <w:pPr>
              <w:pStyle w:val="TableParagraph"/>
              <w:spacing w:before="6"/>
              <w:ind w:right="55"/>
              <w:jc w:val="right"/>
              <w:rPr>
                <w:sz w:val="8"/>
              </w:rPr>
            </w:pPr>
            <w:r>
              <w:rPr>
                <w:w w:val="99"/>
                <w:sz w:val="8"/>
              </w:rPr>
              <w:t>-</w:t>
            </w:r>
          </w:p>
          <w:p>
            <w:pPr>
              <w:pStyle w:val="TableParagraph"/>
              <w:spacing w:line="62" w:lineRule="exact" w:before="28"/>
              <w:ind w:right="63"/>
              <w:jc w:val="right"/>
              <w:rPr>
                <w:sz w:val="8"/>
              </w:rPr>
            </w:pPr>
            <w:r>
              <w:rPr>
                <w:w w:val="99"/>
                <w:sz w:val="8"/>
              </w:rPr>
              <w:t>-</w:t>
            </w:r>
          </w:p>
        </w:tc>
        <w:tc>
          <w:tcPr>
            <w:tcW w:w="893" w:type="dxa"/>
            <w:tcBorders>
              <w:bottom w:val="single" w:sz="2" w:space="0" w:color="000000"/>
            </w:tcBorders>
          </w:tcPr>
          <w:p>
            <w:pPr>
              <w:pStyle w:val="TableParagraph"/>
              <w:spacing w:before="6"/>
              <w:ind w:right="56"/>
              <w:jc w:val="right"/>
              <w:rPr>
                <w:sz w:val="8"/>
              </w:rPr>
            </w:pPr>
            <w:r>
              <w:rPr>
                <w:w w:val="99"/>
                <w:sz w:val="8"/>
              </w:rPr>
              <w:t>-</w:t>
            </w:r>
          </w:p>
          <w:p>
            <w:pPr>
              <w:pStyle w:val="TableParagraph"/>
              <w:spacing w:line="62" w:lineRule="exact" w:before="28"/>
              <w:ind w:right="60"/>
              <w:jc w:val="right"/>
              <w:rPr>
                <w:sz w:val="8"/>
              </w:rPr>
            </w:pPr>
            <w:r>
              <w:rPr>
                <w:sz w:val="8"/>
              </w:rPr>
              <w:t>165</w:t>
            </w:r>
          </w:p>
        </w:tc>
        <w:tc>
          <w:tcPr>
            <w:tcW w:w="891" w:type="dxa"/>
            <w:tcBorders>
              <w:bottom w:val="single" w:sz="2" w:space="0" w:color="000000"/>
            </w:tcBorders>
          </w:tcPr>
          <w:p>
            <w:pPr>
              <w:pStyle w:val="TableParagraph"/>
              <w:spacing w:before="6"/>
              <w:ind w:right="56"/>
              <w:jc w:val="right"/>
              <w:rPr>
                <w:sz w:val="8"/>
              </w:rPr>
            </w:pPr>
            <w:r>
              <w:rPr>
                <w:w w:val="99"/>
                <w:sz w:val="8"/>
              </w:rPr>
              <w:t>-</w:t>
            </w:r>
          </w:p>
          <w:p>
            <w:pPr>
              <w:pStyle w:val="TableParagraph"/>
              <w:spacing w:line="62" w:lineRule="exact" w:before="28"/>
              <w:ind w:right="61"/>
              <w:jc w:val="right"/>
              <w:rPr>
                <w:sz w:val="8"/>
              </w:rPr>
            </w:pPr>
            <w:r>
              <w:rPr>
                <w:w w:val="99"/>
                <w:sz w:val="8"/>
              </w:rPr>
              <w:t>-</w:t>
            </w:r>
          </w:p>
        </w:tc>
        <w:tc>
          <w:tcPr>
            <w:tcW w:w="895" w:type="dxa"/>
            <w:tcBorders>
              <w:bottom w:val="single" w:sz="2" w:space="0" w:color="000000"/>
            </w:tcBorders>
          </w:tcPr>
          <w:p>
            <w:pPr>
              <w:pStyle w:val="TableParagraph"/>
              <w:spacing w:before="6"/>
              <w:ind w:right="56"/>
              <w:jc w:val="right"/>
              <w:rPr>
                <w:sz w:val="8"/>
              </w:rPr>
            </w:pPr>
            <w:r>
              <w:rPr>
                <w:w w:val="99"/>
                <w:sz w:val="8"/>
              </w:rPr>
              <w:t>-</w:t>
            </w:r>
          </w:p>
          <w:p>
            <w:pPr>
              <w:pStyle w:val="TableParagraph"/>
              <w:spacing w:line="62" w:lineRule="exact" w:before="28"/>
              <w:ind w:right="63"/>
              <w:jc w:val="right"/>
              <w:rPr>
                <w:sz w:val="8"/>
              </w:rPr>
            </w:pPr>
            <w:r>
              <w:rPr>
                <w:w w:val="99"/>
                <w:sz w:val="8"/>
              </w:rPr>
              <w:t>-</w:t>
            </w:r>
          </w:p>
        </w:tc>
        <w:tc>
          <w:tcPr>
            <w:tcW w:w="801" w:type="dxa"/>
            <w:tcBorders>
              <w:bottom w:val="single" w:sz="2" w:space="0" w:color="000000"/>
            </w:tcBorders>
          </w:tcPr>
          <w:p>
            <w:pPr>
              <w:pStyle w:val="TableParagraph"/>
              <w:spacing w:before="11"/>
              <w:rPr>
                <w:b/>
                <w:sz w:val="10"/>
              </w:rPr>
            </w:pPr>
          </w:p>
          <w:p>
            <w:pPr>
              <w:pStyle w:val="TableParagraph"/>
              <w:spacing w:line="62" w:lineRule="exact"/>
              <w:ind w:right="-29"/>
              <w:jc w:val="right"/>
              <w:rPr>
                <w:sz w:val="8"/>
              </w:rPr>
            </w:pPr>
            <w:r>
              <w:rPr>
                <w:sz w:val="8"/>
              </w:rPr>
              <w:t>20</w:t>
            </w:r>
          </w:p>
        </w:tc>
        <w:tc>
          <w:tcPr>
            <w:tcW w:w="1001" w:type="dxa"/>
            <w:tcBorders>
              <w:bottom w:val="single" w:sz="2" w:space="0" w:color="000000"/>
            </w:tcBorders>
          </w:tcPr>
          <w:p>
            <w:pPr>
              <w:pStyle w:val="TableParagraph"/>
              <w:tabs>
                <w:tab w:pos="945" w:val="left" w:leader="none"/>
              </w:tabs>
              <w:spacing w:before="6"/>
              <w:ind w:right="20"/>
              <w:jc w:val="right"/>
              <w:rPr>
                <w:sz w:val="8"/>
              </w:rPr>
            </w:pPr>
            <w:r>
              <w:rPr>
                <w:sz w:val="8"/>
              </w:rPr>
              <w:t>-</w:t>
              <w:tab/>
            </w:r>
            <w:r>
              <w:rPr>
                <w:spacing w:val="-11"/>
                <w:sz w:val="8"/>
              </w:rPr>
              <w:t>-</w:t>
            </w:r>
          </w:p>
          <w:p>
            <w:pPr>
              <w:pStyle w:val="TableParagraph"/>
              <w:spacing w:line="62" w:lineRule="exact" w:before="28"/>
              <w:ind w:right="27"/>
              <w:jc w:val="right"/>
              <w:rPr>
                <w:sz w:val="8"/>
              </w:rPr>
            </w:pPr>
            <w:r>
              <w:rPr>
                <w:w w:val="99"/>
                <w:sz w:val="8"/>
              </w:rPr>
              <w:t>-</w:t>
            </w:r>
          </w:p>
        </w:tc>
      </w:tr>
    </w:tbl>
    <w:p>
      <w:pPr>
        <w:tabs>
          <w:tab w:pos="3615" w:val="left" w:leader="none"/>
          <w:tab w:pos="4446" w:val="left" w:leader="none"/>
          <w:tab w:pos="5401" w:val="left" w:leader="none"/>
          <w:tab w:pos="6186" w:val="left" w:leader="none"/>
          <w:tab w:pos="7187" w:val="left" w:leader="none"/>
          <w:tab w:pos="8079" w:val="left" w:leader="none"/>
          <w:tab w:pos="8910" w:val="left" w:leader="none"/>
          <w:tab w:pos="9918" w:val="left" w:leader="none"/>
        </w:tabs>
        <w:spacing w:before="16"/>
        <w:ind w:left="736" w:right="0" w:firstLine="0"/>
        <w:jc w:val="left"/>
        <w:rPr>
          <w:sz w:val="8"/>
        </w:rPr>
      </w:pPr>
      <w:r>
        <w:rPr>
          <w:b/>
          <w:sz w:val="8"/>
        </w:rPr>
        <w:t>Total</w:t>
        <w:tab/>
      </w:r>
      <w:r>
        <w:rPr>
          <w:sz w:val="8"/>
        </w:rPr>
        <w:t>-</w:t>
        <w:tab/>
      </w:r>
      <w:r>
        <w:rPr>
          <w:b/>
          <w:sz w:val="8"/>
        </w:rPr>
        <w:t>84</w:t>
        <w:tab/>
      </w:r>
      <w:r>
        <w:rPr>
          <w:sz w:val="8"/>
        </w:rPr>
        <w:t>-</w:t>
        <w:tab/>
      </w:r>
      <w:r>
        <w:rPr>
          <w:b/>
          <w:sz w:val="8"/>
        </w:rPr>
        <w:t>165</w:t>
        <w:tab/>
      </w:r>
      <w:r>
        <w:rPr>
          <w:sz w:val="8"/>
        </w:rPr>
        <w:t>-</w:t>
        <w:tab/>
        <w:t>-</w:t>
        <w:tab/>
      </w:r>
      <w:r>
        <w:rPr>
          <w:b/>
          <w:sz w:val="8"/>
        </w:rPr>
        <w:t>20</w:t>
        <w:tab/>
      </w:r>
      <w:r>
        <w:rPr>
          <w:sz w:val="8"/>
        </w:rPr>
        <w:t>-</w:t>
      </w:r>
    </w:p>
    <w:p>
      <w:pPr>
        <w:pStyle w:val="BodyText"/>
        <w:spacing w:line="20" w:lineRule="exact"/>
        <w:ind w:left="2736"/>
        <w:rPr>
          <w:sz w:val="2"/>
        </w:rPr>
      </w:pPr>
      <w:r>
        <w:rPr>
          <w:sz w:val="2"/>
        </w:rPr>
        <w:pict>
          <v:group style="width:361.6pt;height:.4pt;mso-position-horizontal-relative:char;mso-position-vertical-relative:line" coordorigin="0,0" coordsize="7232,8">
            <v:line style="position:absolute" from="0,4" to="7231,4" stroked="true" strokeweight=".36pt" strokecolor="#000000">
              <v:stroke dashstyle="solid"/>
            </v:line>
          </v:group>
        </w:pict>
      </w:r>
      <w:r>
        <w:rPr>
          <w:sz w:val="2"/>
        </w:rPr>
      </w:r>
    </w:p>
    <w:p>
      <w:pPr>
        <w:pStyle w:val="BodyText"/>
        <w:spacing w:before="1"/>
        <w:rPr>
          <w:sz w:val="17"/>
        </w:rPr>
      </w:pPr>
    </w:p>
    <w:p>
      <w:pPr>
        <w:spacing w:after="0"/>
        <w:rPr>
          <w:sz w:val="17"/>
        </w:rPr>
        <w:sectPr>
          <w:type w:val="continuous"/>
          <w:pgSz w:w="11920" w:h="16850"/>
          <w:pgMar w:top="1600" w:bottom="560" w:left="740" w:right="520"/>
        </w:sectPr>
      </w:pPr>
    </w:p>
    <w:p>
      <w:pPr>
        <w:pStyle w:val="BodyText"/>
        <w:rPr>
          <w:sz w:val="8"/>
        </w:rPr>
      </w:pPr>
    </w:p>
    <w:p>
      <w:pPr>
        <w:pStyle w:val="BodyText"/>
        <w:spacing w:before="9"/>
        <w:rPr>
          <w:sz w:val="9"/>
        </w:rPr>
      </w:pPr>
    </w:p>
    <w:p>
      <w:pPr>
        <w:spacing w:line="280" w:lineRule="auto" w:before="1"/>
        <w:ind w:left="2761" w:right="-14" w:firstLine="0"/>
        <w:jc w:val="left"/>
        <w:rPr>
          <w:b/>
          <w:sz w:val="8"/>
        </w:rPr>
      </w:pPr>
      <w:r>
        <w:rPr>
          <w:b/>
          <w:sz w:val="8"/>
        </w:rPr>
        <w:t>Education, training and research</w:t>
      </w:r>
    </w:p>
    <w:p>
      <w:pPr>
        <w:pStyle w:val="BodyText"/>
        <w:spacing w:before="5"/>
        <w:rPr>
          <w:b/>
          <w:sz w:val="8"/>
        </w:rPr>
      </w:pPr>
      <w:r>
        <w:rPr/>
        <w:br w:type="column"/>
      </w:r>
      <w:r>
        <w:rPr>
          <w:b/>
          <w:sz w:val="8"/>
        </w:rPr>
      </w:r>
    </w:p>
    <w:p>
      <w:pPr>
        <w:spacing w:line="280" w:lineRule="auto" w:before="0"/>
        <w:ind w:left="228" w:right="0" w:firstLine="0"/>
        <w:jc w:val="both"/>
        <w:rPr>
          <w:b/>
          <w:sz w:val="8"/>
        </w:rPr>
      </w:pPr>
      <w:r>
        <w:rPr>
          <w:b/>
          <w:sz w:val="8"/>
        </w:rPr>
        <w:t>Non-patient care services to other bodies</w:t>
      </w:r>
    </w:p>
    <w:p>
      <w:pPr>
        <w:pStyle w:val="BodyText"/>
        <w:rPr>
          <w:b/>
          <w:sz w:val="8"/>
        </w:rPr>
      </w:pPr>
      <w:r>
        <w:rPr/>
        <w:br w:type="column"/>
      </w:r>
      <w:r>
        <w:rPr>
          <w:b/>
          <w:sz w:val="8"/>
        </w:rPr>
      </w:r>
    </w:p>
    <w:p>
      <w:pPr>
        <w:pStyle w:val="BodyText"/>
        <w:spacing w:before="9"/>
        <w:rPr>
          <w:b/>
          <w:sz w:val="9"/>
        </w:rPr>
      </w:pPr>
    </w:p>
    <w:p>
      <w:pPr>
        <w:spacing w:line="280" w:lineRule="auto" w:before="1"/>
        <w:ind w:left="191" w:right="-14" w:firstLine="0"/>
        <w:jc w:val="left"/>
        <w:rPr>
          <w:b/>
          <w:sz w:val="8"/>
        </w:rPr>
      </w:pPr>
      <w:r>
        <w:rPr>
          <w:b/>
          <w:sz w:val="8"/>
        </w:rPr>
        <w:t>Patient transport services</w:t>
      </w:r>
    </w:p>
    <w:p>
      <w:pPr>
        <w:pStyle w:val="BodyText"/>
        <w:rPr>
          <w:b/>
          <w:sz w:val="8"/>
        </w:rPr>
      </w:pPr>
      <w:r>
        <w:rPr/>
        <w:br w:type="column"/>
      </w:r>
      <w:r>
        <w:rPr>
          <w:b/>
          <w:sz w:val="8"/>
        </w:rPr>
      </w:r>
    </w:p>
    <w:p>
      <w:pPr>
        <w:pStyle w:val="BodyText"/>
        <w:spacing w:before="9"/>
        <w:rPr>
          <w:b/>
          <w:sz w:val="9"/>
        </w:rPr>
      </w:pPr>
    </w:p>
    <w:p>
      <w:pPr>
        <w:spacing w:line="280" w:lineRule="auto" w:before="1"/>
        <w:ind w:left="207" w:right="-7" w:firstLine="0"/>
        <w:jc w:val="left"/>
        <w:rPr>
          <w:b/>
          <w:sz w:val="8"/>
        </w:rPr>
      </w:pPr>
      <w:r>
        <w:rPr>
          <w:b/>
          <w:sz w:val="8"/>
        </w:rPr>
        <w:t>Prescription fees and charges</w:t>
      </w:r>
    </w:p>
    <w:p>
      <w:pPr>
        <w:pStyle w:val="BodyText"/>
        <w:rPr>
          <w:b/>
          <w:sz w:val="8"/>
        </w:rPr>
      </w:pPr>
      <w:r>
        <w:rPr/>
        <w:br w:type="column"/>
      </w:r>
      <w:r>
        <w:rPr>
          <w:b/>
          <w:sz w:val="8"/>
        </w:rPr>
      </w:r>
    </w:p>
    <w:p>
      <w:pPr>
        <w:pStyle w:val="BodyText"/>
        <w:spacing w:before="9"/>
        <w:rPr>
          <w:b/>
          <w:sz w:val="9"/>
        </w:rPr>
      </w:pPr>
    </w:p>
    <w:p>
      <w:pPr>
        <w:spacing w:before="1"/>
        <w:ind w:left="188" w:right="0" w:firstLine="0"/>
        <w:jc w:val="left"/>
        <w:rPr>
          <w:b/>
          <w:sz w:val="8"/>
        </w:rPr>
      </w:pPr>
      <w:r>
        <w:rPr>
          <w:b/>
          <w:sz w:val="8"/>
        </w:rPr>
        <w:t>Dental fees and</w:t>
      </w:r>
    </w:p>
    <w:p>
      <w:pPr>
        <w:tabs>
          <w:tab w:pos="1080" w:val="left" w:leader="none"/>
        </w:tabs>
        <w:spacing w:before="16"/>
        <w:ind w:left="188" w:right="0" w:firstLine="0"/>
        <w:jc w:val="left"/>
        <w:rPr>
          <w:b/>
          <w:sz w:val="8"/>
        </w:rPr>
      </w:pPr>
      <w:r>
        <w:rPr>
          <w:b/>
          <w:sz w:val="8"/>
        </w:rPr>
        <w:t>charges</w:t>
        <w:tab/>
        <w:t>Income</w:t>
      </w:r>
      <w:r>
        <w:rPr>
          <w:b/>
          <w:spacing w:val="11"/>
          <w:sz w:val="8"/>
        </w:rPr>
        <w:t> </w:t>
      </w:r>
      <w:r>
        <w:rPr>
          <w:b/>
          <w:spacing w:val="-4"/>
          <w:sz w:val="8"/>
        </w:rPr>
        <w:t>generation</w:t>
      </w:r>
    </w:p>
    <w:p>
      <w:pPr>
        <w:pStyle w:val="BodyText"/>
        <w:rPr>
          <w:b/>
          <w:sz w:val="8"/>
        </w:rPr>
      </w:pPr>
      <w:r>
        <w:rPr/>
        <w:br w:type="column"/>
      </w:r>
      <w:r>
        <w:rPr>
          <w:b/>
          <w:sz w:val="8"/>
        </w:rPr>
      </w:r>
    </w:p>
    <w:p>
      <w:pPr>
        <w:pStyle w:val="BodyText"/>
        <w:spacing w:before="9"/>
        <w:rPr>
          <w:b/>
          <w:sz w:val="9"/>
        </w:rPr>
      </w:pPr>
    </w:p>
    <w:p>
      <w:pPr>
        <w:spacing w:line="280" w:lineRule="auto" w:before="1"/>
        <w:ind w:left="144" w:right="0" w:firstLine="0"/>
        <w:jc w:val="left"/>
        <w:rPr>
          <w:b/>
          <w:sz w:val="8"/>
        </w:rPr>
      </w:pPr>
      <w:r>
        <w:rPr>
          <w:b/>
          <w:sz w:val="8"/>
        </w:rPr>
        <w:t>Other </w:t>
      </w:r>
      <w:r>
        <w:rPr>
          <w:b/>
          <w:spacing w:val="-4"/>
          <w:sz w:val="8"/>
        </w:rPr>
        <w:t>Contract </w:t>
      </w:r>
      <w:r>
        <w:rPr>
          <w:b/>
          <w:sz w:val="8"/>
        </w:rPr>
        <w:t>income</w:t>
      </w:r>
    </w:p>
    <w:p>
      <w:pPr>
        <w:pStyle w:val="BodyText"/>
        <w:spacing w:before="5"/>
        <w:rPr>
          <w:b/>
          <w:sz w:val="8"/>
        </w:rPr>
      </w:pPr>
      <w:r>
        <w:rPr/>
        <w:br w:type="column"/>
      </w:r>
      <w:r>
        <w:rPr>
          <w:b/>
          <w:sz w:val="8"/>
        </w:rPr>
      </w:r>
    </w:p>
    <w:p>
      <w:pPr>
        <w:spacing w:line="280" w:lineRule="auto" w:before="0"/>
        <w:ind w:left="296" w:right="727" w:firstLine="0"/>
        <w:jc w:val="left"/>
        <w:rPr>
          <w:b/>
          <w:sz w:val="8"/>
        </w:rPr>
      </w:pPr>
      <w:r>
        <w:rPr>
          <w:b/>
          <w:sz w:val="8"/>
        </w:rPr>
        <w:t>Recoveries in respect of employee benefits</w:t>
      </w:r>
    </w:p>
    <w:p>
      <w:pPr>
        <w:spacing w:after="0" w:line="280" w:lineRule="auto"/>
        <w:jc w:val="left"/>
        <w:rPr>
          <w:sz w:val="8"/>
        </w:rPr>
        <w:sectPr>
          <w:type w:val="continuous"/>
          <w:pgSz w:w="11920" w:h="16850"/>
          <w:pgMar w:top="1600" w:bottom="560" w:left="740" w:right="520"/>
          <w:cols w:num="7" w:equalWidth="0">
            <w:col w:w="3492" w:space="40"/>
            <w:col w:w="891" w:space="39"/>
            <w:col w:w="838" w:space="39"/>
            <w:col w:w="870" w:space="39"/>
            <w:col w:w="1789" w:space="39"/>
            <w:col w:w="707" w:space="40"/>
            <w:col w:w="1837"/>
          </w:cols>
        </w:sectPr>
      </w:pPr>
    </w:p>
    <w:p>
      <w:pPr>
        <w:pStyle w:val="BodyText"/>
        <w:spacing w:before="3"/>
        <w:rPr>
          <w:b/>
        </w:rPr>
      </w:pPr>
    </w:p>
    <w:p>
      <w:pPr>
        <w:pStyle w:val="BodyText"/>
        <w:spacing w:before="5"/>
        <w:rPr>
          <w:b/>
          <w:sz w:val="8"/>
        </w:rPr>
      </w:pPr>
    </w:p>
    <w:p>
      <w:pPr>
        <w:spacing w:line="268" w:lineRule="auto" w:before="0"/>
        <w:ind w:left="736" w:right="9090" w:firstLine="0"/>
        <w:jc w:val="left"/>
        <w:rPr>
          <w:sz w:val="8"/>
        </w:rPr>
      </w:pPr>
      <w:r>
        <w:rPr/>
        <w:pict>
          <v:shape style="position:absolute;margin-left:174pt;margin-top:-4.992793pt;width:361.6pt;height:25pt;mso-position-horizontal-relative:page;mso-position-vertical-relative:paragraph;z-index:25168896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41"/>
                    <w:gridCol w:w="532"/>
                    <w:gridCol w:w="895"/>
                    <w:gridCol w:w="860"/>
                    <w:gridCol w:w="392"/>
                    <w:gridCol w:w="558"/>
                    <w:gridCol w:w="353"/>
                  </w:tblGrid>
                  <w:tr>
                    <w:trPr>
                      <w:trHeight w:val="300" w:hRule="atLeast"/>
                    </w:trPr>
                    <w:tc>
                      <w:tcPr>
                        <w:tcW w:w="3641" w:type="dxa"/>
                      </w:tcPr>
                      <w:p>
                        <w:pPr>
                          <w:pStyle w:val="TableParagraph"/>
                          <w:tabs>
                            <w:tab w:pos="1019" w:val="left" w:leader="none"/>
                            <w:tab w:pos="1912" w:val="left" w:leader="none"/>
                            <w:tab w:pos="2805" w:val="left" w:leader="none"/>
                          </w:tabs>
                          <w:spacing w:line="89" w:lineRule="exact"/>
                          <w:ind w:left="21"/>
                          <w:rPr>
                            <w:sz w:val="8"/>
                          </w:rPr>
                        </w:pPr>
                        <w:r>
                          <w:rPr>
                            <w:sz w:val="8"/>
                          </w:rPr>
                          <w:t>£'000</w:t>
                          <w:tab/>
                          <w:t>£'000</w:t>
                          <w:tab/>
                          <w:t>£'000</w:t>
                          <w:tab/>
                          <w:t>£'000</w:t>
                        </w:r>
                      </w:p>
                      <w:p>
                        <w:pPr>
                          <w:pStyle w:val="TableParagraph"/>
                          <w:spacing w:before="10"/>
                          <w:rPr>
                            <w:sz w:val="9"/>
                          </w:rPr>
                        </w:pPr>
                      </w:p>
                      <w:p>
                        <w:pPr>
                          <w:pStyle w:val="TableParagraph"/>
                          <w:tabs>
                            <w:tab w:pos="1768" w:val="left" w:leader="none"/>
                            <w:tab w:pos="2661" w:val="left" w:leader="none"/>
                            <w:tab w:pos="3554" w:val="left" w:leader="none"/>
                          </w:tabs>
                          <w:spacing w:line="78" w:lineRule="exact" w:before="1"/>
                          <w:ind w:left="876"/>
                          <w:rPr>
                            <w:sz w:val="8"/>
                          </w:rPr>
                        </w:pPr>
                        <w:r>
                          <w:rPr>
                            <w:sz w:val="8"/>
                          </w:rPr>
                          <w:t>-</w:t>
                          <w:tab/>
                          <w:t>-</w:t>
                          <w:tab/>
                          <w:t>-</w:t>
                          <w:tab/>
                          <w:t>-</w:t>
                        </w:r>
                      </w:p>
                    </w:tc>
                    <w:tc>
                      <w:tcPr>
                        <w:tcW w:w="532" w:type="dxa"/>
                      </w:tcPr>
                      <w:p>
                        <w:pPr>
                          <w:pStyle w:val="TableParagraph"/>
                          <w:spacing w:line="89" w:lineRule="exact"/>
                          <w:ind w:left="57"/>
                          <w:rPr>
                            <w:sz w:val="8"/>
                          </w:rPr>
                        </w:pPr>
                        <w:r>
                          <w:rPr>
                            <w:sz w:val="8"/>
                          </w:rPr>
                          <w:t>£'000</w:t>
                        </w:r>
                      </w:p>
                    </w:tc>
                    <w:tc>
                      <w:tcPr>
                        <w:tcW w:w="895" w:type="dxa"/>
                      </w:tcPr>
                      <w:p>
                        <w:pPr>
                          <w:pStyle w:val="TableParagraph"/>
                          <w:spacing w:line="89" w:lineRule="exact"/>
                          <w:ind w:left="418"/>
                          <w:rPr>
                            <w:b/>
                            <w:sz w:val="8"/>
                          </w:rPr>
                        </w:pPr>
                        <w:r>
                          <w:rPr>
                            <w:b/>
                            <w:sz w:val="8"/>
                          </w:rPr>
                          <w:t>£'000</w:t>
                        </w:r>
                      </w:p>
                      <w:p>
                        <w:pPr>
                          <w:pStyle w:val="TableParagraph"/>
                          <w:spacing w:before="10"/>
                          <w:rPr>
                            <w:sz w:val="9"/>
                          </w:rPr>
                        </w:pPr>
                      </w:p>
                      <w:p>
                        <w:pPr>
                          <w:pStyle w:val="TableParagraph"/>
                          <w:spacing w:line="78" w:lineRule="exact" w:before="1"/>
                          <w:ind w:left="274"/>
                          <w:rPr>
                            <w:sz w:val="8"/>
                          </w:rPr>
                        </w:pPr>
                        <w:r>
                          <w:rPr>
                            <w:w w:val="99"/>
                            <w:sz w:val="8"/>
                          </w:rPr>
                          <w:t>-</w:t>
                        </w:r>
                      </w:p>
                    </w:tc>
                    <w:tc>
                      <w:tcPr>
                        <w:tcW w:w="860" w:type="dxa"/>
                      </w:tcPr>
                      <w:p>
                        <w:pPr>
                          <w:pStyle w:val="TableParagraph"/>
                          <w:spacing w:line="89" w:lineRule="exact"/>
                          <w:ind w:left="416"/>
                          <w:rPr>
                            <w:sz w:val="8"/>
                          </w:rPr>
                        </w:pPr>
                        <w:r>
                          <w:rPr>
                            <w:sz w:val="8"/>
                          </w:rPr>
                          <w:t>£'000</w:t>
                        </w:r>
                      </w:p>
                      <w:p>
                        <w:pPr>
                          <w:pStyle w:val="TableParagraph"/>
                          <w:spacing w:before="10"/>
                          <w:rPr>
                            <w:sz w:val="9"/>
                          </w:rPr>
                        </w:pPr>
                      </w:p>
                      <w:p>
                        <w:pPr>
                          <w:pStyle w:val="TableParagraph"/>
                          <w:spacing w:line="78" w:lineRule="exact" w:before="1"/>
                          <w:ind w:left="272"/>
                          <w:rPr>
                            <w:sz w:val="8"/>
                          </w:rPr>
                        </w:pPr>
                        <w:r>
                          <w:rPr>
                            <w:w w:val="99"/>
                            <w:sz w:val="8"/>
                          </w:rPr>
                          <w:t>-</w:t>
                        </w:r>
                      </w:p>
                    </w:tc>
                    <w:tc>
                      <w:tcPr>
                        <w:tcW w:w="392" w:type="dxa"/>
                      </w:tcPr>
                      <w:p>
                        <w:pPr>
                          <w:pStyle w:val="TableParagraph"/>
                          <w:rPr>
                            <w:sz w:val="8"/>
                          </w:rPr>
                        </w:pPr>
                      </w:p>
                      <w:p>
                        <w:pPr>
                          <w:pStyle w:val="TableParagraph"/>
                          <w:spacing w:before="7"/>
                          <w:rPr>
                            <w:sz w:val="9"/>
                          </w:rPr>
                        </w:pPr>
                      </w:p>
                      <w:p>
                        <w:pPr>
                          <w:pStyle w:val="TableParagraph"/>
                          <w:spacing w:line="78" w:lineRule="exact"/>
                          <w:ind w:right="58"/>
                          <w:jc w:val="right"/>
                          <w:rPr>
                            <w:sz w:val="8"/>
                          </w:rPr>
                        </w:pPr>
                        <w:r>
                          <w:rPr>
                            <w:w w:val="99"/>
                            <w:sz w:val="8"/>
                          </w:rPr>
                          <w:t>-</w:t>
                        </w:r>
                      </w:p>
                    </w:tc>
                    <w:tc>
                      <w:tcPr>
                        <w:tcW w:w="558" w:type="dxa"/>
                      </w:tcPr>
                      <w:p>
                        <w:pPr>
                          <w:pStyle w:val="TableParagraph"/>
                          <w:spacing w:line="89" w:lineRule="exact"/>
                          <w:ind w:left="56"/>
                          <w:rPr>
                            <w:sz w:val="8"/>
                          </w:rPr>
                        </w:pPr>
                        <w:r>
                          <w:rPr>
                            <w:sz w:val="8"/>
                          </w:rPr>
                          <w:t>£'000</w:t>
                        </w:r>
                      </w:p>
                    </w:tc>
                    <w:tc>
                      <w:tcPr>
                        <w:tcW w:w="353" w:type="dxa"/>
                      </w:tcPr>
                      <w:p>
                        <w:pPr>
                          <w:pStyle w:val="TableParagraph"/>
                          <w:rPr>
                            <w:sz w:val="8"/>
                          </w:rPr>
                        </w:pPr>
                      </w:p>
                      <w:p>
                        <w:pPr>
                          <w:pStyle w:val="TableParagraph"/>
                          <w:spacing w:before="7"/>
                          <w:rPr>
                            <w:sz w:val="9"/>
                          </w:rPr>
                        </w:pPr>
                      </w:p>
                      <w:p>
                        <w:pPr>
                          <w:pStyle w:val="TableParagraph"/>
                          <w:spacing w:line="78" w:lineRule="exact"/>
                          <w:ind w:right="23"/>
                          <w:jc w:val="right"/>
                          <w:rPr>
                            <w:sz w:val="8"/>
                          </w:rPr>
                        </w:pPr>
                        <w:r>
                          <w:rPr>
                            <w:w w:val="99"/>
                            <w:sz w:val="8"/>
                          </w:rPr>
                          <w:t>-</w:t>
                        </w:r>
                      </w:p>
                    </w:tc>
                  </w:tr>
                  <w:tr>
                    <w:trPr>
                      <w:trHeight w:val="92" w:hRule="atLeast"/>
                    </w:trPr>
                    <w:tc>
                      <w:tcPr>
                        <w:tcW w:w="3641" w:type="dxa"/>
                        <w:tcBorders>
                          <w:bottom w:val="single" w:sz="2" w:space="0" w:color="000000"/>
                        </w:tcBorders>
                      </w:tcPr>
                      <w:p>
                        <w:pPr>
                          <w:pStyle w:val="TableParagraph"/>
                          <w:tabs>
                            <w:tab w:pos="830" w:val="left" w:leader="none"/>
                            <w:tab w:pos="1785" w:val="left" w:leader="none"/>
                            <w:tab w:pos="2570" w:val="left" w:leader="none"/>
                          </w:tabs>
                          <w:spacing w:line="62" w:lineRule="exact" w:before="2"/>
                          <w:ind w:right="55"/>
                          <w:jc w:val="right"/>
                          <w:rPr>
                            <w:sz w:val="8"/>
                          </w:rPr>
                        </w:pPr>
                        <w:r>
                          <w:rPr>
                            <w:sz w:val="8"/>
                          </w:rPr>
                          <w:t>-</w:t>
                          <w:tab/>
                          <w:t>84</w:t>
                          <w:tab/>
                          <w:t>-</w:t>
                          <w:tab/>
                          <w:t>165</w:t>
                        </w:r>
                      </w:p>
                    </w:tc>
                    <w:tc>
                      <w:tcPr>
                        <w:tcW w:w="532" w:type="dxa"/>
                        <w:tcBorders>
                          <w:bottom w:val="single" w:sz="2" w:space="0" w:color="000000"/>
                        </w:tcBorders>
                      </w:tcPr>
                      <w:p>
                        <w:pPr>
                          <w:pStyle w:val="TableParagraph"/>
                          <w:rPr>
                            <w:rFonts w:ascii="Times New Roman"/>
                            <w:sz w:val="2"/>
                          </w:rPr>
                        </w:pPr>
                      </w:p>
                    </w:tc>
                    <w:tc>
                      <w:tcPr>
                        <w:tcW w:w="895" w:type="dxa"/>
                        <w:tcBorders>
                          <w:bottom w:val="single" w:sz="2" w:space="0" w:color="000000"/>
                        </w:tcBorders>
                      </w:tcPr>
                      <w:p>
                        <w:pPr>
                          <w:pStyle w:val="TableParagraph"/>
                          <w:spacing w:line="62" w:lineRule="exact" w:before="2"/>
                          <w:ind w:left="274"/>
                          <w:rPr>
                            <w:sz w:val="8"/>
                          </w:rPr>
                        </w:pPr>
                        <w:r>
                          <w:rPr>
                            <w:w w:val="99"/>
                            <w:sz w:val="8"/>
                          </w:rPr>
                          <w:t>-</w:t>
                        </w:r>
                      </w:p>
                    </w:tc>
                    <w:tc>
                      <w:tcPr>
                        <w:tcW w:w="860" w:type="dxa"/>
                        <w:tcBorders>
                          <w:bottom w:val="single" w:sz="2" w:space="0" w:color="000000"/>
                        </w:tcBorders>
                      </w:tcPr>
                      <w:p>
                        <w:pPr>
                          <w:pStyle w:val="TableParagraph"/>
                          <w:spacing w:line="62" w:lineRule="exact" w:before="2"/>
                          <w:ind w:left="272"/>
                          <w:rPr>
                            <w:sz w:val="8"/>
                          </w:rPr>
                        </w:pPr>
                        <w:r>
                          <w:rPr>
                            <w:w w:val="99"/>
                            <w:sz w:val="8"/>
                          </w:rPr>
                          <w:t>-</w:t>
                        </w:r>
                      </w:p>
                    </w:tc>
                    <w:tc>
                      <w:tcPr>
                        <w:tcW w:w="392" w:type="dxa"/>
                        <w:tcBorders>
                          <w:bottom w:val="single" w:sz="2" w:space="0" w:color="000000"/>
                        </w:tcBorders>
                      </w:tcPr>
                      <w:p>
                        <w:pPr>
                          <w:pStyle w:val="TableParagraph"/>
                          <w:spacing w:line="62" w:lineRule="exact" w:before="2"/>
                          <w:ind w:right="56"/>
                          <w:jc w:val="right"/>
                          <w:rPr>
                            <w:sz w:val="8"/>
                          </w:rPr>
                        </w:pPr>
                        <w:r>
                          <w:rPr>
                            <w:sz w:val="8"/>
                          </w:rPr>
                          <w:t>20</w:t>
                        </w:r>
                      </w:p>
                    </w:tc>
                    <w:tc>
                      <w:tcPr>
                        <w:tcW w:w="558" w:type="dxa"/>
                        <w:tcBorders>
                          <w:bottom w:val="single" w:sz="2" w:space="0" w:color="000000"/>
                        </w:tcBorders>
                      </w:tcPr>
                      <w:p>
                        <w:pPr>
                          <w:pStyle w:val="TableParagraph"/>
                          <w:rPr>
                            <w:rFonts w:ascii="Times New Roman"/>
                            <w:sz w:val="2"/>
                          </w:rPr>
                        </w:pPr>
                      </w:p>
                    </w:tc>
                    <w:tc>
                      <w:tcPr>
                        <w:tcW w:w="353" w:type="dxa"/>
                        <w:tcBorders>
                          <w:bottom w:val="single" w:sz="2" w:space="0" w:color="000000"/>
                        </w:tcBorders>
                      </w:tcPr>
                      <w:p>
                        <w:pPr>
                          <w:pStyle w:val="TableParagraph"/>
                          <w:spacing w:line="62" w:lineRule="exact" w:before="2"/>
                          <w:ind w:right="24"/>
                          <w:jc w:val="right"/>
                          <w:rPr>
                            <w:sz w:val="8"/>
                          </w:rPr>
                        </w:pPr>
                        <w:r>
                          <w:rPr>
                            <w:w w:val="99"/>
                            <w:sz w:val="8"/>
                          </w:rPr>
                          <w:t>-</w:t>
                        </w:r>
                      </w:p>
                    </w:tc>
                  </w:tr>
                  <w:tr>
                    <w:trPr>
                      <w:trHeight w:val="89" w:hRule="atLeast"/>
                    </w:trPr>
                    <w:tc>
                      <w:tcPr>
                        <w:tcW w:w="3641" w:type="dxa"/>
                        <w:tcBorders>
                          <w:top w:val="single" w:sz="2" w:space="0" w:color="000000"/>
                          <w:bottom w:val="single" w:sz="4" w:space="0" w:color="000000"/>
                        </w:tcBorders>
                      </w:tcPr>
                      <w:p>
                        <w:pPr>
                          <w:pStyle w:val="TableParagraph"/>
                          <w:tabs>
                            <w:tab w:pos="830" w:val="left" w:leader="none"/>
                            <w:tab w:pos="1785" w:val="left" w:leader="none"/>
                            <w:tab w:pos="2570" w:val="left" w:leader="none"/>
                          </w:tabs>
                          <w:spacing w:line="61" w:lineRule="exact" w:before="16"/>
                          <w:ind w:right="55"/>
                          <w:jc w:val="right"/>
                          <w:rPr>
                            <w:b/>
                            <w:sz w:val="8"/>
                          </w:rPr>
                        </w:pPr>
                        <w:r>
                          <w:rPr>
                            <w:b/>
                            <w:sz w:val="8"/>
                          </w:rPr>
                          <w:t>-</w:t>
                          <w:tab/>
                          <w:t>84</w:t>
                          <w:tab/>
                          <w:t>-</w:t>
                          <w:tab/>
                          <w:t>165</w:t>
                        </w:r>
                      </w:p>
                    </w:tc>
                    <w:tc>
                      <w:tcPr>
                        <w:tcW w:w="532" w:type="dxa"/>
                        <w:tcBorders>
                          <w:top w:val="single" w:sz="2" w:space="0" w:color="000000"/>
                          <w:bottom w:val="single" w:sz="4" w:space="0" w:color="000000"/>
                        </w:tcBorders>
                      </w:tcPr>
                      <w:p>
                        <w:pPr>
                          <w:pStyle w:val="TableParagraph"/>
                          <w:rPr>
                            <w:rFonts w:ascii="Times New Roman"/>
                            <w:sz w:val="4"/>
                          </w:rPr>
                        </w:pPr>
                      </w:p>
                    </w:tc>
                    <w:tc>
                      <w:tcPr>
                        <w:tcW w:w="895" w:type="dxa"/>
                        <w:tcBorders>
                          <w:top w:val="single" w:sz="2" w:space="0" w:color="000000"/>
                          <w:bottom w:val="single" w:sz="4" w:space="0" w:color="000000"/>
                        </w:tcBorders>
                      </w:tcPr>
                      <w:p>
                        <w:pPr>
                          <w:pStyle w:val="TableParagraph"/>
                          <w:spacing w:line="61" w:lineRule="exact" w:before="16"/>
                          <w:ind w:left="274"/>
                          <w:rPr>
                            <w:b/>
                            <w:sz w:val="8"/>
                          </w:rPr>
                        </w:pPr>
                        <w:r>
                          <w:rPr>
                            <w:b/>
                            <w:w w:val="99"/>
                            <w:sz w:val="8"/>
                          </w:rPr>
                          <w:t>-</w:t>
                        </w:r>
                      </w:p>
                    </w:tc>
                    <w:tc>
                      <w:tcPr>
                        <w:tcW w:w="860" w:type="dxa"/>
                        <w:tcBorders>
                          <w:top w:val="single" w:sz="2" w:space="0" w:color="000000"/>
                          <w:bottom w:val="single" w:sz="4" w:space="0" w:color="000000"/>
                        </w:tcBorders>
                      </w:tcPr>
                      <w:p>
                        <w:pPr>
                          <w:pStyle w:val="TableParagraph"/>
                          <w:spacing w:line="61" w:lineRule="exact" w:before="16"/>
                          <w:ind w:left="271"/>
                          <w:rPr>
                            <w:b/>
                            <w:sz w:val="8"/>
                          </w:rPr>
                        </w:pPr>
                        <w:r>
                          <w:rPr>
                            <w:b/>
                            <w:w w:val="99"/>
                            <w:sz w:val="8"/>
                          </w:rPr>
                          <w:t>-</w:t>
                        </w:r>
                      </w:p>
                    </w:tc>
                    <w:tc>
                      <w:tcPr>
                        <w:tcW w:w="392" w:type="dxa"/>
                        <w:tcBorders>
                          <w:top w:val="single" w:sz="2" w:space="0" w:color="000000"/>
                          <w:bottom w:val="single" w:sz="4" w:space="0" w:color="000000"/>
                        </w:tcBorders>
                      </w:tcPr>
                      <w:p>
                        <w:pPr>
                          <w:pStyle w:val="TableParagraph"/>
                          <w:spacing w:line="61" w:lineRule="exact" w:before="16"/>
                          <w:ind w:right="56"/>
                          <w:jc w:val="right"/>
                          <w:rPr>
                            <w:b/>
                            <w:sz w:val="8"/>
                          </w:rPr>
                        </w:pPr>
                        <w:r>
                          <w:rPr>
                            <w:b/>
                            <w:sz w:val="8"/>
                          </w:rPr>
                          <w:t>20</w:t>
                        </w:r>
                      </w:p>
                    </w:tc>
                    <w:tc>
                      <w:tcPr>
                        <w:tcW w:w="558" w:type="dxa"/>
                        <w:tcBorders>
                          <w:top w:val="single" w:sz="2" w:space="0" w:color="000000"/>
                          <w:bottom w:val="single" w:sz="4" w:space="0" w:color="000000"/>
                        </w:tcBorders>
                      </w:tcPr>
                      <w:p>
                        <w:pPr>
                          <w:pStyle w:val="TableParagraph"/>
                          <w:rPr>
                            <w:rFonts w:ascii="Times New Roman"/>
                            <w:sz w:val="4"/>
                          </w:rPr>
                        </w:pPr>
                      </w:p>
                    </w:tc>
                    <w:tc>
                      <w:tcPr>
                        <w:tcW w:w="353" w:type="dxa"/>
                        <w:tcBorders>
                          <w:top w:val="single" w:sz="2" w:space="0" w:color="000000"/>
                          <w:bottom w:val="single" w:sz="4" w:space="0" w:color="000000"/>
                        </w:tcBorders>
                      </w:tcPr>
                      <w:p>
                        <w:pPr>
                          <w:pStyle w:val="TableParagraph"/>
                          <w:spacing w:line="61" w:lineRule="exact" w:before="16"/>
                          <w:ind w:right="24"/>
                          <w:jc w:val="right"/>
                          <w:rPr>
                            <w:b/>
                            <w:sz w:val="8"/>
                          </w:rPr>
                        </w:pPr>
                        <w:r>
                          <w:rPr>
                            <w:b/>
                            <w:w w:val="99"/>
                            <w:sz w:val="8"/>
                          </w:rPr>
                          <w:t>-</w:t>
                        </w:r>
                      </w:p>
                    </w:tc>
                  </w:tr>
                </w:tbl>
                <w:p>
                  <w:pPr>
                    <w:pStyle w:val="BodyText"/>
                  </w:pPr>
                </w:p>
              </w:txbxContent>
            </v:textbox>
            <w10:wrap type="none"/>
          </v:shape>
        </w:pict>
      </w:r>
      <w:r>
        <w:rPr>
          <w:sz w:val="8"/>
        </w:rPr>
        <w:t>Timing of Revenue Point in time</w:t>
      </w:r>
    </w:p>
    <w:p>
      <w:pPr>
        <w:spacing w:line="268" w:lineRule="auto" w:before="0"/>
        <w:ind w:left="736" w:right="9419" w:firstLine="0"/>
        <w:jc w:val="left"/>
        <w:rPr>
          <w:sz w:val="8"/>
        </w:rPr>
      </w:pPr>
      <w:r>
        <w:rPr>
          <w:sz w:val="8"/>
        </w:rPr>
        <w:t>Over time Total</w:t>
      </w:r>
    </w:p>
    <w:p>
      <w:pPr>
        <w:pStyle w:val="BodyText"/>
        <w:spacing w:before="4"/>
        <w:rPr>
          <w:sz w:val="18"/>
        </w:rPr>
      </w:pPr>
    </w:p>
    <w:p>
      <w:pPr>
        <w:pStyle w:val="BodyText"/>
        <w:spacing w:before="5"/>
        <w:rPr>
          <w:sz w:val="8"/>
        </w:rPr>
      </w:pPr>
    </w:p>
    <w:p>
      <w:pPr>
        <w:pStyle w:val="ListParagraph"/>
        <w:numPr>
          <w:ilvl w:val="1"/>
          <w:numId w:val="24"/>
        </w:numPr>
        <w:tabs>
          <w:tab w:pos="736" w:val="left" w:leader="none"/>
        </w:tabs>
        <w:spacing w:line="240" w:lineRule="auto" w:before="0" w:after="0"/>
        <w:ind w:left="736" w:right="0" w:hanging="159"/>
        <w:jc w:val="left"/>
        <w:rPr>
          <w:b/>
          <w:sz w:val="8"/>
        </w:rPr>
      </w:pPr>
      <w:r>
        <w:rPr>
          <w:b/>
          <w:sz w:val="8"/>
        </w:rPr>
        <w:t>Transaction price to remaining contract performance</w:t>
      </w:r>
      <w:r>
        <w:rPr>
          <w:b/>
          <w:spacing w:val="16"/>
          <w:sz w:val="8"/>
        </w:rPr>
        <w:t> </w:t>
      </w:r>
      <w:r>
        <w:rPr>
          <w:b/>
          <w:sz w:val="8"/>
        </w:rPr>
        <w:t>obligations</w:t>
      </w:r>
    </w:p>
    <w:p>
      <w:pPr>
        <w:pStyle w:val="BodyText"/>
        <w:spacing w:before="11"/>
        <w:rPr>
          <w:b/>
          <w:sz w:val="9"/>
        </w:rPr>
      </w:pPr>
    </w:p>
    <w:p>
      <w:pPr>
        <w:spacing w:before="0"/>
        <w:ind w:left="736" w:right="0" w:firstLine="0"/>
        <w:jc w:val="left"/>
        <w:rPr>
          <w:sz w:val="8"/>
        </w:rPr>
      </w:pPr>
      <w:r>
        <w:rPr>
          <w:sz w:val="8"/>
        </w:rPr>
        <w:t>North Lincolnshire CCG has no contract revenue expected to be recognised in future periods related to contract performance obligations.</w:t>
      </w:r>
    </w:p>
    <w:p>
      <w:pPr>
        <w:spacing w:after="0"/>
        <w:jc w:val="left"/>
        <w:rPr>
          <w:sz w:val="8"/>
        </w:rPr>
        <w:sectPr>
          <w:type w:val="continuous"/>
          <w:pgSz w:w="11920" w:h="16850"/>
          <w:pgMar w:top="1600" w:bottom="560" w:left="740" w:right="520"/>
        </w:sectPr>
      </w:pPr>
    </w:p>
    <w:p>
      <w:pPr>
        <w:pStyle w:val="BodyText"/>
        <w:spacing w:before="6"/>
        <w:rPr>
          <w:sz w:val="29"/>
        </w:rPr>
      </w:pPr>
    </w:p>
    <w:p>
      <w:pPr>
        <w:pStyle w:val="BodyText"/>
        <w:spacing w:before="4"/>
        <w:rPr>
          <w:sz w:val="8"/>
        </w:rPr>
      </w:pPr>
    </w:p>
    <w:p>
      <w:pPr>
        <w:spacing w:before="0"/>
        <w:ind w:left="463" w:right="702" w:firstLine="0"/>
        <w:jc w:val="center"/>
        <w:rPr>
          <w:sz w:val="8"/>
        </w:rPr>
      </w:pPr>
      <w:r>
        <w:rPr>
          <w:sz w:val="8"/>
        </w:rPr>
        <w:t>10</w:t>
      </w:r>
    </w:p>
    <w:p>
      <w:pPr>
        <w:spacing w:after="0"/>
        <w:jc w:val="center"/>
        <w:rPr>
          <w:sz w:val="8"/>
        </w:rPr>
        <w:sectPr>
          <w:footerReference w:type="default" r:id="rId52"/>
          <w:pgSz w:w="11920" w:h="16850"/>
          <w:pgMar w:footer="0" w:header="0" w:top="1600" w:bottom="280" w:left="740" w:right="520"/>
        </w:sect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13"/>
        <w:gridCol w:w="2338"/>
        <w:gridCol w:w="735"/>
        <w:gridCol w:w="1106"/>
      </w:tblGrid>
      <w:tr>
        <w:trPr>
          <w:trHeight w:val="744" w:hRule="atLeast"/>
        </w:trPr>
        <w:tc>
          <w:tcPr>
            <w:tcW w:w="5813" w:type="dxa"/>
          </w:tcPr>
          <w:p>
            <w:pPr>
              <w:pStyle w:val="TableParagraph"/>
              <w:spacing w:line="186" w:lineRule="exact"/>
              <w:ind w:left="200"/>
              <w:rPr>
                <w:sz w:val="17"/>
              </w:rPr>
            </w:pPr>
            <w:r>
              <w:rPr>
                <w:w w:val="105"/>
                <w:sz w:val="17"/>
              </w:rPr>
              <w:t>NHS North Lincolnshire CCG - Annual Accounts 2021-22</w:t>
            </w:r>
          </w:p>
          <w:p>
            <w:pPr>
              <w:pStyle w:val="TableParagraph"/>
              <w:spacing w:before="6"/>
              <w:rPr>
                <w:sz w:val="20"/>
              </w:rPr>
            </w:pPr>
          </w:p>
          <w:p>
            <w:pPr>
              <w:pStyle w:val="TableParagraph"/>
              <w:ind w:left="200"/>
              <w:rPr>
                <w:b/>
                <w:sz w:val="17"/>
              </w:rPr>
            </w:pPr>
            <w:r>
              <w:rPr>
                <w:b/>
                <w:w w:val="105"/>
                <w:sz w:val="17"/>
              </w:rPr>
              <w:t>4. Employee benefits and staff numbers</w:t>
            </w:r>
          </w:p>
        </w:tc>
        <w:tc>
          <w:tcPr>
            <w:tcW w:w="2338" w:type="dxa"/>
          </w:tcPr>
          <w:p>
            <w:pPr>
              <w:pStyle w:val="TableParagraph"/>
              <w:rPr>
                <w:rFonts w:ascii="Times New Roman"/>
                <w:sz w:val="16"/>
              </w:rPr>
            </w:pPr>
          </w:p>
        </w:tc>
        <w:tc>
          <w:tcPr>
            <w:tcW w:w="735" w:type="dxa"/>
          </w:tcPr>
          <w:p>
            <w:pPr>
              <w:pStyle w:val="TableParagraph"/>
              <w:rPr>
                <w:rFonts w:ascii="Times New Roman"/>
                <w:sz w:val="16"/>
              </w:rPr>
            </w:pPr>
          </w:p>
        </w:tc>
        <w:tc>
          <w:tcPr>
            <w:tcW w:w="1106" w:type="dxa"/>
          </w:tcPr>
          <w:p>
            <w:pPr>
              <w:pStyle w:val="TableParagraph"/>
              <w:rPr>
                <w:rFonts w:ascii="Times New Roman"/>
                <w:sz w:val="16"/>
              </w:rPr>
            </w:pPr>
          </w:p>
        </w:tc>
      </w:tr>
      <w:tr>
        <w:trPr>
          <w:trHeight w:val="527" w:hRule="atLeast"/>
        </w:trPr>
        <w:tc>
          <w:tcPr>
            <w:tcW w:w="5813" w:type="dxa"/>
          </w:tcPr>
          <w:p>
            <w:pPr>
              <w:pStyle w:val="TableParagraph"/>
              <w:spacing w:before="113"/>
              <w:ind w:left="200"/>
              <w:rPr>
                <w:b/>
                <w:sz w:val="17"/>
              </w:rPr>
            </w:pPr>
            <w:r>
              <w:rPr>
                <w:b/>
                <w:w w:val="105"/>
                <w:sz w:val="17"/>
              </w:rPr>
              <w:t>4.1.1 Employee benefits</w:t>
            </w:r>
          </w:p>
        </w:tc>
        <w:tc>
          <w:tcPr>
            <w:tcW w:w="2338" w:type="dxa"/>
          </w:tcPr>
          <w:p>
            <w:pPr>
              <w:pStyle w:val="TableParagraph"/>
              <w:spacing w:before="113"/>
              <w:ind w:left="1157"/>
              <w:rPr>
                <w:b/>
                <w:sz w:val="17"/>
              </w:rPr>
            </w:pPr>
            <w:r>
              <w:rPr>
                <w:b/>
                <w:w w:val="105"/>
                <w:sz w:val="17"/>
              </w:rPr>
              <w:t>Total</w:t>
            </w:r>
          </w:p>
          <w:p>
            <w:pPr>
              <w:pStyle w:val="TableParagraph"/>
              <w:spacing w:line="193" w:lineRule="exact" w:before="6"/>
              <w:ind w:left="231"/>
              <w:rPr>
                <w:b/>
                <w:sz w:val="17"/>
              </w:rPr>
            </w:pPr>
            <w:r>
              <w:rPr>
                <w:b/>
                <w:w w:val="105"/>
                <w:sz w:val="17"/>
              </w:rPr>
              <w:t>Permanent</w:t>
            </w:r>
          </w:p>
        </w:tc>
        <w:tc>
          <w:tcPr>
            <w:tcW w:w="735" w:type="dxa"/>
          </w:tcPr>
          <w:p>
            <w:pPr>
              <w:pStyle w:val="TableParagraph"/>
              <w:rPr>
                <w:rFonts w:ascii="Times New Roman"/>
                <w:sz w:val="16"/>
              </w:rPr>
            </w:pPr>
          </w:p>
        </w:tc>
        <w:tc>
          <w:tcPr>
            <w:tcW w:w="1106" w:type="dxa"/>
          </w:tcPr>
          <w:p>
            <w:pPr>
              <w:pStyle w:val="TableParagraph"/>
              <w:spacing w:before="113"/>
              <w:ind w:left="-6"/>
              <w:rPr>
                <w:b/>
                <w:sz w:val="17"/>
              </w:rPr>
            </w:pPr>
            <w:r>
              <w:rPr>
                <w:b/>
                <w:w w:val="105"/>
                <w:sz w:val="17"/>
              </w:rPr>
              <w:t>2021-22</w:t>
            </w:r>
          </w:p>
        </w:tc>
      </w:tr>
      <w:tr>
        <w:trPr>
          <w:trHeight w:val="217" w:hRule="atLeast"/>
        </w:trPr>
        <w:tc>
          <w:tcPr>
            <w:tcW w:w="5813" w:type="dxa"/>
          </w:tcPr>
          <w:p>
            <w:pPr>
              <w:pStyle w:val="TableParagraph"/>
              <w:rPr>
                <w:rFonts w:ascii="Times New Roman"/>
                <w:sz w:val="14"/>
              </w:rPr>
            </w:pPr>
          </w:p>
        </w:tc>
        <w:tc>
          <w:tcPr>
            <w:tcW w:w="2338" w:type="dxa"/>
          </w:tcPr>
          <w:p>
            <w:pPr>
              <w:pStyle w:val="TableParagraph"/>
              <w:tabs>
                <w:tab w:pos="1802" w:val="left" w:leader="none"/>
              </w:tabs>
              <w:spacing w:line="192" w:lineRule="exact" w:before="5"/>
              <w:ind w:left="228"/>
              <w:rPr>
                <w:b/>
                <w:sz w:val="17"/>
              </w:rPr>
            </w:pPr>
            <w:r>
              <w:rPr>
                <w:b/>
                <w:w w:val="105"/>
                <w:sz w:val="17"/>
              </w:rPr>
              <w:t>Employees</w:t>
              <w:tab/>
              <w:t>Other</w:t>
            </w:r>
          </w:p>
        </w:tc>
        <w:tc>
          <w:tcPr>
            <w:tcW w:w="735" w:type="dxa"/>
          </w:tcPr>
          <w:p>
            <w:pPr>
              <w:pStyle w:val="TableParagraph"/>
              <w:rPr>
                <w:rFonts w:ascii="Times New Roman"/>
                <w:sz w:val="14"/>
              </w:rPr>
            </w:pPr>
          </w:p>
        </w:tc>
        <w:tc>
          <w:tcPr>
            <w:tcW w:w="1106" w:type="dxa"/>
          </w:tcPr>
          <w:p>
            <w:pPr>
              <w:pStyle w:val="TableParagraph"/>
              <w:spacing w:line="192" w:lineRule="exact" w:before="5"/>
              <w:ind w:left="102"/>
              <w:rPr>
                <w:b/>
                <w:sz w:val="17"/>
              </w:rPr>
            </w:pPr>
            <w:r>
              <w:rPr>
                <w:b/>
                <w:w w:val="105"/>
                <w:sz w:val="17"/>
              </w:rPr>
              <w:t>Total</w:t>
            </w:r>
          </w:p>
        </w:tc>
      </w:tr>
      <w:tr>
        <w:trPr>
          <w:trHeight w:val="215" w:hRule="atLeast"/>
        </w:trPr>
        <w:tc>
          <w:tcPr>
            <w:tcW w:w="5813" w:type="dxa"/>
          </w:tcPr>
          <w:p>
            <w:pPr>
              <w:pStyle w:val="TableParagraph"/>
              <w:rPr>
                <w:rFonts w:ascii="Times New Roman"/>
                <w:sz w:val="14"/>
              </w:rPr>
            </w:pPr>
          </w:p>
        </w:tc>
        <w:tc>
          <w:tcPr>
            <w:tcW w:w="2338" w:type="dxa"/>
          </w:tcPr>
          <w:p>
            <w:pPr>
              <w:pStyle w:val="TableParagraph"/>
              <w:tabs>
                <w:tab w:pos="1826" w:val="left" w:leader="none"/>
              </w:tabs>
              <w:spacing w:line="192" w:lineRule="exact" w:before="3"/>
              <w:ind w:left="480"/>
              <w:rPr>
                <w:b/>
                <w:sz w:val="17"/>
              </w:rPr>
            </w:pPr>
            <w:r>
              <w:rPr>
                <w:b/>
                <w:w w:val="105"/>
                <w:sz w:val="17"/>
              </w:rPr>
              <w:t>£'000</w:t>
              <w:tab/>
              <w:t>£'000</w:t>
            </w:r>
          </w:p>
        </w:tc>
        <w:tc>
          <w:tcPr>
            <w:tcW w:w="735" w:type="dxa"/>
          </w:tcPr>
          <w:p>
            <w:pPr>
              <w:pStyle w:val="TableParagraph"/>
              <w:rPr>
                <w:rFonts w:ascii="Times New Roman"/>
                <w:sz w:val="14"/>
              </w:rPr>
            </w:pPr>
          </w:p>
        </w:tc>
        <w:tc>
          <w:tcPr>
            <w:tcW w:w="1106" w:type="dxa"/>
          </w:tcPr>
          <w:p>
            <w:pPr>
              <w:pStyle w:val="TableParagraph"/>
              <w:spacing w:line="192" w:lineRule="exact" w:before="3"/>
              <w:ind w:left="100"/>
              <w:rPr>
                <w:b/>
                <w:sz w:val="17"/>
              </w:rPr>
            </w:pPr>
            <w:r>
              <w:rPr>
                <w:b/>
                <w:w w:val="105"/>
                <w:sz w:val="17"/>
              </w:rPr>
              <w:t>£'000</w:t>
            </w:r>
          </w:p>
        </w:tc>
      </w:tr>
      <w:tr>
        <w:trPr>
          <w:trHeight w:val="216" w:hRule="atLeast"/>
        </w:trPr>
        <w:tc>
          <w:tcPr>
            <w:tcW w:w="5813" w:type="dxa"/>
          </w:tcPr>
          <w:p>
            <w:pPr>
              <w:pStyle w:val="TableParagraph"/>
              <w:spacing w:line="192" w:lineRule="exact" w:before="3"/>
              <w:ind w:left="200"/>
              <w:rPr>
                <w:b/>
                <w:sz w:val="17"/>
              </w:rPr>
            </w:pPr>
            <w:r>
              <w:rPr>
                <w:b/>
                <w:w w:val="105"/>
                <w:sz w:val="17"/>
              </w:rPr>
              <w:t>Employee Benefits</w:t>
            </w:r>
          </w:p>
        </w:tc>
        <w:tc>
          <w:tcPr>
            <w:tcW w:w="2338" w:type="dxa"/>
          </w:tcPr>
          <w:p>
            <w:pPr>
              <w:pStyle w:val="TableParagraph"/>
              <w:rPr>
                <w:rFonts w:ascii="Times New Roman"/>
                <w:sz w:val="14"/>
              </w:rPr>
            </w:pPr>
          </w:p>
        </w:tc>
        <w:tc>
          <w:tcPr>
            <w:tcW w:w="735" w:type="dxa"/>
          </w:tcPr>
          <w:p>
            <w:pPr>
              <w:pStyle w:val="TableParagraph"/>
              <w:rPr>
                <w:rFonts w:ascii="Times New Roman"/>
                <w:sz w:val="14"/>
              </w:rPr>
            </w:pPr>
          </w:p>
        </w:tc>
        <w:tc>
          <w:tcPr>
            <w:tcW w:w="1106" w:type="dxa"/>
          </w:tcPr>
          <w:p>
            <w:pPr>
              <w:pStyle w:val="TableParagraph"/>
              <w:rPr>
                <w:rFonts w:ascii="Times New Roman"/>
                <w:sz w:val="14"/>
              </w:rPr>
            </w:pPr>
          </w:p>
        </w:tc>
      </w:tr>
      <w:tr>
        <w:trPr>
          <w:trHeight w:val="215" w:hRule="atLeast"/>
        </w:trPr>
        <w:tc>
          <w:tcPr>
            <w:tcW w:w="5813" w:type="dxa"/>
          </w:tcPr>
          <w:p>
            <w:pPr>
              <w:pStyle w:val="TableParagraph"/>
              <w:spacing w:line="192" w:lineRule="exact" w:before="3"/>
              <w:ind w:left="200"/>
              <w:rPr>
                <w:sz w:val="17"/>
              </w:rPr>
            </w:pPr>
            <w:r>
              <w:rPr>
                <w:w w:val="105"/>
                <w:sz w:val="17"/>
              </w:rPr>
              <w:t>Salaries and wages</w:t>
            </w:r>
          </w:p>
        </w:tc>
        <w:tc>
          <w:tcPr>
            <w:tcW w:w="3073" w:type="dxa"/>
            <w:gridSpan w:val="2"/>
          </w:tcPr>
          <w:p>
            <w:pPr>
              <w:pStyle w:val="TableParagraph"/>
              <w:tabs>
                <w:tab w:pos="2294" w:val="left" w:leader="none"/>
              </w:tabs>
              <w:spacing w:line="192" w:lineRule="exact" w:before="3"/>
              <w:ind w:left="850"/>
              <w:rPr>
                <w:b/>
                <w:sz w:val="17"/>
              </w:rPr>
            </w:pPr>
            <w:r>
              <w:rPr>
                <w:b/>
                <w:w w:val="105"/>
                <w:sz w:val="17"/>
              </w:rPr>
              <w:t>3310</w:t>
              <w:tab/>
              <w:t>235</w:t>
            </w:r>
          </w:p>
        </w:tc>
        <w:tc>
          <w:tcPr>
            <w:tcW w:w="1106" w:type="dxa"/>
          </w:tcPr>
          <w:p>
            <w:pPr>
              <w:pStyle w:val="TableParagraph"/>
              <w:spacing w:line="192" w:lineRule="exact" w:before="3"/>
              <w:ind w:right="235"/>
              <w:jc w:val="right"/>
              <w:rPr>
                <w:b/>
                <w:sz w:val="17"/>
              </w:rPr>
            </w:pPr>
            <w:r>
              <w:rPr>
                <w:b/>
                <w:sz w:val="17"/>
              </w:rPr>
              <w:t>3545</w:t>
            </w:r>
          </w:p>
        </w:tc>
      </w:tr>
      <w:tr>
        <w:trPr>
          <w:trHeight w:val="216" w:hRule="atLeast"/>
        </w:trPr>
        <w:tc>
          <w:tcPr>
            <w:tcW w:w="5813" w:type="dxa"/>
          </w:tcPr>
          <w:p>
            <w:pPr>
              <w:pStyle w:val="TableParagraph"/>
              <w:spacing w:line="192" w:lineRule="exact" w:before="3"/>
              <w:ind w:left="200"/>
              <w:rPr>
                <w:sz w:val="17"/>
              </w:rPr>
            </w:pPr>
            <w:r>
              <w:rPr>
                <w:w w:val="105"/>
                <w:sz w:val="17"/>
              </w:rPr>
              <w:t>Social security costs</w:t>
            </w:r>
          </w:p>
        </w:tc>
        <w:tc>
          <w:tcPr>
            <w:tcW w:w="3073" w:type="dxa"/>
            <w:gridSpan w:val="2"/>
          </w:tcPr>
          <w:p>
            <w:pPr>
              <w:pStyle w:val="TableParagraph"/>
              <w:tabs>
                <w:tab w:pos="2491" w:val="left" w:leader="none"/>
              </w:tabs>
              <w:spacing w:line="192" w:lineRule="exact" w:before="3"/>
              <w:ind w:left="948"/>
              <w:rPr>
                <w:b/>
                <w:sz w:val="17"/>
              </w:rPr>
            </w:pPr>
            <w:r>
              <w:rPr>
                <w:b/>
                <w:w w:val="105"/>
                <w:sz w:val="17"/>
              </w:rPr>
              <w:t>360</w:t>
              <w:tab/>
              <w:t>0</w:t>
            </w:r>
          </w:p>
        </w:tc>
        <w:tc>
          <w:tcPr>
            <w:tcW w:w="1106" w:type="dxa"/>
          </w:tcPr>
          <w:p>
            <w:pPr>
              <w:pStyle w:val="TableParagraph"/>
              <w:spacing w:line="192" w:lineRule="exact" w:before="3"/>
              <w:ind w:right="235"/>
              <w:jc w:val="right"/>
              <w:rPr>
                <w:b/>
                <w:sz w:val="17"/>
              </w:rPr>
            </w:pPr>
            <w:r>
              <w:rPr>
                <w:b/>
                <w:sz w:val="17"/>
              </w:rPr>
              <w:t>360</w:t>
            </w:r>
          </w:p>
        </w:tc>
      </w:tr>
      <w:tr>
        <w:trPr>
          <w:trHeight w:val="215" w:hRule="atLeast"/>
        </w:trPr>
        <w:tc>
          <w:tcPr>
            <w:tcW w:w="5813" w:type="dxa"/>
          </w:tcPr>
          <w:p>
            <w:pPr>
              <w:pStyle w:val="TableParagraph"/>
              <w:spacing w:line="192" w:lineRule="exact" w:before="3"/>
              <w:ind w:left="200"/>
              <w:rPr>
                <w:sz w:val="17"/>
              </w:rPr>
            </w:pPr>
            <w:r>
              <w:rPr>
                <w:w w:val="105"/>
                <w:sz w:val="17"/>
              </w:rPr>
              <w:t>Employer Contributions to NHS Pension scheme</w:t>
            </w:r>
          </w:p>
        </w:tc>
        <w:tc>
          <w:tcPr>
            <w:tcW w:w="3073" w:type="dxa"/>
            <w:gridSpan w:val="2"/>
          </w:tcPr>
          <w:p>
            <w:pPr>
              <w:pStyle w:val="TableParagraph"/>
              <w:tabs>
                <w:tab w:pos="2491" w:val="left" w:leader="none"/>
              </w:tabs>
              <w:spacing w:line="192" w:lineRule="exact" w:before="3"/>
              <w:ind w:left="948"/>
              <w:rPr>
                <w:b/>
                <w:sz w:val="17"/>
              </w:rPr>
            </w:pPr>
            <w:r>
              <w:rPr>
                <w:b/>
                <w:w w:val="105"/>
                <w:sz w:val="17"/>
              </w:rPr>
              <w:t>618</w:t>
              <w:tab/>
              <w:t>0</w:t>
            </w:r>
          </w:p>
        </w:tc>
        <w:tc>
          <w:tcPr>
            <w:tcW w:w="1106" w:type="dxa"/>
          </w:tcPr>
          <w:p>
            <w:pPr>
              <w:pStyle w:val="TableParagraph"/>
              <w:spacing w:line="192" w:lineRule="exact" w:before="3"/>
              <w:ind w:right="235"/>
              <w:jc w:val="right"/>
              <w:rPr>
                <w:b/>
                <w:sz w:val="17"/>
              </w:rPr>
            </w:pPr>
            <w:r>
              <w:rPr>
                <w:b/>
                <w:sz w:val="17"/>
              </w:rPr>
              <w:t>618</w:t>
            </w:r>
          </w:p>
        </w:tc>
      </w:tr>
      <w:tr>
        <w:trPr>
          <w:trHeight w:val="215" w:hRule="atLeast"/>
        </w:trPr>
        <w:tc>
          <w:tcPr>
            <w:tcW w:w="5813" w:type="dxa"/>
          </w:tcPr>
          <w:p>
            <w:pPr>
              <w:pStyle w:val="TableParagraph"/>
              <w:spacing w:line="192" w:lineRule="exact" w:before="3"/>
              <w:ind w:left="200"/>
              <w:rPr>
                <w:sz w:val="17"/>
              </w:rPr>
            </w:pPr>
            <w:r>
              <w:rPr>
                <w:w w:val="105"/>
                <w:sz w:val="17"/>
              </w:rPr>
              <w:t>Other pension costs</w:t>
            </w:r>
          </w:p>
        </w:tc>
        <w:tc>
          <w:tcPr>
            <w:tcW w:w="3073" w:type="dxa"/>
            <w:gridSpan w:val="2"/>
          </w:tcPr>
          <w:p>
            <w:pPr>
              <w:pStyle w:val="TableParagraph"/>
              <w:tabs>
                <w:tab w:pos="2491" w:val="left" w:leader="none"/>
              </w:tabs>
              <w:spacing w:line="192" w:lineRule="exact" w:before="3"/>
              <w:ind w:left="1145"/>
              <w:rPr>
                <w:b/>
                <w:sz w:val="17"/>
              </w:rPr>
            </w:pPr>
            <w:r>
              <w:rPr>
                <w:b/>
                <w:w w:val="105"/>
                <w:sz w:val="17"/>
              </w:rPr>
              <w:t>0</w:t>
              <w:tab/>
              <w:t>0</w:t>
            </w:r>
          </w:p>
        </w:tc>
        <w:tc>
          <w:tcPr>
            <w:tcW w:w="1106" w:type="dxa"/>
          </w:tcPr>
          <w:p>
            <w:pPr>
              <w:pStyle w:val="TableParagraph"/>
              <w:spacing w:line="192" w:lineRule="exact" w:before="3"/>
              <w:ind w:right="238"/>
              <w:jc w:val="right"/>
              <w:rPr>
                <w:b/>
                <w:sz w:val="17"/>
              </w:rPr>
            </w:pPr>
            <w:r>
              <w:rPr>
                <w:b/>
                <w:w w:val="103"/>
                <w:sz w:val="17"/>
              </w:rPr>
              <w:t>0</w:t>
            </w:r>
          </w:p>
        </w:tc>
      </w:tr>
      <w:tr>
        <w:trPr>
          <w:trHeight w:val="216" w:hRule="atLeast"/>
        </w:trPr>
        <w:tc>
          <w:tcPr>
            <w:tcW w:w="5813" w:type="dxa"/>
          </w:tcPr>
          <w:p>
            <w:pPr>
              <w:pStyle w:val="TableParagraph"/>
              <w:spacing w:line="192" w:lineRule="exact" w:before="3"/>
              <w:ind w:left="200"/>
              <w:rPr>
                <w:sz w:val="17"/>
              </w:rPr>
            </w:pPr>
            <w:r>
              <w:rPr>
                <w:w w:val="105"/>
                <w:sz w:val="17"/>
              </w:rPr>
              <w:t>Apprenticeship Levy</w:t>
            </w:r>
          </w:p>
        </w:tc>
        <w:tc>
          <w:tcPr>
            <w:tcW w:w="3073" w:type="dxa"/>
            <w:gridSpan w:val="2"/>
          </w:tcPr>
          <w:p>
            <w:pPr>
              <w:pStyle w:val="TableParagraph"/>
              <w:tabs>
                <w:tab w:pos="2491" w:val="left" w:leader="none"/>
              </w:tabs>
              <w:spacing w:line="192" w:lineRule="exact" w:before="3"/>
              <w:ind w:left="1145"/>
              <w:rPr>
                <w:b/>
                <w:sz w:val="17"/>
              </w:rPr>
            </w:pPr>
            <w:r>
              <w:rPr>
                <w:b/>
                <w:w w:val="105"/>
                <w:sz w:val="17"/>
              </w:rPr>
              <w:t>1</w:t>
              <w:tab/>
              <w:t>0</w:t>
            </w:r>
          </w:p>
        </w:tc>
        <w:tc>
          <w:tcPr>
            <w:tcW w:w="1106" w:type="dxa"/>
          </w:tcPr>
          <w:p>
            <w:pPr>
              <w:pStyle w:val="TableParagraph"/>
              <w:spacing w:line="192" w:lineRule="exact" w:before="3"/>
              <w:ind w:right="238"/>
              <w:jc w:val="right"/>
              <w:rPr>
                <w:b/>
                <w:sz w:val="17"/>
              </w:rPr>
            </w:pPr>
            <w:r>
              <w:rPr>
                <w:b/>
                <w:w w:val="103"/>
                <w:sz w:val="17"/>
              </w:rPr>
              <w:t>1</w:t>
            </w:r>
          </w:p>
        </w:tc>
      </w:tr>
      <w:tr>
        <w:trPr>
          <w:trHeight w:val="214" w:hRule="atLeast"/>
        </w:trPr>
        <w:tc>
          <w:tcPr>
            <w:tcW w:w="5813" w:type="dxa"/>
          </w:tcPr>
          <w:p>
            <w:pPr>
              <w:pStyle w:val="TableParagraph"/>
              <w:spacing w:line="191" w:lineRule="exact" w:before="3"/>
              <w:ind w:left="200"/>
              <w:rPr>
                <w:sz w:val="17"/>
              </w:rPr>
            </w:pPr>
            <w:r>
              <w:rPr>
                <w:w w:val="105"/>
                <w:sz w:val="17"/>
              </w:rPr>
              <w:t>Other post-employment benefits</w:t>
            </w:r>
          </w:p>
        </w:tc>
        <w:tc>
          <w:tcPr>
            <w:tcW w:w="3073" w:type="dxa"/>
            <w:gridSpan w:val="2"/>
          </w:tcPr>
          <w:p>
            <w:pPr>
              <w:pStyle w:val="TableParagraph"/>
              <w:tabs>
                <w:tab w:pos="2491" w:val="left" w:leader="none"/>
              </w:tabs>
              <w:spacing w:line="191" w:lineRule="exact" w:before="3"/>
              <w:ind w:left="1145"/>
              <w:rPr>
                <w:b/>
                <w:sz w:val="17"/>
              </w:rPr>
            </w:pPr>
            <w:r>
              <w:rPr>
                <w:b/>
                <w:w w:val="105"/>
                <w:sz w:val="17"/>
              </w:rPr>
              <w:t>0</w:t>
              <w:tab/>
              <w:t>0</w:t>
            </w:r>
          </w:p>
        </w:tc>
        <w:tc>
          <w:tcPr>
            <w:tcW w:w="1106" w:type="dxa"/>
          </w:tcPr>
          <w:p>
            <w:pPr>
              <w:pStyle w:val="TableParagraph"/>
              <w:spacing w:line="191" w:lineRule="exact" w:before="3"/>
              <w:ind w:right="238"/>
              <w:jc w:val="right"/>
              <w:rPr>
                <w:b/>
                <w:sz w:val="17"/>
              </w:rPr>
            </w:pPr>
            <w:r>
              <w:rPr>
                <w:b/>
                <w:w w:val="103"/>
                <w:sz w:val="17"/>
              </w:rPr>
              <w:t>0</w:t>
            </w:r>
          </w:p>
        </w:tc>
      </w:tr>
      <w:tr>
        <w:trPr>
          <w:trHeight w:val="214" w:hRule="atLeast"/>
        </w:trPr>
        <w:tc>
          <w:tcPr>
            <w:tcW w:w="5813" w:type="dxa"/>
          </w:tcPr>
          <w:p>
            <w:pPr>
              <w:pStyle w:val="TableParagraph"/>
              <w:spacing w:line="192" w:lineRule="exact" w:before="2"/>
              <w:ind w:left="200"/>
              <w:rPr>
                <w:sz w:val="17"/>
              </w:rPr>
            </w:pPr>
            <w:r>
              <w:rPr>
                <w:w w:val="105"/>
                <w:sz w:val="17"/>
              </w:rPr>
              <w:t>Other employment benefits</w:t>
            </w:r>
          </w:p>
        </w:tc>
        <w:tc>
          <w:tcPr>
            <w:tcW w:w="3073" w:type="dxa"/>
            <w:gridSpan w:val="2"/>
          </w:tcPr>
          <w:p>
            <w:pPr>
              <w:pStyle w:val="TableParagraph"/>
              <w:tabs>
                <w:tab w:pos="2491" w:val="left" w:leader="none"/>
              </w:tabs>
              <w:spacing w:line="192" w:lineRule="exact" w:before="2"/>
              <w:ind w:left="1145"/>
              <w:rPr>
                <w:b/>
                <w:sz w:val="17"/>
              </w:rPr>
            </w:pPr>
            <w:r>
              <w:rPr>
                <w:b/>
                <w:w w:val="105"/>
                <w:sz w:val="17"/>
              </w:rPr>
              <w:t>0</w:t>
              <w:tab/>
              <w:t>0</w:t>
            </w:r>
          </w:p>
        </w:tc>
        <w:tc>
          <w:tcPr>
            <w:tcW w:w="1106" w:type="dxa"/>
          </w:tcPr>
          <w:p>
            <w:pPr>
              <w:pStyle w:val="TableParagraph"/>
              <w:spacing w:line="192" w:lineRule="exact" w:before="2"/>
              <w:ind w:right="238"/>
              <w:jc w:val="right"/>
              <w:rPr>
                <w:b/>
                <w:sz w:val="17"/>
              </w:rPr>
            </w:pPr>
            <w:r>
              <w:rPr>
                <w:b/>
                <w:w w:val="103"/>
                <w:sz w:val="17"/>
              </w:rPr>
              <w:t>0</w:t>
            </w:r>
          </w:p>
        </w:tc>
      </w:tr>
      <w:tr>
        <w:trPr>
          <w:trHeight w:val="219" w:hRule="atLeast"/>
        </w:trPr>
        <w:tc>
          <w:tcPr>
            <w:tcW w:w="5813" w:type="dxa"/>
          </w:tcPr>
          <w:p>
            <w:pPr>
              <w:pStyle w:val="TableParagraph"/>
              <w:spacing w:before="3"/>
              <w:ind w:left="200"/>
              <w:rPr>
                <w:sz w:val="17"/>
              </w:rPr>
            </w:pPr>
            <w:r>
              <w:rPr>
                <w:w w:val="105"/>
                <w:sz w:val="17"/>
              </w:rPr>
              <w:t>Termination benefits</w:t>
            </w:r>
          </w:p>
        </w:tc>
        <w:tc>
          <w:tcPr>
            <w:tcW w:w="3073" w:type="dxa"/>
            <w:gridSpan w:val="2"/>
          </w:tcPr>
          <w:p>
            <w:pPr>
              <w:pStyle w:val="TableParagraph"/>
              <w:tabs>
                <w:tab w:pos="1145" w:val="left" w:leader="none"/>
                <w:tab w:pos="2491" w:val="left" w:leader="none"/>
                <w:tab w:pos="2834" w:val="left" w:leader="none"/>
                <w:tab w:pos="3881" w:val="left" w:leader="none"/>
              </w:tabs>
              <w:spacing w:before="3"/>
              <w:ind w:left="99" w:right="-821"/>
              <w:rPr>
                <w:b/>
                <w:sz w:val="17"/>
              </w:rPr>
            </w:pPr>
            <w:r>
              <w:rPr>
                <w:b/>
                <w:w w:val="103"/>
                <w:sz w:val="17"/>
                <w:u w:val="single"/>
              </w:rPr>
              <w:t> </w:t>
            </w:r>
            <w:r>
              <w:rPr>
                <w:b/>
                <w:sz w:val="17"/>
                <w:u w:val="single"/>
              </w:rPr>
              <w:tab/>
            </w:r>
            <w:r>
              <w:rPr>
                <w:b/>
                <w:w w:val="105"/>
                <w:sz w:val="17"/>
                <w:u w:val="single"/>
              </w:rPr>
              <w:t>0</w:t>
              <w:tab/>
              <w:t>0</w:t>
            </w:r>
            <w:r>
              <w:rPr>
                <w:b/>
                <w:sz w:val="17"/>
              </w:rPr>
              <w:tab/>
            </w:r>
            <w:r>
              <w:rPr>
                <w:b/>
                <w:w w:val="100"/>
                <w:sz w:val="17"/>
                <w:u w:val="single"/>
              </w:rPr>
              <w:t> </w:t>
            </w:r>
            <w:r>
              <w:rPr>
                <w:b/>
                <w:sz w:val="17"/>
                <w:u w:val="single"/>
              </w:rPr>
              <w:tab/>
            </w:r>
          </w:p>
        </w:tc>
        <w:tc>
          <w:tcPr>
            <w:tcW w:w="1106" w:type="dxa"/>
          </w:tcPr>
          <w:p>
            <w:pPr>
              <w:pStyle w:val="TableParagraph"/>
              <w:spacing w:before="3"/>
              <w:ind w:right="200"/>
              <w:jc w:val="right"/>
              <w:rPr>
                <w:b/>
                <w:sz w:val="17"/>
              </w:rPr>
            </w:pPr>
            <w:r>
              <w:rPr>
                <w:b/>
                <w:w w:val="100"/>
                <w:sz w:val="17"/>
                <w:u w:val="single"/>
              </w:rPr>
              <w:t>0</w:t>
            </w:r>
          </w:p>
        </w:tc>
      </w:tr>
      <w:tr>
        <w:trPr>
          <w:trHeight w:val="322" w:hRule="atLeast"/>
        </w:trPr>
        <w:tc>
          <w:tcPr>
            <w:tcW w:w="5813" w:type="dxa"/>
          </w:tcPr>
          <w:p>
            <w:pPr>
              <w:pStyle w:val="TableParagraph"/>
              <w:spacing w:before="7"/>
              <w:ind w:left="200"/>
              <w:rPr>
                <w:b/>
                <w:sz w:val="17"/>
              </w:rPr>
            </w:pPr>
            <w:r>
              <w:rPr>
                <w:b/>
                <w:w w:val="105"/>
                <w:sz w:val="17"/>
              </w:rPr>
              <w:t>Gross employee benefits expenditure</w:t>
            </w:r>
          </w:p>
        </w:tc>
        <w:tc>
          <w:tcPr>
            <w:tcW w:w="3073" w:type="dxa"/>
            <w:gridSpan w:val="2"/>
          </w:tcPr>
          <w:p>
            <w:pPr>
              <w:pStyle w:val="TableParagraph"/>
              <w:tabs>
                <w:tab w:pos="850" w:val="left" w:leader="none"/>
                <w:tab w:pos="2294" w:val="left" w:leader="none"/>
                <w:tab w:pos="2846" w:val="left" w:leader="none"/>
                <w:tab w:pos="3598" w:val="left" w:leader="none"/>
              </w:tabs>
              <w:spacing w:before="7"/>
              <w:ind w:left="99" w:right="-533"/>
              <w:rPr>
                <w:sz w:val="17"/>
              </w:rPr>
            </w:pPr>
            <w:r>
              <w:rPr>
                <w:w w:val="103"/>
                <w:sz w:val="17"/>
                <w:u w:val="single"/>
              </w:rPr>
              <w:t> </w:t>
            </w:r>
            <w:r>
              <w:rPr>
                <w:sz w:val="17"/>
                <w:u w:val="single"/>
              </w:rPr>
              <w:tab/>
            </w:r>
            <w:r>
              <w:rPr>
                <w:w w:val="105"/>
                <w:sz w:val="17"/>
                <w:u w:val="single"/>
              </w:rPr>
              <w:t>4289</w:t>
              <w:tab/>
              <w:t>235</w:t>
            </w:r>
            <w:r>
              <w:rPr>
                <w:sz w:val="17"/>
              </w:rPr>
              <w:tab/>
            </w:r>
            <w:r>
              <w:rPr>
                <w:w w:val="100"/>
                <w:sz w:val="17"/>
                <w:u w:val="single"/>
              </w:rPr>
              <w:t> </w:t>
            </w:r>
            <w:r>
              <w:rPr>
                <w:sz w:val="17"/>
                <w:u w:val="single"/>
              </w:rPr>
              <w:tab/>
            </w:r>
          </w:p>
        </w:tc>
        <w:tc>
          <w:tcPr>
            <w:tcW w:w="1106" w:type="dxa"/>
          </w:tcPr>
          <w:p>
            <w:pPr>
              <w:pStyle w:val="TableParagraph"/>
              <w:spacing w:before="7"/>
              <w:ind w:right="197"/>
              <w:jc w:val="right"/>
              <w:rPr>
                <w:sz w:val="17"/>
              </w:rPr>
            </w:pPr>
            <w:r>
              <w:rPr>
                <w:sz w:val="17"/>
                <w:u w:val="single"/>
              </w:rPr>
              <w:t>4524</w:t>
            </w:r>
          </w:p>
        </w:tc>
      </w:tr>
      <w:tr>
        <w:trPr>
          <w:trHeight w:val="322" w:hRule="atLeast"/>
        </w:trPr>
        <w:tc>
          <w:tcPr>
            <w:tcW w:w="5813" w:type="dxa"/>
          </w:tcPr>
          <w:p>
            <w:pPr>
              <w:pStyle w:val="TableParagraph"/>
              <w:spacing w:before="107"/>
              <w:ind w:left="200"/>
              <w:rPr>
                <w:sz w:val="17"/>
              </w:rPr>
            </w:pPr>
            <w:r>
              <w:rPr>
                <w:w w:val="105"/>
                <w:sz w:val="17"/>
              </w:rPr>
              <w:t>Less recoveries in respect of employee benefits (note 4.1.2)</w:t>
            </w:r>
          </w:p>
        </w:tc>
        <w:tc>
          <w:tcPr>
            <w:tcW w:w="3073" w:type="dxa"/>
            <w:gridSpan w:val="2"/>
          </w:tcPr>
          <w:p>
            <w:pPr>
              <w:pStyle w:val="TableParagraph"/>
              <w:tabs>
                <w:tab w:pos="1145" w:val="left" w:leader="none"/>
                <w:tab w:pos="2491" w:val="left" w:leader="none"/>
                <w:tab w:pos="2834" w:val="left" w:leader="none"/>
                <w:tab w:pos="3881" w:val="left" w:leader="none"/>
              </w:tabs>
              <w:spacing w:before="107"/>
              <w:ind w:left="99" w:right="-821"/>
              <w:rPr>
                <w:b/>
                <w:sz w:val="17"/>
              </w:rPr>
            </w:pPr>
            <w:r>
              <w:rPr>
                <w:b/>
                <w:w w:val="103"/>
                <w:sz w:val="17"/>
                <w:u w:val="single"/>
              </w:rPr>
              <w:t> </w:t>
            </w:r>
            <w:r>
              <w:rPr>
                <w:b/>
                <w:sz w:val="17"/>
                <w:u w:val="single"/>
              </w:rPr>
              <w:tab/>
            </w:r>
            <w:r>
              <w:rPr>
                <w:b/>
                <w:w w:val="105"/>
                <w:sz w:val="17"/>
                <w:u w:val="single"/>
              </w:rPr>
              <w:t>0</w:t>
              <w:tab/>
              <w:t>0</w:t>
            </w:r>
            <w:r>
              <w:rPr>
                <w:b/>
                <w:sz w:val="17"/>
              </w:rPr>
              <w:tab/>
            </w:r>
            <w:r>
              <w:rPr>
                <w:b/>
                <w:w w:val="100"/>
                <w:sz w:val="17"/>
                <w:u w:val="single"/>
              </w:rPr>
              <w:t> </w:t>
            </w:r>
            <w:r>
              <w:rPr>
                <w:b/>
                <w:sz w:val="17"/>
                <w:u w:val="single"/>
              </w:rPr>
              <w:tab/>
            </w:r>
          </w:p>
        </w:tc>
        <w:tc>
          <w:tcPr>
            <w:tcW w:w="1106" w:type="dxa"/>
          </w:tcPr>
          <w:p>
            <w:pPr>
              <w:pStyle w:val="TableParagraph"/>
              <w:spacing w:before="107"/>
              <w:ind w:right="200"/>
              <w:jc w:val="right"/>
              <w:rPr>
                <w:b/>
                <w:sz w:val="17"/>
              </w:rPr>
            </w:pPr>
            <w:r>
              <w:rPr>
                <w:b/>
                <w:w w:val="100"/>
                <w:sz w:val="17"/>
                <w:u w:val="single"/>
              </w:rPr>
              <w:t>0</w:t>
            </w:r>
          </w:p>
        </w:tc>
      </w:tr>
      <w:tr>
        <w:trPr>
          <w:trHeight w:val="324" w:hRule="atLeast"/>
        </w:trPr>
        <w:tc>
          <w:tcPr>
            <w:tcW w:w="5813" w:type="dxa"/>
          </w:tcPr>
          <w:p>
            <w:pPr>
              <w:pStyle w:val="TableParagraph"/>
              <w:spacing w:before="7"/>
              <w:ind w:left="200"/>
              <w:rPr>
                <w:b/>
                <w:sz w:val="17"/>
              </w:rPr>
            </w:pPr>
            <w:r>
              <w:rPr>
                <w:b/>
                <w:w w:val="105"/>
                <w:sz w:val="17"/>
              </w:rPr>
              <w:t>Total - Net admin employee benefits including capitalised costs</w:t>
            </w:r>
          </w:p>
        </w:tc>
        <w:tc>
          <w:tcPr>
            <w:tcW w:w="3073" w:type="dxa"/>
            <w:gridSpan w:val="2"/>
          </w:tcPr>
          <w:p>
            <w:pPr>
              <w:pStyle w:val="TableParagraph"/>
              <w:tabs>
                <w:tab w:pos="850" w:val="left" w:leader="none"/>
                <w:tab w:pos="2294" w:val="left" w:leader="none"/>
                <w:tab w:pos="2846" w:val="left" w:leader="none"/>
                <w:tab w:pos="3598" w:val="left" w:leader="none"/>
              </w:tabs>
              <w:spacing w:before="7"/>
              <w:ind w:left="99" w:right="-533"/>
              <w:rPr>
                <w:sz w:val="17"/>
              </w:rPr>
            </w:pPr>
            <w:r>
              <w:rPr>
                <w:w w:val="103"/>
                <w:sz w:val="17"/>
                <w:u w:val="single"/>
              </w:rPr>
              <w:t> </w:t>
            </w:r>
            <w:r>
              <w:rPr>
                <w:sz w:val="17"/>
                <w:u w:val="single"/>
              </w:rPr>
              <w:tab/>
            </w:r>
            <w:r>
              <w:rPr>
                <w:w w:val="105"/>
                <w:sz w:val="17"/>
                <w:u w:val="single"/>
              </w:rPr>
              <w:t>4289</w:t>
              <w:tab/>
              <w:t>235</w:t>
            </w:r>
            <w:r>
              <w:rPr>
                <w:sz w:val="17"/>
              </w:rPr>
              <w:tab/>
            </w:r>
            <w:r>
              <w:rPr>
                <w:w w:val="100"/>
                <w:sz w:val="17"/>
                <w:u w:val="single"/>
              </w:rPr>
              <w:t> </w:t>
            </w:r>
            <w:r>
              <w:rPr>
                <w:sz w:val="17"/>
                <w:u w:val="single"/>
              </w:rPr>
              <w:tab/>
            </w:r>
          </w:p>
        </w:tc>
        <w:tc>
          <w:tcPr>
            <w:tcW w:w="1106" w:type="dxa"/>
          </w:tcPr>
          <w:p>
            <w:pPr>
              <w:pStyle w:val="TableParagraph"/>
              <w:spacing w:before="7"/>
              <w:ind w:right="197"/>
              <w:jc w:val="right"/>
              <w:rPr>
                <w:sz w:val="17"/>
              </w:rPr>
            </w:pPr>
            <w:r>
              <w:rPr>
                <w:sz w:val="17"/>
                <w:u w:val="single"/>
              </w:rPr>
              <w:t>4524</w:t>
            </w:r>
          </w:p>
        </w:tc>
      </w:tr>
      <w:tr>
        <w:trPr>
          <w:trHeight w:val="324" w:hRule="atLeast"/>
        </w:trPr>
        <w:tc>
          <w:tcPr>
            <w:tcW w:w="5813" w:type="dxa"/>
          </w:tcPr>
          <w:p>
            <w:pPr>
              <w:pStyle w:val="TableParagraph"/>
              <w:spacing w:before="108"/>
              <w:ind w:left="200"/>
              <w:rPr>
                <w:sz w:val="17"/>
              </w:rPr>
            </w:pPr>
            <w:r>
              <w:rPr>
                <w:w w:val="105"/>
                <w:sz w:val="17"/>
              </w:rPr>
              <w:t>Less: Employee costs capitalised</w:t>
            </w:r>
          </w:p>
        </w:tc>
        <w:tc>
          <w:tcPr>
            <w:tcW w:w="3073" w:type="dxa"/>
            <w:gridSpan w:val="2"/>
          </w:tcPr>
          <w:p>
            <w:pPr>
              <w:pStyle w:val="TableParagraph"/>
              <w:tabs>
                <w:tab w:pos="1145" w:val="left" w:leader="none"/>
                <w:tab w:pos="2491" w:val="left" w:leader="none"/>
                <w:tab w:pos="2834" w:val="left" w:leader="none"/>
                <w:tab w:pos="3881" w:val="left" w:leader="none"/>
              </w:tabs>
              <w:spacing w:before="108"/>
              <w:ind w:left="99" w:right="-821"/>
              <w:rPr>
                <w:b/>
                <w:sz w:val="17"/>
              </w:rPr>
            </w:pPr>
            <w:r>
              <w:rPr>
                <w:b/>
                <w:w w:val="103"/>
                <w:sz w:val="17"/>
                <w:u w:val="single"/>
              </w:rPr>
              <w:t> </w:t>
            </w:r>
            <w:r>
              <w:rPr>
                <w:b/>
                <w:sz w:val="17"/>
                <w:u w:val="single"/>
              </w:rPr>
              <w:tab/>
            </w:r>
            <w:r>
              <w:rPr>
                <w:b/>
                <w:w w:val="105"/>
                <w:sz w:val="17"/>
                <w:u w:val="single"/>
              </w:rPr>
              <w:t>0</w:t>
              <w:tab/>
              <w:t>0</w:t>
            </w:r>
            <w:r>
              <w:rPr>
                <w:b/>
                <w:sz w:val="17"/>
              </w:rPr>
              <w:tab/>
            </w:r>
            <w:r>
              <w:rPr>
                <w:b/>
                <w:w w:val="100"/>
                <w:sz w:val="17"/>
                <w:u w:val="single"/>
              </w:rPr>
              <w:t> </w:t>
            </w:r>
            <w:r>
              <w:rPr>
                <w:b/>
                <w:sz w:val="17"/>
                <w:u w:val="single"/>
              </w:rPr>
              <w:tab/>
            </w:r>
          </w:p>
        </w:tc>
        <w:tc>
          <w:tcPr>
            <w:tcW w:w="1106" w:type="dxa"/>
          </w:tcPr>
          <w:p>
            <w:pPr>
              <w:pStyle w:val="TableParagraph"/>
              <w:spacing w:before="108"/>
              <w:ind w:right="200"/>
              <w:jc w:val="right"/>
              <w:rPr>
                <w:b/>
                <w:sz w:val="17"/>
              </w:rPr>
            </w:pPr>
            <w:r>
              <w:rPr>
                <w:b/>
                <w:w w:val="100"/>
                <w:sz w:val="17"/>
                <w:u w:val="single"/>
              </w:rPr>
              <w:t>0</w:t>
            </w:r>
          </w:p>
        </w:tc>
      </w:tr>
      <w:tr>
        <w:trPr>
          <w:trHeight w:val="373" w:hRule="atLeast"/>
        </w:trPr>
        <w:tc>
          <w:tcPr>
            <w:tcW w:w="5813" w:type="dxa"/>
          </w:tcPr>
          <w:p>
            <w:pPr>
              <w:pStyle w:val="TableParagraph"/>
              <w:spacing w:before="7"/>
              <w:ind w:left="200"/>
              <w:rPr>
                <w:b/>
                <w:sz w:val="17"/>
              </w:rPr>
            </w:pPr>
            <w:r>
              <w:rPr>
                <w:b/>
                <w:w w:val="105"/>
                <w:sz w:val="17"/>
              </w:rPr>
              <w:t>Net employee benefits excluding capitalised costs</w:t>
            </w:r>
          </w:p>
        </w:tc>
        <w:tc>
          <w:tcPr>
            <w:tcW w:w="3073" w:type="dxa"/>
            <w:gridSpan w:val="2"/>
          </w:tcPr>
          <w:p>
            <w:pPr>
              <w:pStyle w:val="TableParagraph"/>
              <w:tabs>
                <w:tab w:pos="850" w:val="left" w:leader="none"/>
                <w:tab w:pos="2294" w:val="left" w:leader="none"/>
                <w:tab w:pos="2846" w:val="left" w:leader="none"/>
                <w:tab w:pos="3598" w:val="left" w:leader="none"/>
              </w:tabs>
              <w:spacing w:before="7"/>
              <w:ind w:left="99" w:right="-533"/>
              <w:rPr>
                <w:sz w:val="17"/>
              </w:rPr>
            </w:pPr>
            <w:r>
              <w:rPr>
                <w:w w:val="103"/>
                <w:sz w:val="17"/>
                <w:u w:val="single"/>
              </w:rPr>
              <w:t> </w:t>
            </w:r>
            <w:r>
              <w:rPr>
                <w:sz w:val="17"/>
                <w:u w:val="single"/>
              </w:rPr>
              <w:tab/>
            </w:r>
            <w:r>
              <w:rPr>
                <w:w w:val="105"/>
                <w:sz w:val="17"/>
                <w:u w:val="single"/>
              </w:rPr>
              <w:t>4289</w:t>
              <w:tab/>
              <w:t>235</w:t>
            </w:r>
            <w:r>
              <w:rPr>
                <w:sz w:val="17"/>
              </w:rPr>
              <w:tab/>
            </w:r>
            <w:r>
              <w:rPr>
                <w:w w:val="100"/>
                <w:sz w:val="17"/>
                <w:u w:val="single"/>
              </w:rPr>
              <w:t> </w:t>
            </w:r>
            <w:r>
              <w:rPr>
                <w:sz w:val="17"/>
                <w:u w:val="single"/>
              </w:rPr>
              <w:tab/>
            </w:r>
          </w:p>
        </w:tc>
        <w:tc>
          <w:tcPr>
            <w:tcW w:w="1106" w:type="dxa"/>
          </w:tcPr>
          <w:p>
            <w:pPr>
              <w:pStyle w:val="TableParagraph"/>
              <w:spacing w:before="7"/>
              <w:ind w:right="197"/>
              <w:jc w:val="right"/>
              <w:rPr>
                <w:sz w:val="17"/>
              </w:rPr>
            </w:pPr>
            <w:r>
              <w:rPr>
                <w:sz w:val="17"/>
                <w:u w:val="single"/>
              </w:rPr>
              <w:t>4524</w:t>
            </w:r>
          </w:p>
        </w:tc>
      </w:tr>
      <w:tr>
        <w:trPr>
          <w:trHeight w:val="367" w:hRule="atLeast"/>
        </w:trPr>
        <w:tc>
          <w:tcPr>
            <w:tcW w:w="5813" w:type="dxa"/>
          </w:tcPr>
          <w:p>
            <w:pPr>
              <w:pStyle w:val="TableParagraph"/>
              <w:spacing w:line="190" w:lineRule="exact" w:before="157"/>
              <w:ind w:left="200"/>
              <w:rPr>
                <w:b/>
                <w:sz w:val="17"/>
              </w:rPr>
            </w:pPr>
            <w:r>
              <w:rPr>
                <w:b/>
                <w:w w:val="105"/>
                <w:sz w:val="17"/>
              </w:rPr>
              <w:t>4.1.1 Employee benefits</w:t>
            </w:r>
          </w:p>
        </w:tc>
        <w:tc>
          <w:tcPr>
            <w:tcW w:w="2338" w:type="dxa"/>
          </w:tcPr>
          <w:p>
            <w:pPr>
              <w:pStyle w:val="TableParagraph"/>
              <w:spacing w:line="190" w:lineRule="exact" w:before="157"/>
              <w:ind w:left="1174"/>
              <w:rPr>
                <w:sz w:val="17"/>
              </w:rPr>
            </w:pPr>
            <w:r>
              <w:rPr>
                <w:w w:val="105"/>
                <w:sz w:val="17"/>
              </w:rPr>
              <w:t>Total</w:t>
            </w:r>
          </w:p>
        </w:tc>
        <w:tc>
          <w:tcPr>
            <w:tcW w:w="735" w:type="dxa"/>
          </w:tcPr>
          <w:p>
            <w:pPr>
              <w:pStyle w:val="TableParagraph"/>
              <w:rPr>
                <w:rFonts w:ascii="Times New Roman"/>
                <w:sz w:val="16"/>
              </w:rPr>
            </w:pPr>
          </w:p>
        </w:tc>
        <w:tc>
          <w:tcPr>
            <w:tcW w:w="1106" w:type="dxa"/>
          </w:tcPr>
          <w:p>
            <w:pPr>
              <w:pStyle w:val="TableParagraph"/>
              <w:spacing w:line="190" w:lineRule="exact" w:before="157"/>
              <w:ind w:left="-6"/>
              <w:rPr>
                <w:sz w:val="17"/>
              </w:rPr>
            </w:pPr>
            <w:r>
              <w:rPr>
                <w:w w:val="105"/>
                <w:sz w:val="17"/>
              </w:rPr>
              <w:t>2020-21</w:t>
            </w:r>
          </w:p>
        </w:tc>
      </w:tr>
      <w:tr>
        <w:trPr>
          <w:trHeight w:val="214" w:hRule="atLeast"/>
        </w:trPr>
        <w:tc>
          <w:tcPr>
            <w:tcW w:w="5813" w:type="dxa"/>
          </w:tcPr>
          <w:p>
            <w:pPr>
              <w:pStyle w:val="TableParagraph"/>
              <w:rPr>
                <w:rFonts w:ascii="Times New Roman"/>
                <w:sz w:val="14"/>
              </w:rPr>
            </w:pPr>
          </w:p>
        </w:tc>
        <w:tc>
          <w:tcPr>
            <w:tcW w:w="2338" w:type="dxa"/>
          </w:tcPr>
          <w:p>
            <w:pPr>
              <w:pStyle w:val="TableParagraph"/>
              <w:spacing w:line="193" w:lineRule="exact" w:before="1"/>
              <w:ind w:left="262"/>
              <w:rPr>
                <w:sz w:val="17"/>
              </w:rPr>
            </w:pPr>
            <w:r>
              <w:rPr>
                <w:w w:val="105"/>
                <w:sz w:val="17"/>
              </w:rPr>
              <w:t>Permanent</w:t>
            </w:r>
          </w:p>
        </w:tc>
        <w:tc>
          <w:tcPr>
            <w:tcW w:w="735" w:type="dxa"/>
          </w:tcPr>
          <w:p>
            <w:pPr>
              <w:pStyle w:val="TableParagraph"/>
              <w:rPr>
                <w:rFonts w:ascii="Times New Roman"/>
                <w:sz w:val="14"/>
              </w:rPr>
            </w:pPr>
          </w:p>
        </w:tc>
        <w:tc>
          <w:tcPr>
            <w:tcW w:w="1106" w:type="dxa"/>
          </w:tcPr>
          <w:p>
            <w:pPr>
              <w:pStyle w:val="TableParagraph"/>
              <w:rPr>
                <w:rFonts w:ascii="Times New Roman"/>
                <w:sz w:val="14"/>
              </w:rPr>
            </w:pPr>
          </w:p>
        </w:tc>
      </w:tr>
      <w:tr>
        <w:trPr>
          <w:trHeight w:val="213" w:hRule="atLeast"/>
        </w:trPr>
        <w:tc>
          <w:tcPr>
            <w:tcW w:w="5813" w:type="dxa"/>
          </w:tcPr>
          <w:p>
            <w:pPr>
              <w:pStyle w:val="TableParagraph"/>
              <w:rPr>
                <w:rFonts w:ascii="Times New Roman"/>
                <w:sz w:val="14"/>
              </w:rPr>
            </w:pPr>
          </w:p>
        </w:tc>
        <w:tc>
          <w:tcPr>
            <w:tcW w:w="2338" w:type="dxa"/>
          </w:tcPr>
          <w:p>
            <w:pPr>
              <w:pStyle w:val="TableParagraph"/>
              <w:tabs>
                <w:tab w:pos="1817" w:val="left" w:leader="none"/>
              </w:tabs>
              <w:spacing w:line="189" w:lineRule="exact" w:before="5"/>
              <w:ind w:left="257"/>
              <w:rPr>
                <w:sz w:val="17"/>
              </w:rPr>
            </w:pPr>
            <w:r>
              <w:rPr>
                <w:w w:val="105"/>
                <w:sz w:val="17"/>
              </w:rPr>
              <w:t>Employees</w:t>
              <w:tab/>
              <w:t>Other</w:t>
            </w:r>
          </w:p>
        </w:tc>
        <w:tc>
          <w:tcPr>
            <w:tcW w:w="735" w:type="dxa"/>
          </w:tcPr>
          <w:p>
            <w:pPr>
              <w:pStyle w:val="TableParagraph"/>
              <w:rPr>
                <w:rFonts w:ascii="Times New Roman"/>
                <w:sz w:val="14"/>
              </w:rPr>
            </w:pPr>
          </w:p>
        </w:tc>
        <w:tc>
          <w:tcPr>
            <w:tcW w:w="1106" w:type="dxa"/>
          </w:tcPr>
          <w:p>
            <w:pPr>
              <w:pStyle w:val="TableParagraph"/>
              <w:spacing w:line="189" w:lineRule="exact" w:before="5"/>
              <w:ind w:left="112"/>
              <w:rPr>
                <w:sz w:val="17"/>
              </w:rPr>
            </w:pPr>
            <w:r>
              <w:rPr>
                <w:w w:val="105"/>
                <w:sz w:val="17"/>
              </w:rPr>
              <w:t>Total</w:t>
            </w:r>
          </w:p>
        </w:tc>
      </w:tr>
      <w:tr>
        <w:trPr>
          <w:trHeight w:val="216" w:hRule="atLeast"/>
        </w:trPr>
        <w:tc>
          <w:tcPr>
            <w:tcW w:w="5813" w:type="dxa"/>
          </w:tcPr>
          <w:p>
            <w:pPr>
              <w:pStyle w:val="TableParagraph"/>
              <w:rPr>
                <w:rFonts w:ascii="Times New Roman"/>
                <w:sz w:val="14"/>
              </w:rPr>
            </w:pPr>
          </w:p>
        </w:tc>
        <w:tc>
          <w:tcPr>
            <w:tcW w:w="2338" w:type="dxa"/>
          </w:tcPr>
          <w:p>
            <w:pPr>
              <w:pStyle w:val="TableParagraph"/>
              <w:tabs>
                <w:tab w:pos="1831" w:val="left" w:leader="none"/>
              </w:tabs>
              <w:ind w:left="485"/>
              <w:rPr>
                <w:sz w:val="17"/>
              </w:rPr>
            </w:pPr>
            <w:r>
              <w:rPr>
                <w:w w:val="105"/>
                <w:sz w:val="17"/>
              </w:rPr>
              <w:t>£'000</w:t>
              <w:tab/>
              <w:t>£'000</w:t>
            </w:r>
          </w:p>
        </w:tc>
        <w:tc>
          <w:tcPr>
            <w:tcW w:w="735" w:type="dxa"/>
          </w:tcPr>
          <w:p>
            <w:pPr>
              <w:pStyle w:val="TableParagraph"/>
              <w:rPr>
                <w:rFonts w:ascii="Times New Roman"/>
                <w:sz w:val="14"/>
              </w:rPr>
            </w:pPr>
          </w:p>
        </w:tc>
        <w:tc>
          <w:tcPr>
            <w:tcW w:w="1106" w:type="dxa"/>
          </w:tcPr>
          <w:p>
            <w:pPr>
              <w:pStyle w:val="TableParagraph"/>
              <w:ind w:left="105"/>
              <w:rPr>
                <w:sz w:val="17"/>
              </w:rPr>
            </w:pPr>
            <w:r>
              <w:rPr>
                <w:w w:val="105"/>
                <w:sz w:val="17"/>
              </w:rPr>
              <w:t>£'000</w:t>
            </w:r>
          </w:p>
        </w:tc>
      </w:tr>
      <w:tr>
        <w:trPr>
          <w:trHeight w:val="219" w:hRule="atLeast"/>
        </w:trPr>
        <w:tc>
          <w:tcPr>
            <w:tcW w:w="5813" w:type="dxa"/>
          </w:tcPr>
          <w:p>
            <w:pPr>
              <w:pStyle w:val="TableParagraph"/>
              <w:spacing w:line="192" w:lineRule="exact" w:before="7"/>
              <w:ind w:left="200"/>
              <w:rPr>
                <w:b/>
                <w:sz w:val="17"/>
              </w:rPr>
            </w:pPr>
            <w:r>
              <w:rPr>
                <w:b/>
                <w:w w:val="105"/>
                <w:sz w:val="17"/>
              </w:rPr>
              <w:t>Employee Benefits</w:t>
            </w:r>
          </w:p>
        </w:tc>
        <w:tc>
          <w:tcPr>
            <w:tcW w:w="2338" w:type="dxa"/>
          </w:tcPr>
          <w:p>
            <w:pPr>
              <w:pStyle w:val="TableParagraph"/>
              <w:rPr>
                <w:rFonts w:ascii="Times New Roman"/>
                <w:sz w:val="14"/>
              </w:rPr>
            </w:pPr>
          </w:p>
        </w:tc>
        <w:tc>
          <w:tcPr>
            <w:tcW w:w="735" w:type="dxa"/>
          </w:tcPr>
          <w:p>
            <w:pPr>
              <w:pStyle w:val="TableParagraph"/>
              <w:rPr>
                <w:rFonts w:ascii="Times New Roman"/>
                <w:sz w:val="14"/>
              </w:rPr>
            </w:pPr>
          </w:p>
        </w:tc>
        <w:tc>
          <w:tcPr>
            <w:tcW w:w="1106" w:type="dxa"/>
          </w:tcPr>
          <w:p>
            <w:pPr>
              <w:pStyle w:val="TableParagraph"/>
              <w:rPr>
                <w:rFonts w:ascii="Times New Roman"/>
                <w:sz w:val="14"/>
              </w:rPr>
            </w:pPr>
          </w:p>
        </w:tc>
      </w:tr>
      <w:tr>
        <w:trPr>
          <w:trHeight w:val="215" w:hRule="atLeast"/>
        </w:trPr>
        <w:tc>
          <w:tcPr>
            <w:tcW w:w="5813" w:type="dxa"/>
          </w:tcPr>
          <w:p>
            <w:pPr>
              <w:pStyle w:val="TableParagraph"/>
              <w:spacing w:line="192" w:lineRule="exact" w:before="3"/>
              <w:ind w:left="200"/>
              <w:rPr>
                <w:sz w:val="17"/>
              </w:rPr>
            </w:pPr>
            <w:r>
              <w:rPr>
                <w:w w:val="105"/>
                <w:sz w:val="17"/>
              </w:rPr>
              <w:t>Salaries and wages</w:t>
            </w:r>
          </w:p>
        </w:tc>
        <w:tc>
          <w:tcPr>
            <w:tcW w:w="2338" w:type="dxa"/>
          </w:tcPr>
          <w:p>
            <w:pPr>
              <w:pStyle w:val="TableParagraph"/>
              <w:spacing w:line="192" w:lineRule="exact" w:before="3"/>
              <w:ind w:left="802" w:right="1069"/>
              <w:jc w:val="center"/>
              <w:rPr>
                <w:b/>
                <w:sz w:val="17"/>
              </w:rPr>
            </w:pPr>
            <w:r>
              <w:rPr>
                <w:b/>
                <w:sz w:val="17"/>
              </w:rPr>
              <w:t>3,069</w:t>
            </w:r>
          </w:p>
        </w:tc>
        <w:tc>
          <w:tcPr>
            <w:tcW w:w="735" w:type="dxa"/>
          </w:tcPr>
          <w:p>
            <w:pPr>
              <w:pStyle w:val="TableParagraph"/>
              <w:spacing w:line="192" w:lineRule="exact" w:before="3"/>
              <w:ind w:left="65"/>
              <w:rPr>
                <w:b/>
                <w:sz w:val="17"/>
              </w:rPr>
            </w:pPr>
            <w:r>
              <w:rPr>
                <w:b/>
                <w:sz w:val="17"/>
              </w:rPr>
              <w:t>58</w:t>
            </w:r>
          </w:p>
        </w:tc>
        <w:tc>
          <w:tcPr>
            <w:tcW w:w="1106" w:type="dxa"/>
          </w:tcPr>
          <w:p>
            <w:pPr>
              <w:pStyle w:val="TableParagraph"/>
              <w:spacing w:line="192" w:lineRule="exact" w:before="3"/>
              <w:ind w:right="237"/>
              <w:jc w:val="right"/>
              <w:rPr>
                <w:sz w:val="17"/>
              </w:rPr>
            </w:pPr>
            <w:r>
              <w:rPr>
                <w:sz w:val="17"/>
              </w:rPr>
              <w:t>3,127</w:t>
            </w:r>
          </w:p>
        </w:tc>
      </w:tr>
      <w:tr>
        <w:trPr>
          <w:trHeight w:val="215" w:hRule="atLeast"/>
        </w:trPr>
        <w:tc>
          <w:tcPr>
            <w:tcW w:w="5813" w:type="dxa"/>
          </w:tcPr>
          <w:p>
            <w:pPr>
              <w:pStyle w:val="TableParagraph"/>
              <w:spacing w:line="192" w:lineRule="exact" w:before="3"/>
              <w:ind w:left="200"/>
              <w:rPr>
                <w:sz w:val="17"/>
              </w:rPr>
            </w:pPr>
            <w:r>
              <w:rPr>
                <w:w w:val="105"/>
                <w:sz w:val="17"/>
              </w:rPr>
              <w:t>Social security costs</w:t>
            </w:r>
          </w:p>
        </w:tc>
        <w:tc>
          <w:tcPr>
            <w:tcW w:w="2338" w:type="dxa"/>
          </w:tcPr>
          <w:p>
            <w:pPr>
              <w:pStyle w:val="TableParagraph"/>
              <w:spacing w:line="192" w:lineRule="exact" w:before="3"/>
              <w:ind w:left="802" w:right="928"/>
              <w:jc w:val="center"/>
              <w:rPr>
                <w:b/>
                <w:sz w:val="17"/>
              </w:rPr>
            </w:pPr>
            <w:r>
              <w:rPr>
                <w:b/>
                <w:sz w:val="17"/>
              </w:rPr>
              <w:t>323</w:t>
            </w:r>
          </w:p>
        </w:tc>
        <w:tc>
          <w:tcPr>
            <w:tcW w:w="735" w:type="dxa"/>
          </w:tcPr>
          <w:p>
            <w:pPr>
              <w:pStyle w:val="TableParagraph"/>
              <w:spacing w:line="192" w:lineRule="exact" w:before="3"/>
              <w:ind w:left="156"/>
              <w:rPr>
                <w:b/>
                <w:sz w:val="17"/>
              </w:rPr>
            </w:pPr>
            <w:r>
              <w:rPr>
                <w:b/>
                <w:w w:val="103"/>
                <w:sz w:val="17"/>
              </w:rPr>
              <w:t>0</w:t>
            </w:r>
          </w:p>
        </w:tc>
        <w:tc>
          <w:tcPr>
            <w:tcW w:w="1106" w:type="dxa"/>
          </w:tcPr>
          <w:p>
            <w:pPr>
              <w:pStyle w:val="TableParagraph"/>
              <w:spacing w:line="192" w:lineRule="exact" w:before="3"/>
              <w:ind w:right="235"/>
              <w:jc w:val="right"/>
              <w:rPr>
                <w:sz w:val="17"/>
              </w:rPr>
            </w:pPr>
            <w:r>
              <w:rPr>
                <w:sz w:val="17"/>
              </w:rPr>
              <w:t>323</w:t>
            </w:r>
          </w:p>
        </w:tc>
      </w:tr>
      <w:tr>
        <w:trPr>
          <w:trHeight w:val="216" w:hRule="atLeast"/>
        </w:trPr>
        <w:tc>
          <w:tcPr>
            <w:tcW w:w="5813" w:type="dxa"/>
          </w:tcPr>
          <w:p>
            <w:pPr>
              <w:pStyle w:val="TableParagraph"/>
              <w:spacing w:line="192" w:lineRule="exact" w:before="3"/>
              <w:ind w:left="200"/>
              <w:rPr>
                <w:sz w:val="17"/>
              </w:rPr>
            </w:pPr>
            <w:r>
              <w:rPr>
                <w:w w:val="105"/>
                <w:sz w:val="17"/>
              </w:rPr>
              <w:t>Employer Contributions to NHS Pension scheme</w:t>
            </w:r>
          </w:p>
        </w:tc>
        <w:tc>
          <w:tcPr>
            <w:tcW w:w="2338" w:type="dxa"/>
          </w:tcPr>
          <w:p>
            <w:pPr>
              <w:pStyle w:val="TableParagraph"/>
              <w:spacing w:line="192" w:lineRule="exact" w:before="3"/>
              <w:ind w:left="802" w:right="928"/>
              <w:jc w:val="center"/>
              <w:rPr>
                <w:b/>
                <w:sz w:val="17"/>
              </w:rPr>
            </w:pPr>
            <w:r>
              <w:rPr>
                <w:b/>
                <w:sz w:val="17"/>
              </w:rPr>
              <w:t>518</w:t>
            </w:r>
          </w:p>
        </w:tc>
        <w:tc>
          <w:tcPr>
            <w:tcW w:w="735" w:type="dxa"/>
          </w:tcPr>
          <w:p>
            <w:pPr>
              <w:pStyle w:val="TableParagraph"/>
              <w:spacing w:line="192" w:lineRule="exact" w:before="3"/>
              <w:ind w:left="156"/>
              <w:rPr>
                <w:b/>
                <w:sz w:val="17"/>
              </w:rPr>
            </w:pPr>
            <w:r>
              <w:rPr>
                <w:b/>
                <w:w w:val="103"/>
                <w:sz w:val="17"/>
              </w:rPr>
              <w:t>0</w:t>
            </w:r>
          </w:p>
        </w:tc>
        <w:tc>
          <w:tcPr>
            <w:tcW w:w="1106" w:type="dxa"/>
          </w:tcPr>
          <w:p>
            <w:pPr>
              <w:pStyle w:val="TableParagraph"/>
              <w:spacing w:line="192" w:lineRule="exact" w:before="3"/>
              <w:ind w:right="235"/>
              <w:jc w:val="right"/>
              <w:rPr>
                <w:sz w:val="17"/>
              </w:rPr>
            </w:pPr>
            <w:r>
              <w:rPr>
                <w:sz w:val="17"/>
              </w:rPr>
              <w:t>518</w:t>
            </w:r>
          </w:p>
        </w:tc>
      </w:tr>
      <w:tr>
        <w:trPr>
          <w:trHeight w:val="215" w:hRule="atLeast"/>
        </w:trPr>
        <w:tc>
          <w:tcPr>
            <w:tcW w:w="5813" w:type="dxa"/>
          </w:tcPr>
          <w:p>
            <w:pPr>
              <w:pStyle w:val="TableParagraph"/>
              <w:spacing w:line="192" w:lineRule="exact" w:before="3"/>
              <w:ind w:left="200"/>
              <w:rPr>
                <w:sz w:val="17"/>
              </w:rPr>
            </w:pPr>
            <w:r>
              <w:rPr>
                <w:w w:val="105"/>
                <w:sz w:val="17"/>
              </w:rPr>
              <w:t>Other pension costs</w:t>
            </w:r>
          </w:p>
        </w:tc>
        <w:tc>
          <w:tcPr>
            <w:tcW w:w="2338" w:type="dxa"/>
          </w:tcPr>
          <w:p>
            <w:pPr>
              <w:pStyle w:val="TableParagraph"/>
              <w:spacing w:line="192" w:lineRule="exact" w:before="3"/>
              <w:ind w:left="55"/>
              <w:jc w:val="center"/>
              <w:rPr>
                <w:b/>
                <w:sz w:val="17"/>
              </w:rPr>
            </w:pPr>
            <w:r>
              <w:rPr>
                <w:b/>
                <w:w w:val="103"/>
                <w:sz w:val="17"/>
              </w:rPr>
              <w:t>0</w:t>
            </w:r>
          </w:p>
        </w:tc>
        <w:tc>
          <w:tcPr>
            <w:tcW w:w="735" w:type="dxa"/>
          </w:tcPr>
          <w:p>
            <w:pPr>
              <w:pStyle w:val="TableParagraph"/>
              <w:spacing w:line="192" w:lineRule="exact" w:before="3"/>
              <w:ind w:left="156"/>
              <w:rPr>
                <w:b/>
                <w:sz w:val="17"/>
              </w:rPr>
            </w:pPr>
            <w:r>
              <w:rPr>
                <w:b/>
                <w:w w:val="103"/>
                <w:sz w:val="17"/>
              </w:rPr>
              <w:t>0</w:t>
            </w:r>
          </w:p>
        </w:tc>
        <w:tc>
          <w:tcPr>
            <w:tcW w:w="1106" w:type="dxa"/>
          </w:tcPr>
          <w:p>
            <w:pPr>
              <w:pStyle w:val="TableParagraph"/>
              <w:spacing w:line="192" w:lineRule="exact" w:before="3"/>
              <w:ind w:right="241"/>
              <w:jc w:val="right"/>
              <w:rPr>
                <w:sz w:val="17"/>
              </w:rPr>
            </w:pPr>
            <w:r>
              <w:rPr>
                <w:w w:val="100"/>
                <w:sz w:val="17"/>
              </w:rPr>
              <w:t>0</w:t>
            </w:r>
          </w:p>
        </w:tc>
      </w:tr>
      <w:tr>
        <w:trPr>
          <w:trHeight w:val="214" w:hRule="atLeast"/>
        </w:trPr>
        <w:tc>
          <w:tcPr>
            <w:tcW w:w="5813" w:type="dxa"/>
          </w:tcPr>
          <w:p>
            <w:pPr>
              <w:pStyle w:val="TableParagraph"/>
              <w:spacing w:line="191" w:lineRule="exact" w:before="3"/>
              <w:ind w:left="200"/>
              <w:rPr>
                <w:sz w:val="17"/>
              </w:rPr>
            </w:pPr>
            <w:r>
              <w:rPr>
                <w:w w:val="105"/>
                <w:sz w:val="17"/>
              </w:rPr>
              <w:t>Apprenticeship Levy</w:t>
            </w:r>
          </w:p>
        </w:tc>
        <w:tc>
          <w:tcPr>
            <w:tcW w:w="2338" w:type="dxa"/>
          </w:tcPr>
          <w:p>
            <w:pPr>
              <w:pStyle w:val="TableParagraph"/>
              <w:spacing w:line="191" w:lineRule="exact" w:before="3"/>
              <w:ind w:left="55"/>
              <w:jc w:val="center"/>
              <w:rPr>
                <w:b/>
                <w:sz w:val="17"/>
              </w:rPr>
            </w:pPr>
            <w:r>
              <w:rPr>
                <w:b/>
                <w:w w:val="103"/>
                <w:sz w:val="17"/>
              </w:rPr>
              <w:t>0</w:t>
            </w:r>
          </w:p>
        </w:tc>
        <w:tc>
          <w:tcPr>
            <w:tcW w:w="735" w:type="dxa"/>
          </w:tcPr>
          <w:p>
            <w:pPr>
              <w:pStyle w:val="TableParagraph"/>
              <w:spacing w:line="191" w:lineRule="exact" w:before="3"/>
              <w:ind w:left="156"/>
              <w:rPr>
                <w:b/>
                <w:sz w:val="17"/>
              </w:rPr>
            </w:pPr>
            <w:r>
              <w:rPr>
                <w:b/>
                <w:w w:val="103"/>
                <w:sz w:val="17"/>
              </w:rPr>
              <w:t>0</w:t>
            </w:r>
          </w:p>
        </w:tc>
        <w:tc>
          <w:tcPr>
            <w:tcW w:w="1106" w:type="dxa"/>
          </w:tcPr>
          <w:p>
            <w:pPr>
              <w:pStyle w:val="TableParagraph"/>
              <w:spacing w:line="191" w:lineRule="exact" w:before="3"/>
              <w:ind w:right="238"/>
              <w:jc w:val="right"/>
              <w:rPr>
                <w:b/>
                <w:sz w:val="17"/>
              </w:rPr>
            </w:pPr>
            <w:r>
              <w:rPr>
                <w:b/>
                <w:w w:val="103"/>
                <w:sz w:val="17"/>
              </w:rPr>
              <w:t>0</w:t>
            </w:r>
          </w:p>
        </w:tc>
      </w:tr>
      <w:tr>
        <w:trPr>
          <w:trHeight w:val="214" w:hRule="atLeast"/>
        </w:trPr>
        <w:tc>
          <w:tcPr>
            <w:tcW w:w="5813" w:type="dxa"/>
          </w:tcPr>
          <w:p>
            <w:pPr>
              <w:pStyle w:val="TableParagraph"/>
              <w:spacing w:line="192" w:lineRule="exact" w:before="2"/>
              <w:ind w:left="200"/>
              <w:rPr>
                <w:sz w:val="17"/>
              </w:rPr>
            </w:pPr>
            <w:r>
              <w:rPr>
                <w:w w:val="105"/>
                <w:sz w:val="17"/>
              </w:rPr>
              <w:t>Other post-employment benefits</w:t>
            </w:r>
          </w:p>
        </w:tc>
        <w:tc>
          <w:tcPr>
            <w:tcW w:w="2338" w:type="dxa"/>
          </w:tcPr>
          <w:p>
            <w:pPr>
              <w:pStyle w:val="TableParagraph"/>
              <w:spacing w:line="192" w:lineRule="exact" w:before="2"/>
              <w:ind w:left="55"/>
              <w:jc w:val="center"/>
              <w:rPr>
                <w:b/>
                <w:sz w:val="17"/>
              </w:rPr>
            </w:pPr>
            <w:r>
              <w:rPr>
                <w:b/>
                <w:w w:val="103"/>
                <w:sz w:val="17"/>
              </w:rPr>
              <w:t>0</w:t>
            </w:r>
          </w:p>
        </w:tc>
        <w:tc>
          <w:tcPr>
            <w:tcW w:w="735" w:type="dxa"/>
          </w:tcPr>
          <w:p>
            <w:pPr>
              <w:pStyle w:val="TableParagraph"/>
              <w:spacing w:line="192" w:lineRule="exact" w:before="2"/>
              <w:ind w:left="156"/>
              <w:rPr>
                <w:b/>
                <w:sz w:val="17"/>
              </w:rPr>
            </w:pPr>
            <w:r>
              <w:rPr>
                <w:b/>
                <w:w w:val="103"/>
                <w:sz w:val="17"/>
              </w:rPr>
              <w:t>0</w:t>
            </w:r>
          </w:p>
        </w:tc>
        <w:tc>
          <w:tcPr>
            <w:tcW w:w="1106" w:type="dxa"/>
          </w:tcPr>
          <w:p>
            <w:pPr>
              <w:pStyle w:val="TableParagraph"/>
              <w:spacing w:line="192" w:lineRule="exact" w:before="2"/>
              <w:ind w:right="238"/>
              <w:jc w:val="right"/>
              <w:rPr>
                <w:b/>
                <w:sz w:val="17"/>
              </w:rPr>
            </w:pPr>
            <w:r>
              <w:rPr>
                <w:b/>
                <w:w w:val="103"/>
                <w:sz w:val="17"/>
              </w:rPr>
              <w:t>0</w:t>
            </w:r>
          </w:p>
        </w:tc>
      </w:tr>
      <w:tr>
        <w:trPr>
          <w:trHeight w:val="214" w:hRule="atLeast"/>
        </w:trPr>
        <w:tc>
          <w:tcPr>
            <w:tcW w:w="5813" w:type="dxa"/>
          </w:tcPr>
          <w:p>
            <w:pPr>
              <w:pStyle w:val="TableParagraph"/>
              <w:spacing w:line="191" w:lineRule="exact" w:before="3"/>
              <w:ind w:left="200"/>
              <w:rPr>
                <w:sz w:val="17"/>
              </w:rPr>
            </w:pPr>
            <w:r>
              <w:rPr>
                <w:w w:val="105"/>
                <w:sz w:val="17"/>
              </w:rPr>
              <w:t>Other employment benefits</w:t>
            </w:r>
          </w:p>
        </w:tc>
        <w:tc>
          <w:tcPr>
            <w:tcW w:w="2338" w:type="dxa"/>
          </w:tcPr>
          <w:p>
            <w:pPr>
              <w:pStyle w:val="TableParagraph"/>
              <w:spacing w:line="191" w:lineRule="exact" w:before="3"/>
              <w:ind w:left="55"/>
              <w:jc w:val="center"/>
              <w:rPr>
                <w:b/>
                <w:sz w:val="17"/>
              </w:rPr>
            </w:pPr>
            <w:r>
              <w:rPr>
                <w:b/>
                <w:w w:val="103"/>
                <w:sz w:val="17"/>
              </w:rPr>
              <w:t>0</w:t>
            </w:r>
          </w:p>
        </w:tc>
        <w:tc>
          <w:tcPr>
            <w:tcW w:w="735" w:type="dxa"/>
          </w:tcPr>
          <w:p>
            <w:pPr>
              <w:pStyle w:val="TableParagraph"/>
              <w:spacing w:line="191" w:lineRule="exact" w:before="3"/>
              <w:ind w:left="156"/>
              <w:rPr>
                <w:b/>
                <w:sz w:val="17"/>
              </w:rPr>
            </w:pPr>
            <w:r>
              <w:rPr>
                <w:b/>
                <w:w w:val="103"/>
                <w:sz w:val="17"/>
              </w:rPr>
              <w:t>0</w:t>
            </w:r>
          </w:p>
        </w:tc>
        <w:tc>
          <w:tcPr>
            <w:tcW w:w="1106" w:type="dxa"/>
          </w:tcPr>
          <w:p>
            <w:pPr>
              <w:pStyle w:val="TableParagraph"/>
              <w:spacing w:line="191" w:lineRule="exact" w:before="3"/>
              <w:ind w:right="238"/>
              <w:jc w:val="right"/>
              <w:rPr>
                <w:b/>
                <w:sz w:val="17"/>
              </w:rPr>
            </w:pPr>
            <w:r>
              <w:rPr>
                <w:b/>
                <w:w w:val="103"/>
                <w:sz w:val="17"/>
              </w:rPr>
              <w:t>0</w:t>
            </w:r>
          </w:p>
        </w:tc>
      </w:tr>
      <w:tr>
        <w:trPr>
          <w:trHeight w:val="218" w:hRule="atLeast"/>
        </w:trPr>
        <w:tc>
          <w:tcPr>
            <w:tcW w:w="5813" w:type="dxa"/>
          </w:tcPr>
          <w:p>
            <w:pPr>
              <w:pStyle w:val="TableParagraph"/>
              <w:spacing w:before="2"/>
              <w:ind w:left="200"/>
              <w:rPr>
                <w:sz w:val="17"/>
              </w:rPr>
            </w:pPr>
            <w:r>
              <w:rPr>
                <w:w w:val="105"/>
                <w:sz w:val="17"/>
              </w:rPr>
              <w:t>Termination benefits</w:t>
            </w:r>
          </w:p>
        </w:tc>
        <w:tc>
          <w:tcPr>
            <w:tcW w:w="2338" w:type="dxa"/>
          </w:tcPr>
          <w:p>
            <w:pPr>
              <w:pStyle w:val="TableParagraph"/>
              <w:tabs>
                <w:tab w:pos="1188" w:val="left" w:leader="none"/>
                <w:tab w:pos="1488" w:val="left" w:leader="none"/>
                <w:tab w:pos="2534" w:val="left" w:leader="none"/>
              </w:tabs>
              <w:spacing w:before="2"/>
              <w:ind w:left="142" w:right="-202"/>
              <w:rPr>
                <w:b/>
                <w:sz w:val="17"/>
              </w:rPr>
            </w:pPr>
            <w:r>
              <w:rPr>
                <w:b/>
                <w:w w:val="100"/>
                <w:sz w:val="17"/>
                <w:u w:val="single"/>
              </w:rPr>
              <w:t> </w:t>
            </w:r>
            <w:r>
              <w:rPr>
                <w:b/>
                <w:sz w:val="17"/>
                <w:u w:val="single"/>
              </w:rPr>
              <w:tab/>
              <w:t>0</w:t>
            </w:r>
            <w:r>
              <w:rPr>
                <w:b/>
                <w:sz w:val="17"/>
              </w:rPr>
              <w:tab/>
            </w:r>
            <w:r>
              <w:rPr>
                <w:b/>
                <w:w w:val="100"/>
                <w:sz w:val="17"/>
                <w:u w:val="single"/>
              </w:rPr>
              <w:t> </w:t>
            </w:r>
            <w:r>
              <w:rPr>
                <w:b/>
                <w:sz w:val="17"/>
                <w:u w:val="single"/>
              </w:rPr>
              <w:tab/>
            </w:r>
          </w:p>
        </w:tc>
        <w:tc>
          <w:tcPr>
            <w:tcW w:w="735" w:type="dxa"/>
          </w:tcPr>
          <w:p>
            <w:pPr>
              <w:pStyle w:val="TableParagraph"/>
              <w:tabs>
                <w:tab w:pos="299" w:val="left" w:leader="none"/>
                <w:tab w:pos="1346" w:val="left" w:leader="none"/>
              </w:tabs>
              <w:spacing w:before="2"/>
              <w:ind w:right="-821"/>
              <w:jc w:val="right"/>
              <w:rPr>
                <w:b/>
                <w:sz w:val="17"/>
              </w:rPr>
            </w:pPr>
            <w:r>
              <w:rPr>
                <w:b/>
                <w:sz w:val="17"/>
                <w:u w:val="single"/>
              </w:rPr>
              <w:t>0</w:t>
            </w:r>
            <w:r>
              <w:rPr>
                <w:b/>
                <w:sz w:val="17"/>
              </w:rPr>
              <w:tab/>
            </w:r>
            <w:r>
              <w:rPr>
                <w:b/>
                <w:w w:val="100"/>
                <w:sz w:val="17"/>
                <w:u w:val="single"/>
              </w:rPr>
              <w:t> </w:t>
            </w:r>
            <w:r>
              <w:rPr>
                <w:b/>
                <w:sz w:val="17"/>
                <w:u w:val="single"/>
              </w:rPr>
              <w:tab/>
            </w:r>
          </w:p>
        </w:tc>
        <w:tc>
          <w:tcPr>
            <w:tcW w:w="1106" w:type="dxa"/>
          </w:tcPr>
          <w:p>
            <w:pPr>
              <w:pStyle w:val="TableParagraph"/>
              <w:spacing w:before="2"/>
              <w:ind w:right="200"/>
              <w:jc w:val="right"/>
              <w:rPr>
                <w:b/>
                <w:sz w:val="17"/>
              </w:rPr>
            </w:pPr>
            <w:r>
              <w:rPr>
                <w:b/>
                <w:w w:val="100"/>
                <w:sz w:val="17"/>
                <w:u w:val="single"/>
              </w:rPr>
              <w:t>0</w:t>
            </w:r>
          </w:p>
        </w:tc>
      </w:tr>
      <w:tr>
        <w:trPr>
          <w:trHeight w:val="324" w:hRule="atLeast"/>
        </w:trPr>
        <w:tc>
          <w:tcPr>
            <w:tcW w:w="5813" w:type="dxa"/>
          </w:tcPr>
          <w:p>
            <w:pPr>
              <w:pStyle w:val="TableParagraph"/>
              <w:spacing w:before="7"/>
              <w:ind w:left="200"/>
              <w:rPr>
                <w:b/>
                <w:sz w:val="17"/>
              </w:rPr>
            </w:pPr>
            <w:r>
              <w:rPr>
                <w:b/>
                <w:w w:val="105"/>
                <w:sz w:val="17"/>
              </w:rPr>
              <w:t>Gross employee benefits expenditure</w:t>
            </w:r>
          </w:p>
        </w:tc>
        <w:tc>
          <w:tcPr>
            <w:tcW w:w="2338" w:type="dxa"/>
          </w:tcPr>
          <w:p>
            <w:pPr>
              <w:pStyle w:val="TableParagraph"/>
              <w:tabs>
                <w:tab w:pos="857" w:val="left" w:leader="none"/>
                <w:tab w:pos="1490" w:val="left" w:leader="none"/>
                <w:tab w:pos="2438" w:val="left" w:leader="none"/>
              </w:tabs>
              <w:spacing w:before="7"/>
              <w:ind w:left="154" w:right="-116"/>
              <w:rPr>
                <w:sz w:val="17"/>
              </w:rPr>
            </w:pPr>
            <w:r>
              <w:rPr>
                <w:w w:val="100"/>
                <w:sz w:val="17"/>
                <w:u w:val="single"/>
              </w:rPr>
              <w:t> </w:t>
            </w:r>
            <w:r>
              <w:rPr>
                <w:sz w:val="17"/>
                <w:u w:val="single"/>
              </w:rPr>
              <w:tab/>
              <w:t>3,910</w:t>
            </w:r>
            <w:r>
              <w:rPr>
                <w:sz w:val="17"/>
              </w:rPr>
              <w:tab/>
            </w:r>
            <w:r>
              <w:rPr>
                <w:w w:val="100"/>
                <w:sz w:val="17"/>
                <w:u w:val="single"/>
              </w:rPr>
              <w:t> </w:t>
            </w:r>
            <w:r>
              <w:rPr>
                <w:sz w:val="17"/>
                <w:u w:val="single"/>
              </w:rPr>
              <w:tab/>
            </w:r>
          </w:p>
        </w:tc>
        <w:tc>
          <w:tcPr>
            <w:tcW w:w="735" w:type="dxa"/>
          </w:tcPr>
          <w:p>
            <w:pPr>
              <w:pStyle w:val="TableParagraph"/>
              <w:tabs>
                <w:tab w:pos="508" w:val="left" w:leader="none"/>
                <w:tab w:pos="1212" w:val="left" w:leader="none"/>
              </w:tabs>
              <w:spacing w:before="7"/>
              <w:ind w:left="101" w:right="-490"/>
              <w:rPr>
                <w:sz w:val="17"/>
              </w:rPr>
            </w:pPr>
            <w:r>
              <w:rPr>
                <w:sz w:val="17"/>
                <w:u w:val="single"/>
              </w:rPr>
              <w:t>58</w:t>
            </w:r>
            <w:r>
              <w:rPr>
                <w:sz w:val="17"/>
              </w:rPr>
              <w:tab/>
            </w:r>
            <w:r>
              <w:rPr>
                <w:w w:val="100"/>
                <w:sz w:val="17"/>
                <w:u w:val="single"/>
              </w:rPr>
              <w:t> </w:t>
            </w:r>
            <w:r>
              <w:rPr>
                <w:sz w:val="17"/>
                <w:u w:val="single"/>
              </w:rPr>
              <w:tab/>
            </w:r>
          </w:p>
        </w:tc>
        <w:tc>
          <w:tcPr>
            <w:tcW w:w="1106" w:type="dxa"/>
          </w:tcPr>
          <w:p>
            <w:pPr>
              <w:pStyle w:val="TableParagraph"/>
              <w:spacing w:before="7"/>
              <w:ind w:right="201"/>
              <w:jc w:val="right"/>
              <w:rPr>
                <w:sz w:val="17"/>
              </w:rPr>
            </w:pPr>
            <w:r>
              <w:rPr>
                <w:sz w:val="17"/>
                <w:u w:val="single"/>
              </w:rPr>
              <w:t>3,968</w:t>
            </w:r>
          </w:p>
        </w:tc>
      </w:tr>
      <w:tr>
        <w:trPr>
          <w:trHeight w:val="323" w:hRule="atLeast"/>
        </w:trPr>
        <w:tc>
          <w:tcPr>
            <w:tcW w:w="5813" w:type="dxa"/>
          </w:tcPr>
          <w:p>
            <w:pPr>
              <w:pStyle w:val="TableParagraph"/>
              <w:spacing w:before="108"/>
              <w:ind w:left="200"/>
              <w:rPr>
                <w:sz w:val="17"/>
              </w:rPr>
            </w:pPr>
            <w:r>
              <w:rPr>
                <w:w w:val="105"/>
                <w:sz w:val="17"/>
              </w:rPr>
              <w:t>Less recoveries in respect of employee benefits (note 4.1.2)</w:t>
            </w:r>
          </w:p>
        </w:tc>
        <w:tc>
          <w:tcPr>
            <w:tcW w:w="2338" w:type="dxa"/>
          </w:tcPr>
          <w:p>
            <w:pPr>
              <w:pStyle w:val="TableParagraph"/>
              <w:tabs>
                <w:tab w:pos="1188" w:val="left" w:leader="none"/>
                <w:tab w:pos="1488" w:val="left" w:leader="none"/>
                <w:tab w:pos="2534" w:val="left" w:leader="none"/>
              </w:tabs>
              <w:spacing w:before="108"/>
              <w:ind w:left="142" w:right="-202"/>
              <w:rPr>
                <w:b/>
                <w:sz w:val="17"/>
              </w:rPr>
            </w:pPr>
            <w:r>
              <w:rPr>
                <w:b/>
                <w:w w:val="100"/>
                <w:sz w:val="17"/>
                <w:u w:val="single"/>
              </w:rPr>
              <w:t> </w:t>
            </w:r>
            <w:r>
              <w:rPr>
                <w:b/>
                <w:sz w:val="17"/>
                <w:u w:val="single"/>
              </w:rPr>
              <w:tab/>
              <w:t>0</w:t>
            </w:r>
            <w:r>
              <w:rPr>
                <w:b/>
                <w:sz w:val="17"/>
              </w:rPr>
              <w:tab/>
            </w:r>
            <w:r>
              <w:rPr>
                <w:b/>
                <w:w w:val="100"/>
                <w:sz w:val="17"/>
                <w:u w:val="single"/>
              </w:rPr>
              <w:t> </w:t>
            </w:r>
            <w:r>
              <w:rPr>
                <w:b/>
                <w:sz w:val="17"/>
                <w:u w:val="single"/>
              </w:rPr>
              <w:tab/>
            </w:r>
          </w:p>
        </w:tc>
        <w:tc>
          <w:tcPr>
            <w:tcW w:w="735" w:type="dxa"/>
          </w:tcPr>
          <w:p>
            <w:pPr>
              <w:pStyle w:val="TableParagraph"/>
              <w:tabs>
                <w:tab w:pos="299" w:val="left" w:leader="none"/>
                <w:tab w:pos="1346" w:val="left" w:leader="none"/>
              </w:tabs>
              <w:spacing w:before="108"/>
              <w:ind w:right="-821"/>
              <w:jc w:val="right"/>
              <w:rPr>
                <w:b/>
                <w:sz w:val="17"/>
              </w:rPr>
            </w:pPr>
            <w:r>
              <w:rPr>
                <w:b/>
                <w:sz w:val="17"/>
                <w:u w:val="single"/>
              </w:rPr>
              <w:t>0</w:t>
            </w:r>
            <w:r>
              <w:rPr>
                <w:b/>
                <w:sz w:val="17"/>
              </w:rPr>
              <w:tab/>
            </w:r>
            <w:r>
              <w:rPr>
                <w:b/>
                <w:w w:val="100"/>
                <w:sz w:val="17"/>
                <w:u w:val="single"/>
              </w:rPr>
              <w:t> </w:t>
            </w:r>
            <w:r>
              <w:rPr>
                <w:b/>
                <w:sz w:val="17"/>
                <w:u w:val="single"/>
              </w:rPr>
              <w:tab/>
            </w:r>
          </w:p>
        </w:tc>
        <w:tc>
          <w:tcPr>
            <w:tcW w:w="1106" w:type="dxa"/>
          </w:tcPr>
          <w:p>
            <w:pPr>
              <w:pStyle w:val="TableParagraph"/>
              <w:spacing w:before="108"/>
              <w:ind w:right="200"/>
              <w:jc w:val="right"/>
              <w:rPr>
                <w:b/>
                <w:sz w:val="17"/>
              </w:rPr>
            </w:pPr>
            <w:r>
              <w:rPr>
                <w:b/>
                <w:w w:val="100"/>
                <w:sz w:val="17"/>
                <w:u w:val="single"/>
              </w:rPr>
              <w:t>0</w:t>
            </w:r>
          </w:p>
        </w:tc>
      </w:tr>
      <w:tr>
        <w:trPr>
          <w:trHeight w:val="323" w:hRule="atLeast"/>
        </w:trPr>
        <w:tc>
          <w:tcPr>
            <w:tcW w:w="5813" w:type="dxa"/>
          </w:tcPr>
          <w:p>
            <w:pPr>
              <w:pStyle w:val="TableParagraph"/>
              <w:spacing w:before="7"/>
              <w:ind w:left="200"/>
              <w:rPr>
                <w:b/>
                <w:sz w:val="17"/>
              </w:rPr>
            </w:pPr>
            <w:r>
              <w:rPr>
                <w:b/>
                <w:w w:val="105"/>
                <w:sz w:val="17"/>
              </w:rPr>
              <w:t>Total - Net admin employee benefits including capitalised costs</w:t>
            </w:r>
          </w:p>
        </w:tc>
        <w:tc>
          <w:tcPr>
            <w:tcW w:w="2338" w:type="dxa"/>
          </w:tcPr>
          <w:p>
            <w:pPr>
              <w:pStyle w:val="TableParagraph"/>
              <w:tabs>
                <w:tab w:pos="905" w:val="left" w:leader="none"/>
                <w:tab w:pos="1493" w:val="left" w:leader="none"/>
                <w:tab w:pos="2441" w:val="left" w:leader="none"/>
              </w:tabs>
              <w:spacing w:before="7"/>
              <w:ind w:left="154" w:right="-116"/>
              <w:rPr>
                <w:sz w:val="17"/>
              </w:rPr>
            </w:pPr>
            <w:r>
              <w:rPr>
                <w:w w:val="100"/>
                <w:sz w:val="17"/>
                <w:u w:val="single"/>
              </w:rPr>
              <w:t> </w:t>
            </w:r>
            <w:r>
              <w:rPr>
                <w:sz w:val="17"/>
                <w:u w:val="single"/>
              </w:rPr>
              <w:tab/>
              <w:t>3910</w:t>
            </w:r>
            <w:r>
              <w:rPr>
                <w:sz w:val="17"/>
              </w:rPr>
              <w:tab/>
            </w:r>
            <w:r>
              <w:rPr>
                <w:w w:val="100"/>
                <w:sz w:val="17"/>
                <w:u w:val="single"/>
              </w:rPr>
              <w:t> </w:t>
            </w:r>
            <w:r>
              <w:rPr>
                <w:sz w:val="17"/>
                <w:u w:val="single"/>
              </w:rPr>
              <w:tab/>
            </w:r>
          </w:p>
        </w:tc>
        <w:tc>
          <w:tcPr>
            <w:tcW w:w="735" w:type="dxa"/>
          </w:tcPr>
          <w:p>
            <w:pPr>
              <w:pStyle w:val="TableParagraph"/>
              <w:tabs>
                <w:tab w:pos="508" w:val="left" w:leader="none"/>
                <w:tab w:pos="1260" w:val="left" w:leader="none"/>
              </w:tabs>
              <w:spacing w:before="7"/>
              <w:ind w:left="103" w:right="-533"/>
              <w:rPr>
                <w:sz w:val="17"/>
              </w:rPr>
            </w:pPr>
            <w:r>
              <w:rPr>
                <w:sz w:val="17"/>
                <w:u w:val="single"/>
              </w:rPr>
              <w:t>58</w:t>
            </w:r>
            <w:r>
              <w:rPr>
                <w:sz w:val="17"/>
              </w:rPr>
              <w:tab/>
            </w:r>
            <w:r>
              <w:rPr>
                <w:w w:val="100"/>
                <w:sz w:val="17"/>
                <w:u w:val="single"/>
              </w:rPr>
              <w:t> </w:t>
            </w:r>
            <w:r>
              <w:rPr>
                <w:sz w:val="17"/>
                <w:u w:val="single"/>
              </w:rPr>
              <w:tab/>
            </w:r>
          </w:p>
        </w:tc>
        <w:tc>
          <w:tcPr>
            <w:tcW w:w="1106" w:type="dxa"/>
          </w:tcPr>
          <w:p>
            <w:pPr>
              <w:pStyle w:val="TableParagraph"/>
              <w:spacing w:before="7"/>
              <w:ind w:right="197"/>
              <w:jc w:val="right"/>
              <w:rPr>
                <w:sz w:val="17"/>
              </w:rPr>
            </w:pPr>
            <w:r>
              <w:rPr>
                <w:sz w:val="17"/>
                <w:u w:val="single"/>
              </w:rPr>
              <w:t>3968</w:t>
            </w:r>
          </w:p>
        </w:tc>
      </w:tr>
      <w:tr>
        <w:trPr>
          <w:trHeight w:val="316" w:hRule="atLeast"/>
        </w:trPr>
        <w:tc>
          <w:tcPr>
            <w:tcW w:w="5813" w:type="dxa"/>
          </w:tcPr>
          <w:p>
            <w:pPr>
              <w:pStyle w:val="TableParagraph"/>
              <w:spacing w:line="189" w:lineRule="exact" w:before="108"/>
              <w:ind w:left="200"/>
              <w:rPr>
                <w:sz w:val="17"/>
              </w:rPr>
            </w:pPr>
            <w:r>
              <w:rPr>
                <w:w w:val="105"/>
                <w:sz w:val="17"/>
              </w:rPr>
              <w:t>Less: Employee costs capitalised</w:t>
            </w:r>
          </w:p>
        </w:tc>
        <w:tc>
          <w:tcPr>
            <w:tcW w:w="2338" w:type="dxa"/>
          </w:tcPr>
          <w:p>
            <w:pPr>
              <w:pStyle w:val="TableParagraph"/>
              <w:tabs>
                <w:tab w:pos="1188" w:val="left" w:leader="none"/>
                <w:tab w:pos="1488" w:val="left" w:leader="none"/>
                <w:tab w:pos="2534" w:val="left" w:leader="none"/>
              </w:tabs>
              <w:spacing w:line="189" w:lineRule="exact" w:before="108"/>
              <w:ind w:left="142" w:right="-202"/>
              <w:rPr>
                <w:b/>
                <w:sz w:val="17"/>
              </w:rPr>
            </w:pPr>
            <w:r>
              <w:rPr>
                <w:b/>
                <w:w w:val="100"/>
                <w:sz w:val="17"/>
                <w:u w:val="single"/>
              </w:rPr>
              <w:t> </w:t>
            </w:r>
            <w:r>
              <w:rPr>
                <w:b/>
                <w:sz w:val="17"/>
                <w:u w:val="single"/>
              </w:rPr>
              <w:tab/>
              <w:t>0</w:t>
            </w:r>
            <w:r>
              <w:rPr>
                <w:b/>
                <w:sz w:val="17"/>
              </w:rPr>
              <w:tab/>
            </w:r>
            <w:r>
              <w:rPr>
                <w:b/>
                <w:w w:val="100"/>
                <w:sz w:val="17"/>
                <w:u w:val="single"/>
              </w:rPr>
              <w:t> </w:t>
            </w:r>
            <w:r>
              <w:rPr>
                <w:b/>
                <w:sz w:val="17"/>
                <w:u w:val="single"/>
              </w:rPr>
              <w:tab/>
            </w:r>
          </w:p>
        </w:tc>
        <w:tc>
          <w:tcPr>
            <w:tcW w:w="735" w:type="dxa"/>
          </w:tcPr>
          <w:p>
            <w:pPr>
              <w:pStyle w:val="TableParagraph"/>
              <w:tabs>
                <w:tab w:pos="299" w:val="left" w:leader="none"/>
                <w:tab w:pos="1346" w:val="left" w:leader="none"/>
              </w:tabs>
              <w:spacing w:line="189" w:lineRule="exact" w:before="108"/>
              <w:ind w:right="-821"/>
              <w:jc w:val="right"/>
              <w:rPr>
                <w:b/>
                <w:sz w:val="17"/>
              </w:rPr>
            </w:pPr>
            <w:r>
              <w:rPr>
                <w:b/>
                <w:sz w:val="17"/>
                <w:u w:val="single"/>
              </w:rPr>
              <w:t>0</w:t>
            </w:r>
            <w:r>
              <w:rPr>
                <w:b/>
                <w:sz w:val="17"/>
              </w:rPr>
              <w:tab/>
            </w:r>
            <w:r>
              <w:rPr>
                <w:b/>
                <w:w w:val="100"/>
                <w:sz w:val="17"/>
                <w:u w:val="single"/>
              </w:rPr>
              <w:t> </w:t>
            </w:r>
            <w:r>
              <w:rPr>
                <w:b/>
                <w:sz w:val="17"/>
                <w:u w:val="single"/>
              </w:rPr>
              <w:tab/>
            </w:r>
          </w:p>
        </w:tc>
        <w:tc>
          <w:tcPr>
            <w:tcW w:w="1106" w:type="dxa"/>
          </w:tcPr>
          <w:p>
            <w:pPr>
              <w:pStyle w:val="TableParagraph"/>
              <w:spacing w:line="189" w:lineRule="exact" w:before="108"/>
              <w:ind w:right="200"/>
              <w:jc w:val="right"/>
              <w:rPr>
                <w:b/>
                <w:sz w:val="17"/>
              </w:rPr>
            </w:pPr>
            <w:r>
              <w:rPr>
                <w:b/>
                <w:w w:val="100"/>
                <w:sz w:val="17"/>
                <w:u w:val="single"/>
              </w:rPr>
              <w:t>0</w:t>
            </w:r>
          </w:p>
        </w:tc>
      </w:tr>
      <w:tr>
        <w:trPr>
          <w:trHeight w:val="199" w:hRule="atLeast"/>
        </w:trPr>
        <w:tc>
          <w:tcPr>
            <w:tcW w:w="5813" w:type="dxa"/>
          </w:tcPr>
          <w:p>
            <w:pPr>
              <w:pStyle w:val="TableParagraph"/>
              <w:spacing w:line="179" w:lineRule="exact"/>
              <w:ind w:left="200"/>
              <w:rPr>
                <w:b/>
                <w:sz w:val="17"/>
              </w:rPr>
            </w:pPr>
            <w:r>
              <w:rPr>
                <w:b/>
                <w:w w:val="105"/>
                <w:sz w:val="17"/>
              </w:rPr>
              <w:t>Net employee benefits excluding capitalised costs</w:t>
            </w:r>
          </w:p>
        </w:tc>
        <w:tc>
          <w:tcPr>
            <w:tcW w:w="2338" w:type="dxa"/>
          </w:tcPr>
          <w:p>
            <w:pPr>
              <w:pStyle w:val="TableParagraph"/>
              <w:tabs>
                <w:tab w:pos="905" w:val="left" w:leader="none"/>
                <w:tab w:pos="1493" w:val="left" w:leader="none"/>
                <w:tab w:pos="2441" w:val="left" w:leader="none"/>
              </w:tabs>
              <w:spacing w:line="179" w:lineRule="exact"/>
              <w:ind w:left="154" w:right="-116"/>
              <w:rPr>
                <w:sz w:val="17"/>
              </w:rPr>
            </w:pPr>
            <w:r>
              <w:rPr>
                <w:w w:val="100"/>
                <w:sz w:val="17"/>
                <w:u w:val="single"/>
              </w:rPr>
              <w:t> </w:t>
            </w:r>
            <w:r>
              <w:rPr>
                <w:sz w:val="17"/>
                <w:u w:val="single"/>
              </w:rPr>
              <w:tab/>
              <w:t>3910</w:t>
            </w:r>
            <w:r>
              <w:rPr>
                <w:sz w:val="17"/>
              </w:rPr>
              <w:tab/>
            </w:r>
            <w:r>
              <w:rPr>
                <w:w w:val="100"/>
                <w:sz w:val="17"/>
                <w:u w:val="single"/>
              </w:rPr>
              <w:t> </w:t>
            </w:r>
            <w:r>
              <w:rPr>
                <w:sz w:val="17"/>
                <w:u w:val="single"/>
              </w:rPr>
              <w:tab/>
            </w:r>
          </w:p>
        </w:tc>
        <w:tc>
          <w:tcPr>
            <w:tcW w:w="735" w:type="dxa"/>
          </w:tcPr>
          <w:p>
            <w:pPr>
              <w:pStyle w:val="TableParagraph"/>
              <w:tabs>
                <w:tab w:pos="508" w:val="left" w:leader="none"/>
                <w:tab w:pos="1260" w:val="left" w:leader="none"/>
              </w:tabs>
              <w:spacing w:line="179" w:lineRule="exact"/>
              <w:ind w:left="103" w:right="-533"/>
              <w:rPr>
                <w:sz w:val="17"/>
              </w:rPr>
            </w:pPr>
            <w:r>
              <w:rPr>
                <w:sz w:val="17"/>
                <w:u w:val="single"/>
              </w:rPr>
              <w:t>58</w:t>
            </w:r>
            <w:r>
              <w:rPr>
                <w:sz w:val="17"/>
              </w:rPr>
              <w:tab/>
            </w:r>
            <w:r>
              <w:rPr>
                <w:w w:val="100"/>
                <w:sz w:val="17"/>
                <w:u w:val="single"/>
              </w:rPr>
              <w:t> </w:t>
            </w:r>
            <w:r>
              <w:rPr>
                <w:sz w:val="17"/>
                <w:u w:val="single"/>
              </w:rPr>
              <w:tab/>
            </w:r>
          </w:p>
        </w:tc>
        <w:tc>
          <w:tcPr>
            <w:tcW w:w="1106" w:type="dxa"/>
          </w:tcPr>
          <w:p>
            <w:pPr>
              <w:pStyle w:val="TableParagraph"/>
              <w:spacing w:line="179" w:lineRule="exact"/>
              <w:ind w:right="197"/>
              <w:jc w:val="right"/>
              <w:rPr>
                <w:sz w:val="17"/>
              </w:rPr>
            </w:pPr>
            <w:r>
              <w:rPr>
                <w:sz w:val="17"/>
                <w:u w:val="single"/>
              </w:rPr>
              <w:t>3968</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before="0"/>
        <w:ind w:left="463" w:right="702" w:firstLine="0"/>
        <w:jc w:val="center"/>
        <w:rPr>
          <w:sz w:val="17"/>
        </w:rPr>
      </w:pPr>
      <w:r>
        <w:rPr>
          <w:w w:val="105"/>
          <w:sz w:val="17"/>
        </w:rPr>
        <w:t>11</w:t>
      </w:r>
    </w:p>
    <w:p>
      <w:pPr>
        <w:spacing w:after="0"/>
        <w:jc w:val="center"/>
        <w:rPr>
          <w:sz w:val="17"/>
        </w:rPr>
        <w:sectPr>
          <w:footerReference w:type="default" r:id="rId53"/>
          <w:pgSz w:w="11920" w:h="16850"/>
          <w:pgMar w:footer="0" w:header="0" w:top="1080" w:bottom="280" w:left="740" w:right="520"/>
        </w:sectPr>
      </w:pPr>
    </w:p>
    <w:tbl>
      <w:tblPr>
        <w:tblW w:w="0" w:type="auto"/>
        <w:jc w:val="left"/>
        <w:tblInd w:w="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5"/>
        <w:gridCol w:w="1151"/>
        <w:gridCol w:w="1138"/>
        <w:gridCol w:w="871"/>
        <w:gridCol w:w="275"/>
        <w:gridCol w:w="888"/>
        <w:gridCol w:w="716"/>
        <w:gridCol w:w="435"/>
        <w:gridCol w:w="636"/>
      </w:tblGrid>
      <w:tr>
        <w:trPr>
          <w:trHeight w:val="412" w:hRule="atLeast"/>
        </w:trPr>
        <w:tc>
          <w:tcPr>
            <w:tcW w:w="3585" w:type="dxa"/>
          </w:tcPr>
          <w:p>
            <w:pPr>
              <w:pStyle w:val="TableParagraph"/>
              <w:spacing w:line="121" w:lineRule="exact"/>
              <w:ind w:left="28"/>
              <w:rPr>
                <w:sz w:val="11"/>
              </w:rPr>
            </w:pPr>
            <w:r>
              <w:rPr>
                <w:w w:val="105"/>
                <w:sz w:val="11"/>
              </w:rPr>
              <w:t>NHS North Lincolnshire CCG - Annual Accounts 2021-22</w:t>
            </w:r>
          </w:p>
          <w:p>
            <w:pPr>
              <w:pStyle w:val="TableParagraph"/>
              <w:rPr>
                <w:sz w:val="13"/>
              </w:rPr>
            </w:pPr>
          </w:p>
          <w:p>
            <w:pPr>
              <w:pStyle w:val="TableParagraph"/>
              <w:spacing w:line="122" w:lineRule="exact"/>
              <w:ind w:left="28"/>
              <w:rPr>
                <w:b/>
                <w:sz w:val="11"/>
              </w:rPr>
            </w:pPr>
            <w:r>
              <w:rPr>
                <w:b/>
                <w:w w:val="105"/>
                <w:sz w:val="11"/>
              </w:rPr>
              <w:t>4.2 Average number of people employed</w:t>
            </w:r>
          </w:p>
        </w:tc>
        <w:tc>
          <w:tcPr>
            <w:tcW w:w="6110" w:type="dxa"/>
            <w:gridSpan w:val="8"/>
          </w:tcPr>
          <w:p>
            <w:pPr>
              <w:pStyle w:val="TableParagraph"/>
              <w:rPr>
                <w:rFonts w:ascii="Times New Roman"/>
                <w:sz w:val="10"/>
              </w:rPr>
            </w:pPr>
          </w:p>
        </w:tc>
      </w:tr>
      <w:tr>
        <w:trPr>
          <w:trHeight w:val="273" w:hRule="atLeast"/>
        </w:trPr>
        <w:tc>
          <w:tcPr>
            <w:tcW w:w="3585" w:type="dxa"/>
          </w:tcPr>
          <w:p>
            <w:pPr>
              <w:pStyle w:val="TableParagraph"/>
              <w:rPr>
                <w:rFonts w:ascii="Times New Roman"/>
                <w:sz w:val="10"/>
              </w:rPr>
            </w:pPr>
          </w:p>
        </w:tc>
        <w:tc>
          <w:tcPr>
            <w:tcW w:w="1151" w:type="dxa"/>
          </w:tcPr>
          <w:p>
            <w:pPr>
              <w:pStyle w:val="TableParagraph"/>
              <w:spacing w:before="7"/>
              <w:rPr>
                <w:sz w:val="11"/>
              </w:rPr>
            </w:pPr>
          </w:p>
          <w:p>
            <w:pPr>
              <w:pStyle w:val="TableParagraph"/>
              <w:spacing w:line="119" w:lineRule="exact" w:before="1"/>
              <w:ind w:right="69"/>
              <w:jc w:val="right"/>
              <w:rPr>
                <w:b/>
                <w:sz w:val="11"/>
              </w:rPr>
            </w:pPr>
            <w:r>
              <w:rPr>
                <w:b/>
                <w:w w:val="105"/>
                <w:sz w:val="11"/>
              </w:rPr>
              <w:t>Permanently</w:t>
            </w:r>
          </w:p>
        </w:tc>
        <w:tc>
          <w:tcPr>
            <w:tcW w:w="1138" w:type="dxa"/>
          </w:tcPr>
          <w:p>
            <w:pPr>
              <w:pStyle w:val="TableParagraph"/>
              <w:spacing w:before="7"/>
              <w:ind w:left="445"/>
              <w:rPr>
                <w:b/>
                <w:sz w:val="11"/>
              </w:rPr>
            </w:pPr>
            <w:r>
              <w:rPr>
                <w:b/>
                <w:w w:val="105"/>
                <w:sz w:val="11"/>
              </w:rPr>
              <w:t>2021-22</w:t>
            </w:r>
          </w:p>
        </w:tc>
        <w:tc>
          <w:tcPr>
            <w:tcW w:w="1146" w:type="dxa"/>
            <w:gridSpan w:val="2"/>
          </w:tcPr>
          <w:p>
            <w:pPr>
              <w:pStyle w:val="TableParagraph"/>
              <w:rPr>
                <w:rFonts w:ascii="Times New Roman"/>
                <w:sz w:val="10"/>
              </w:rPr>
            </w:pPr>
          </w:p>
        </w:tc>
        <w:tc>
          <w:tcPr>
            <w:tcW w:w="888" w:type="dxa"/>
          </w:tcPr>
          <w:p>
            <w:pPr>
              <w:pStyle w:val="TableParagraph"/>
              <w:spacing w:before="7"/>
              <w:rPr>
                <w:sz w:val="11"/>
              </w:rPr>
            </w:pPr>
          </w:p>
          <w:p>
            <w:pPr>
              <w:pStyle w:val="TableParagraph"/>
              <w:spacing w:line="119" w:lineRule="exact" w:before="1"/>
              <w:ind w:right="97"/>
              <w:jc w:val="right"/>
              <w:rPr>
                <w:b/>
                <w:sz w:val="11"/>
              </w:rPr>
            </w:pPr>
            <w:r>
              <w:rPr>
                <w:b/>
                <w:sz w:val="11"/>
              </w:rPr>
              <w:t>Permanently</w:t>
            </w:r>
          </w:p>
        </w:tc>
        <w:tc>
          <w:tcPr>
            <w:tcW w:w="1151" w:type="dxa"/>
            <w:gridSpan w:val="2"/>
          </w:tcPr>
          <w:p>
            <w:pPr>
              <w:pStyle w:val="TableParagraph"/>
              <w:spacing w:before="7"/>
              <w:ind w:left="254"/>
              <w:rPr>
                <w:b/>
                <w:sz w:val="11"/>
              </w:rPr>
            </w:pPr>
            <w:r>
              <w:rPr>
                <w:b/>
                <w:w w:val="105"/>
                <w:sz w:val="11"/>
              </w:rPr>
              <w:t>2020-21</w:t>
            </w:r>
          </w:p>
        </w:tc>
        <w:tc>
          <w:tcPr>
            <w:tcW w:w="636" w:type="dxa"/>
          </w:tcPr>
          <w:p>
            <w:pPr>
              <w:pStyle w:val="TableParagraph"/>
              <w:rPr>
                <w:rFonts w:ascii="Times New Roman"/>
                <w:sz w:val="10"/>
              </w:rPr>
            </w:pPr>
          </w:p>
        </w:tc>
      </w:tr>
      <w:tr>
        <w:trPr>
          <w:trHeight w:val="146" w:hRule="atLeast"/>
        </w:trPr>
        <w:tc>
          <w:tcPr>
            <w:tcW w:w="3585" w:type="dxa"/>
          </w:tcPr>
          <w:p>
            <w:pPr>
              <w:pStyle w:val="TableParagraph"/>
              <w:rPr>
                <w:rFonts w:ascii="Times New Roman"/>
                <w:sz w:val="8"/>
              </w:rPr>
            </w:pPr>
          </w:p>
        </w:tc>
        <w:tc>
          <w:tcPr>
            <w:tcW w:w="1151" w:type="dxa"/>
          </w:tcPr>
          <w:p>
            <w:pPr>
              <w:pStyle w:val="TableParagraph"/>
              <w:spacing w:line="122" w:lineRule="exact" w:before="4"/>
              <w:ind w:left="463"/>
              <w:rPr>
                <w:b/>
                <w:sz w:val="11"/>
              </w:rPr>
            </w:pPr>
            <w:r>
              <w:rPr>
                <w:b/>
                <w:w w:val="105"/>
                <w:sz w:val="11"/>
              </w:rPr>
              <w:t>employed</w:t>
            </w:r>
          </w:p>
        </w:tc>
        <w:tc>
          <w:tcPr>
            <w:tcW w:w="1138" w:type="dxa"/>
          </w:tcPr>
          <w:p>
            <w:pPr>
              <w:pStyle w:val="TableParagraph"/>
              <w:spacing w:line="122" w:lineRule="exact" w:before="4"/>
              <w:ind w:left="474"/>
              <w:rPr>
                <w:b/>
                <w:sz w:val="11"/>
              </w:rPr>
            </w:pPr>
            <w:r>
              <w:rPr>
                <w:b/>
                <w:w w:val="105"/>
                <w:sz w:val="11"/>
              </w:rPr>
              <w:t>Other</w:t>
            </w:r>
          </w:p>
        </w:tc>
        <w:tc>
          <w:tcPr>
            <w:tcW w:w="1146" w:type="dxa"/>
            <w:gridSpan w:val="2"/>
          </w:tcPr>
          <w:p>
            <w:pPr>
              <w:pStyle w:val="TableParagraph"/>
              <w:spacing w:line="122" w:lineRule="exact" w:before="4"/>
              <w:ind w:left="405" w:right="424"/>
              <w:jc w:val="center"/>
              <w:rPr>
                <w:b/>
                <w:sz w:val="11"/>
              </w:rPr>
            </w:pPr>
            <w:r>
              <w:rPr>
                <w:b/>
                <w:w w:val="105"/>
                <w:sz w:val="11"/>
              </w:rPr>
              <w:t>Total</w:t>
            </w:r>
          </w:p>
        </w:tc>
        <w:tc>
          <w:tcPr>
            <w:tcW w:w="888" w:type="dxa"/>
          </w:tcPr>
          <w:p>
            <w:pPr>
              <w:pStyle w:val="TableParagraph"/>
              <w:spacing w:line="122" w:lineRule="exact" w:before="4"/>
              <w:ind w:left="168"/>
              <w:rPr>
                <w:b/>
                <w:sz w:val="11"/>
              </w:rPr>
            </w:pPr>
            <w:r>
              <w:rPr>
                <w:b/>
                <w:w w:val="105"/>
                <w:sz w:val="11"/>
              </w:rPr>
              <w:t>employed</w:t>
            </w:r>
          </w:p>
        </w:tc>
        <w:tc>
          <w:tcPr>
            <w:tcW w:w="1151" w:type="dxa"/>
            <w:gridSpan w:val="2"/>
          </w:tcPr>
          <w:p>
            <w:pPr>
              <w:pStyle w:val="TableParagraph"/>
              <w:spacing w:line="122" w:lineRule="exact" w:before="4"/>
              <w:ind w:left="307"/>
              <w:rPr>
                <w:b/>
                <w:sz w:val="11"/>
              </w:rPr>
            </w:pPr>
            <w:r>
              <w:rPr>
                <w:b/>
                <w:w w:val="105"/>
                <w:sz w:val="11"/>
              </w:rPr>
              <w:t>Other</w:t>
            </w:r>
          </w:p>
        </w:tc>
        <w:tc>
          <w:tcPr>
            <w:tcW w:w="636" w:type="dxa"/>
          </w:tcPr>
          <w:p>
            <w:pPr>
              <w:pStyle w:val="TableParagraph"/>
              <w:spacing w:line="122" w:lineRule="exact" w:before="4"/>
              <w:ind w:left="87"/>
              <w:rPr>
                <w:b/>
                <w:sz w:val="11"/>
              </w:rPr>
            </w:pPr>
            <w:r>
              <w:rPr>
                <w:b/>
                <w:w w:val="105"/>
                <w:sz w:val="11"/>
              </w:rPr>
              <w:t>Total</w:t>
            </w:r>
          </w:p>
        </w:tc>
      </w:tr>
      <w:tr>
        <w:trPr>
          <w:trHeight w:val="215" w:hRule="atLeast"/>
        </w:trPr>
        <w:tc>
          <w:tcPr>
            <w:tcW w:w="3585" w:type="dxa"/>
          </w:tcPr>
          <w:p>
            <w:pPr>
              <w:pStyle w:val="TableParagraph"/>
              <w:rPr>
                <w:rFonts w:ascii="Times New Roman"/>
                <w:sz w:val="10"/>
              </w:rPr>
            </w:pPr>
          </w:p>
        </w:tc>
        <w:tc>
          <w:tcPr>
            <w:tcW w:w="1151" w:type="dxa"/>
          </w:tcPr>
          <w:p>
            <w:pPr>
              <w:pStyle w:val="TableParagraph"/>
              <w:spacing w:before="7"/>
              <w:ind w:left="519"/>
              <w:rPr>
                <w:b/>
                <w:sz w:val="11"/>
              </w:rPr>
            </w:pPr>
            <w:r>
              <w:rPr>
                <w:b/>
                <w:w w:val="105"/>
                <w:sz w:val="11"/>
              </w:rPr>
              <w:t>Number</w:t>
            </w:r>
          </w:p>
        </w:tc>
        <w:tc>
          <w:tcPr>
            <w:tcW w:w="1138" w:type="dxa"/>
          </w:tcPr>
          <w:p>
            <w:pPr>
              <w:pStyle w:val="TableParagraph"/>
              <w:spacing w:before="7"/>
              <w:ind w:left="416"/>
              <w:rPr>
                <w:b/>
                <w:sz w:val="11"/>
              </w:rPr>
            </w:pPr>
            <w:r>
              <w:rPr>
                <w:b/>
                <w:w w:val="105"/>
                <w:sz w:val="11"/>
              </w:rPr>
              <w:t>Number</w:t>
            </w:r>
          </w:p>
        </w:tc>
        <w:tc>
          <w:tcPr>
            <w:tcW w:w="1146" w:type="dxa"/>
            <w:gridSpan w:val="2"/>
          </w:tcPr>
          <w:p>
            <w:pPr>
              <w:pStyle w:val="TableParagraph"/>
              <w:spacing w:before="7"/>
              <w:ind w:left="351"/>
              <w:rPr>
                <w:b/>
                <w:sz w:val="11"/>
              </w:rPr>
            </w:pPr>
            <w:r>
              <w:rPr>
                <w:b/>
                <w:w w:val="105"/>
                <w:sz w:val="11"/>
              </w:rPr>
              <w:t>Number</w:t>
            </w:r>
          </w:p>
        </w:tc>
        <w:tc>
          <w:tcPr>
            <w:tcW w:w="888" w:type="dxa"/>
          </w:tcPr>
          <w:p>
            <w:pPr>
              <w:pStyle w:val="TableParagraph"/>
              <w:spacing w:before="7"/>
              <w:ind w:left="223"/>
              <w:rPr>
                <w:b/>
                <w:sz w:val="11"/>
              </w:rPr>
            </w:pPr>
            <w:r>
              <w:rPr>
                <w:b/>
                <w:w w:val="105"/>
                <w:sz w:val="11"/>
              </w:rPr>
              <w:t>Number</w:t>
            </w:r>
          </w:p>
        </w:tc>
        <w:tc>
          <w:tcPr>
            <w:tcW w:w="1151" w:type="dxa"/>
            <w:gridSpan w:val="2"/>
          </w:tcPr>
          <w:p>
            <w:pPr>
              <w:pStyle w:val="TableParagraph"/>
              <w:spacing w:before="7"/>
              <w:ind w:left="252"/>
              <w:rPr>
                <w:b/>
                <w:sz w:val="11"/>
              </w:rPr>
            </w:pPr>
            <w:r>
              <w:rPr>
                <w:b/>
                <w:w w:val="105"/>
                <w:sz w:val="11"/>
              </w:rPr>
              <w:t>Number</w:t>
            </w:r>
          </w:p>
        </w:tc>
        <w:tc>
          <w:tcPr>
            <w:tcW w:w="636" w:type="dxa"/>
          </w:tcPr>
          <w:p>
            <w:pPr>
              <w:pStyle w:val="TableParagraph"/>
              <w:spacing w:before="7"/>
              <w:ind w:left="13"/>
              <w:rPr>
                <w:b/>
                <w:sz w:val="11"/>
              </w:rPr>
            </w:pPr>
            <w:r>
              <w:rPr>
                <w:b/>
                <w:w w:val="105"/>
                <w:sz w:val="11"/>
              </w:rPr>
              <w:t>Number</w:t>
            </w:r>
          </w:p>
        </w:tc>
      </w:tr>
      <w:tr>
        <w:trPr>
          <w:trHeight w:val="283" w:hRule="atLeast"/>
        </w:trPr>
        <w:tc>
          <w:tcPr>
            <w:tcW w:w="3585" w:type="dxa"/>
          </w:tcPr>
          <w:p>
            <w:pPr>
              <w:pStyle w:val="TableParagraph"/>
              <w:spacing w:before="74"/>
              <w:ind w:left="28"/>
              <w:rPr>
                <w:b/>
                <w:sz w:val="11"/>
              </w:rPr>
            </w:pPr>
            <w:r>
              <w:rPr>
                <w:b/>
                <w:w w:val="105"/>
                <w:sz w:val="11"/>
              </w:rPr>
              <w:t>Total</w:t>
            </w:r>
          </w:p>
        </w:tc>
        <w:tc>
          <w:tcPr>
            <w:tcW w:w="1151" w:type="dxa"/>
          </w:tcPr>
          <w:p>
            <w:pPr>
              <w:pStyle w:val="TableParagraph"/>
              <w:spacing w:before="74"/>
              <w:ind w:right="-29"/>
              <w:jc w:val="right"/>
              <w:rPr>
                <w:b/>
                <w:sz w:val="11"/>
              </w:rPr>
            </w:pPr>
            <w:r>
              <w:rPr>
                <w:b/>
                <w:sz w:val="11"/>
              </w:rPr>
              <w:t>71.00</w:t>
            </w:r>
          </w:p>
        </w:tc>
        <w:tc>
          <w:tcPr>
            <w:tcW w:w="1138" w:type="dxa"/>
          </w:tcPr>
          <w:p>
            <w:pPr>
              <w:pStyle w:val="TableParagraph"/>
              <w:spacing w:before="74"/>
              <w:ind w:right="66"/>
              <w:jc w:val="right"/>
              <w:rPr>
                <w:b/>
                <w:sz w:val="11"/>
              </w:rPr>
            </w:pPr>
            <w:r>
              <w:rPr>
                <w:b/>
                <w:sz w:val="11"/>
              </w:rPr>
              <w:t>2.41</w:t>
            </w:r>
          </w:p>
        </w:tc>
        <w:tc>
          <w:tcPr>
            <w:tcW w:w="1146" w:type="dxa"/>
            <w:gridSpan w:val="2"/>
          </w:tcPr>
          <w:p>
            <w:pPr>
              <w:pStyle w:val="TableParagraph"/>
              <w:spacing w:before="74"/>
              <w:ind w:left="750"/>
              <w:rPr>
                <w:b/>
                <w:sz w:val="11"/>
              </w:rPr>
            </w:pPr>
            <w:r>
              <w:rPr>
                <w:b/>
                <w:sz w:val="11"/>
              </w:rPr>
              <w:t>73.41</w:t>
            </w:r>
          </w:p>
        </w:tc>
        <w:tc>
          <w:tcPr>
            <w:tcW w:w="888" w:type="dxa"/>
          </w:tcPr>
          <w:p>
            <w:pPr>
              <w:pStyle w:val="TableParagraph"/>
              <w:spacing w:before="74"/>
              <w:ind w:right="62"/>
              <w:jc w:val="right"/>
              <w:rPr>
                <w:b/>
                <w:sz w:val="11"/>
              </w:rPr>
            </w:pPr>
            <w:r>
              <w:rPr>
                <w:b/>
                <w:sz w:val="11"/>
              </w:rPr>
              <w:t>64.57</w:t>
            </w:r>
          </w:p>
        </w:tc>
        <w:tc>
          <w:tcPr>
            <w:tcW w:w="1151" w:type="dxa"/>
            <w:gridSpan w:val="2"/>
          </w:tcPr>
          <w:p>
            <w:pPr>
              <w:pStyle w:val="TableParagraph"/>
              <w:spacing w:before="74"/>
              <w:ind w:left="607"/>
              <w:rPr>
                <w:b/>
                <w:sz w:val="11"/>
              </w:rPr>
            </w:pPr>
            <w:r>
              <w:rPr>
                <w:b/>
                <w:sz w:val="11"/>
              </w:rPr>
              <w:t>0.71</w:t>
            </w:r>
          </w:p>
        </w:tc>
        <w:tc>
          <w:tcPr>
            <w:tcW w:w="636" w:type="dxa"/>
          </w:tcPr>
          <w:p>
            <w:pPr>
              <w:pStyle w:val="TableParagraph"/>
              <w:spacing w:before="74"/>
              <w:ind w:right="18"/>
              <w:jc w:val="right"/>
              <w:rPr>
                <w:b/>
                <w:sz w:val="11"/>
              </w:rPr>
            </w:pPr>
            <w:r>
              <w:rPr>
                <w:b/>
                <w:sz w:val="11"/>
              </w:rPr>
              <w:t>65.28</w:t>
            </w:r>
          </w:p>
        </w:tc>
      </w:tr>
      <w:tr>
        <w:trPr>
          <w:trHeight w:val="344" w:hRule="atLeast"/>
        </w:trPr>
        <w:tc>
          <w:tcPr>
            <w:tcW w:w="3585" w:type="dxa"/>
          </w:tcPr>
          <w:p>
            <w:pPr>
              <w:pStyle w:val="TableParagraph"/>
              <w:spacing w:before="74"/>
              <w:ind w:left="28"/>
              <w:rPr>
                <w:sz w:val="11"/>
              </w:rPr>
            </w:pPr>
            <w:r>
              <w:rPr>
                <w:w w:val="105"/>
                <w:sz w:val="11"/>
              </w:rPr>
              <w:t>Of the above:</w:t>
            </w:r>
          </w:p>
          <w:p>
            <w:pPr>
              <w:pStyle w:val="TableParagraph"/>
              <w:spacing w:line="123" w:lineRule="exact" w:before="1"/>
              <w:ind w:left="28"/>
              <w:rPr>
                <w:b/>
                <w:sz w:val="11"/>
              </w:rPr>
            </w:pPr>
            <w:r>
              <w:rPr>
                <w:b/>
                <w:w w:val="105"/>
                <w:sz w:val="11"/>
              </w:rPr>
              <w:t>Number of whole time equivalent people engaged on capital</w:t>
            </w:r>
          </w:p>
        </w:tc>
        <w:tc>
          <w:tcPr>
            <w:tcW w:w="1151" w:type="dxa"/>
          </w:tcPr>
          <w:p>
            <w:pPr>
              <w:pStyle w:val="TableParagraph"/>
              <w:rPr>
                <w:rFonts w:ascii="Times New Roman"/>
                <w:sz w:val="10"/>
              </w:rPr>
            </w:pPr>
          </w:p>
        </w:tc>
        <w:tc>
          <w:tcPr>
            <w:tcW w:w="1138" w:type="dxa"/>
          </w:tcPr>
          <w:p>
            <w:pPr>
              <w:pStyle w:val="TableParagraph"/>
              <w:rPr>
                <w:rFonts w:ascii="Times New Roman"/>
                <w:sz w:val="10"/>
              </w:rPr>
            </w:pPr>
          </w:p>
        </w:tc>
        <w:tc>
          <w:tcPr>
            <w:tcW w:w="1146" w:type="dxa"/>
            <w:gridSpan w:val="2"/>
          </w:tcPr>
          <w:p>
            <w:pPr>
              <w:pStyle w:val="TableParagraph"/>
              <w:rPr>
                <w:rFonts w:ascii="Times New Roman"/>
                <w:sz w:val="10"/>
              </w:rPr>
            </w:pPr>
          </w:p>
        </w:tc>
        <w:tc>
          <w:tcPr>
            <w:tcW w:w="888" w:type="dxa"/>
          </w:tcPr>
          <w:p>
            <w:pPr>
              <w:pStyle w:val="TableParagraph"/>
              <w:rPr>
                <w:rFonts w:ascii="Times New Roman"/>
                <w:sz w:val="10"/>
              </w:rPr>
            </w:pPr>
          </w:p>
        </w:tc>
        <w:tc>
          <w:tcPr>
            <w:tcW w:w="1151" w:type="dxa"/>
            <w:gridSpan w:val="2"/>
          </w:tcPr>
          <w:p>
            <w:pPr>
              <w:pStyle w:val="TableParagraph"/>
              <w:rPr>
                <w:rFonts w:ascii="Times New Roman"/>
                <w:sz w:val="10"/>
              </w:rPr>
            </w:pPr>
          </w:p>
        </w:tc>
        <w:tc>
          <w:tcPr>
            <w:tcW w:w="636" w:type="dxa"/>
          </w:tcPr>
          <w:p>
            <w:pPr>
              <w:pStyle w:val="TableParagraph"/>
              <w:rPr>
                <w:rFonts w:ascii="Times New Roman"/>
                <w:sz w:val="10"/>
              </w:rPr>
            </w:pPr>
          </w:p>
        </w:tc>
      </w:tr>
      <w:tr>
        <w:trPr>
          <w:trHeight w:val="284" w:hRule="atLeast"/>
        </w:trPr>
        <w:tc>
          <w:tcPr>
            <w:tcW w:w="3585" w:type="dxa"/>
          </w:tcPr>
          <w:p>
            <w:pPr>
              <w:pStyle w:val="TableParagraph"/>
              <w:spacing w:before="8"/>
              <w:ind w:left="28"/>
              <w:rPr>
                <w:b/>
                <w:sz w:val="11"/>
              </w:rPr>
            </w:pPr>
            <w:r>
              <w:rPr>
                <w:b/>
                <w:w w:val="105"/>
                <w:sz w:val="11"/>
              </w:rPr>
              <w:t>projects</w:t>
            </w:r>
          </w:p>
        </w:tc>
        <w:tc>
          <w:tcPr>
            <w:tcW w:w="1151" w:type="dxa"/>
          </w:tcPr>
          <w:p>
            <w:pPr>
              <w:pStyle w:val="TableParagraph"/>
              <w:rPr>
                <w:rFonts w:ascii="Times New Roman"/>
                <w:sz w:val="10"/>
              </w:rPr>
            </w:pPr>
          </w:p>
        </w:tc>
        <w:tc>
          <w:tcPr>
            <w:tcW w:w="4959" w:type="dxa"/>
            <w:gridSpan w:val="7"/>
          </w:tcPr>
          <w:p>
            <w:pPr>
              <w:pStyle w:val="TableParagraph"/>
              <w:tabs>
                <w:tab w:pos="1031" w:val="left" w:leader="none"/>
                <w:tab w:pos="2125" w:val="left" w:leader="none"/>
                <w:tab w:pos="3068" w:val="left" w:leader="none"/>
                <w:tab w:pos="3956" w:val="left" w:leader="none"/>
                <w:tab w:pos="4900" w:val="left" w:leader="none"/>
              </w:tabs>
              <w:spacing w:before="10"/>
              <w:ind w:left="-18"/>
              <w:rPr>
                <w:b/>
                <w:sz w:val="11"/>
              </w:rPr>
            </w:pPr>
            <w:r>
              <w:rPr>
                <w:b/>
                <w:sz w:val="11"/>
              </w:rPr>
              <w:t>-</w:t>
              <w:tab/>
              <w:t>-</w:t>
              <w:tab/>
              <w:t>-</w:t>
              <w:tab/>
              <w:t>-</w:t>
              <w:tab/>
              <w:t>-</w:t>
              <w:tab/>
              <w:t>-</w:t>
            </w:r>
          </w:p>
        </w:tc>
      </w:tr>
      <w:tr>
        <w:trPr>
          <w:trHeight w:val="268" w:hRule="atLeast"/>
        </w:trPr>
        <w:tc>
          <w:tcPr>
            <w:tcW w:w="3585" w:type="dxa"/>
          </w:tcPr>
          <w:p>
            <w:pPr>
              <w:pStyle w:val="TableParagraph"/>
              <w:spacing w:before="1"/>
              <w:rPr>
                <w:sz w:val="12"/>
              </w:rPr>
            </w:pPr>
          </w:p>
          <w:p>
            <w:pPr>
              <w:pStyle w:val="TableParagraph"/>
              <w:spacing w:line="109" w:lineRule="exact"/>
              <w:ind w:left="28"/>
              <w:rPr>
                <w:b/>
                <w:sz w:val="11"/>
              </w:rPr>
            </w:pPr>
            <w:r>
              <w:rPr>
                <w:b/>
                <w:w w:val="105"/>
                <w:sz w:val="11"/>
              </w:rPr>
              <w:t>4.3 Exit packages agreed in the financial year</w:t>
            </w:r>
          </w:p>
        </w:tc>
        <w:tc>
          <w:tcPr>
            <w:tcW w:w="1151" w:type="dxa"/>
          </w:tcPr>
          <w:p>
            <w:pPr>
              <w:pStyle w:val="TableParagraph"/>
              <w:rPr>
                <w:rFonts w:ascii="Times New Roman"/>
                <w:sz w:val="10"/>
              </w:rPr>
            </w:pPr>
          </w:p>
        </w:tc>
        <w:tc>
          <w:tcPr>
            <w:tcW w:w="1138" w:type="dxa"/>
          </w:tcPr>
          <w:p>
            <w:pPr>
              <w:pStyle w:val="TableParagraph"/>
              <w:rPr>
                <w:rFonts w:ascii="Times New Roman"/>
                <w:sz w:val="10"/>
              </w:rPr>
            </w:pPr>
          </w:p>
        </w:tc>
        <w:tc>
          <w:tcPr>
            <w:tcW w:w="1146" w:type="dxa"/>
            <w:gridSpan w:val="2"/>
          </w:tcPr>
          <w:p>
            <w:pPr>
              <w:pStyle w:val="TableParagraph"/>
              <w:rPr>
                <w:rFonts w:ascii="Times New Roman"/>
                <w:sz w:val="10"/>
              </w:rPr>
            </w:pPr>
          </w:p>
        </w:tc>
        <w:tc>
          <w:tcPr>
            <w:tcW w:w="888" w:type="dxa"/>
          </w:tcPr>
          <w:p>
            <w:pPr>
              <w:pStyle w:val="TableParagraph"/>
              <w:rPr>
                <w:rFonts w:ascii="Times New Roman"/>
                <w:sz w:val="10"/>
              </w:rPr>
            </w:pPr>
          </w:p>
        </w:tc>
        <w:tc>
          <w:tcPr>
            <w:tcW w:w="1151" w:type="dxa"/>
            <w:gridSpan w:val="2"/>
          </w:tcPr>
          <w:p>
            <w:pPr>
              <w:pStyle w:val="TableParagraph"/>
              <w:rPr>
                <w:rFonts w:ascii="Times New Roman"/>
                <w:sz w:val="10"/>
              </w:rPr>
            </w:pPr>
          </w:p>
        </w:tc>
        <w:tc>
          <w:tcPr>
            <w:tcW w:w="636" w:type="dxa"/>
          </w:tcPr>
          <w:p>
            <w:pPr>
              <w:pStyle w:val="TableParagraph"/>
              <w:rPr>
                <w:rFonts w:ascii="Times New Roman"/>
                <w:sz w:val="10"/>
              </w:rPr>
            </w:pPr>
          </w:p>
        </w:tc>
      </w:tr>
      <w:tr>
        <w:trPr>
          <w:trHeight w:val="293" w:hRule="atLeast"/>
        </w:trPr>
        <w:tc>
          <w:tcPr>
            <w:tcW w:w="3585" w:type="dxa"/>
          </w:tcPr>
          <w:p>
            <w:pPr>
              <w:pStyle w:val="TableParagraph"/>
              <w:rPr>
                <w:rFonts w:ascii="Times New Roman"/>
                <w:sz w:val="10"/>
              </w:rPr>
            </w:pPr>
          </w:p>
        </w:tc>
        <w:tc>
          <w:tcPr>
            <w:tcW w:w="2289" w:type="dxa"/>
            <w:gridSpan w:val="2"/>
          </w:tcPr>
          <w:p>
            <w:pPr>
              <w:pStyle w:val="TableParagraph"/>
              <w:spacing w:before="7"/>
              <w:rPr>
                <w:sz w:val="13"/>
              </w:rPr>
            </w:pPr>
          </w:p>
          <w:p>
            <w:pPr>
              <w:pStyle w:val="TableParagraph"/>
              <w:spacing w:line="117" w:lineRule="exact"/>
              <w:ind w:left="1031" w:right="794"/>
              <w:jc w:val="center"/>
              <w:rPr>
                <w:b/>
                <w:sz w:val="11"/>
              </w:rPr>
            </w:pPr>
            <w:r>
              <w:rPr>
                <w:b/>
                <w:w w:val="105"/>
                <w:sz w:val="11"/>
              </w:rPr>
              <w:t>2021-22</w:t>
            </w:r>
          </w:p>
        </w:tc>
        <w:tc>
          <w:tcPr>
            <w:tcW w:w="2034" w:type="dxa"/>
            <w:gridSpan w:val="3"/>
          </w:tcPr>
          <w:p>
            <w:pPr>
              <w:pStyle w:val="TableParagraph"/>
              <w:spacing w:before="7"/>
              <w:rPr>
                <w:sz w:val="13"/>
              </w:rPr>
            </w:pPr>
          </w:p>
          <w:p>
            <w:pPr>
              <w:pStyle w:val="TableParagraph"/>
              <w:spacing w:line="117" w:lineRule="exact"/>
              <w:ind w:left="808" w:right="762"/>
              <w:jc w:val="center"/>
              <w:rPr>
                <w:b/>
                <w:sz w:val="11"/>
              </w:rPr>
            </w:pPr>
            <w:r>
              <w:rPr>
                <w:b/>
                <w:w w:val="105"/>
                <w:sz w:val="11"/>
              </w:rPr>
              <w:t>2021-22</w:t>
            </w:r>
          </w:p>
        </w:tc>
        <w:tc>
          <w:tcPr>
            <w:tcW w:w="1787" w:type="dxa"/>
            <w:gridSpan w:val="3"/>
          </w:tcPr>
          <w:p>
            <w:pPr>
              <w:pStyle w:val="TableParagraph"/>
              <w:spacing w:before="7"/>
              <w:rPr>
                <w:sz w:val="13"/>
              </w:rPr>
            </w:pPr>
          </w:p>
          <w:p>
            <w:pPr>
              <w:pStyle w:val="TableParagraph"/>
              <w:spacing w:line="117" w:lineRule="exact"/>
              <w:ind w:left="706" w:right="617"/>
              <w:jc w:val="center"/>
              <w:rPr>
                <w:b/>
                <w:sz w:val="11"/>
              </w:rPr>
            </w:pPr>
            <w:r>
              <w:rPr>
                <w:b/>
                <w:w w:val="105"/>
                <w:sz w:val="11"/>
              </w:rPr>
              <w:t>2021-22</w:t>
            </w:r>
          </w:p>
        </w:tc>
      </w:tr>
      <w:tr>
        <w:trPr>
          <w:trHeight w:val="131" w:hRule="atLeast"/>
        </w:trPr>
        <w:tc>
          <w:tcPr>
            <w:tcW w:w="3585" w:type="dxa"/>
          </w:tcPr>
          <w:p>
            <w:pPr>
              <w:pStyle w:val="TableParagraph"/>
              <w:rPr>
                <w:rFonts w:ascii="Times New Roman"/>
                <w:sz w:val="6"/>
              </w:rPr>
            </w:pPr>
          </w:p>
        </w:tc>
        <w:tc>
          <w:tcPr>
            <w:tcW w:w="2289" w:type="dxa"/>
            <w:gridSpan w:val="2"/>
          </w:tcPr>
          <w:p>
            <w:pPr>
              <w:pStyle w:val="TableParagraph"/>
              <w:spacing w:line="109" w:lineRule="exact" w:before="2"/>
              <w:ind w:left="535"/>
              <w:rPr>
                <w:b/>
                <w:sz w:val="11"/>
              </w:rPr>
            </w:pPr>
            <w:r>
              <w:rPr>
                <w:b/>
                <w:w w:val="105"/>
                <w:sz w:val="11"/>
              </w:rPr>
              <w:t>Compulsory redundancies</w:t>
            </w:r>
          </w:p>
        </w:tc>
        <w:tc>
          <w:tcPr>
            <w:tcW w:w="2034" w:type="dxa"/>
            <w:gridSpan w:val="3"/>
          </w:tcPr>
          <w:p>
            <w:pPr>
              <w:pStyle w:val="TableParagraph"/>
              <w:spacing w:line="109" w:lineRule="exact" w:before="2"/>
              <w:ind w:left="368"/>
              <w:rPr>
                <w:b/>
                <w:sz w:val="11"/>
              </w:rPr>
            </w:pPr>
            <w:r>
              <w:rPr>
                <w:b/>
                <w:w w:val="105"/>
                <w:sz w:val="11"/>
              </w:rPr>
              <w:t>Other agreed departures</w:t>
            </w:r>
          </w:p>
        </w:tc>
        <w:tc>
          <w:tcPr>
            <w:tcW w:w="1787" w:type="dxa"/>
            <w:gridSpan w:val="3"/>
          </w:tcPr>
          <w:p>
            <w:pPr>
              <w:pStyle w:val="TableParagraph"/>
              <w:spacing w:line="109" w:lineRule="exact" w:before="2"/>
              <w:ind w:left="706" w:right="608"/>
              <w:jc w:val="center"/>
              <w:rPr>
                <w:b/>
                <w:sz w:val="11"/>
              </w:rPr>
            </w:pPr>
            <w:r>
              <w:rPr>
                <w:b/>
                <w:w w:val="105"/>
                <w:sz w:val="11"/>
              </w:rPr>
              <w:t>Total</w:t>
            </w:r>
          </w:p>
        </w:tc>
      </w:tr>
      <w:tr>
        <w:trPr>
          <w:trHeight w:val="149" w:hRule="atLeast"/>
        </w:trPr>
        <w:tc>
          <w:tcPr>
            <w:tcW w:w="3585" w:type="dxa"/>
          </w:tcPr>
          <w:p>
            <w:pPr>
              <w:pStyle w:val="TableParagraph"/>
              <w:rPr>
                <w:rFonts w:ascii="Times New Roman"/>
                <w:sz w:val="6"/>
              </w:rPr>
            </w:pPr>
          </w:p>
        </w:tc>
        <w:tc>
          <w:tcPr>
            <w:tcW w:w="1151" w:type="dxa"/>
          </w:tcPr>
          <w:p>
            <w:pPr>
              <w:pStyle w:val="TableParagraph"/>
              <w:spacing w:line="111" w:lineRule="exact"/>
              <w:ind w:left="519"/>
              <w:rPr>
                <w:b/>
                <w:sz w:val="11"/>
              </w:rPr>
            </w:pPr>
            <w:r>
              <w:rPr>
                <w:b/>
                <w:w w:val="105"/>
                <w:sz w:val="11"/>
              </w:rPr>
              <w:t>Number</w:t>
            </w:r>
          </w:p>
        </w:tc>
        <w:tc>
          <w:tcPr>
            <w:tcW w:w="2009" w:type="dxa"/>
            <w:gridSpan w:val="2"/>
          </w:tcPr>
          <w:p>
            <w:pPr>
              <w:pStyle w:val="TableParagraph"/>
              <w:tabs>
                <w:tab w:pos="1489" w:val="left" w:leader="none"/>
              </w:tabs>
              <w:spacing w:line="111" w:lineRule="exact"/>
              <w:ind w:left="604"/>
              <w:rPr>
                <w:b/>
                <w:sz w:val="11"/>
              </w:rPr>
            </w:pPr>
            <w:r>
              <w:rPr>
                <w:b/>
                <w:w w:val="105"/>
                <w:sz w:val="11"/>
              </w:rPr>
              <w:t>£</w:t>
              <w:tab/>
              <w:t>Number</w:t>
            </w:r>
          </w:p>
        </w:tc>
        <w:tc>
          <w:tcPr>
            <w:tcW w:w="275" w:type="dxa"/>
          </w:tcPr>
          <w:p>
            <w:pPr>
              <w:pStyle w:val="TableParagraph"/>
              <w:rPr>
                <w:rFonts w:ascii="Times New Roman"/>
                <w:sz w:val="6"/>
              </w:rPr>
            </w:pPr>
          </w:p>
        </w:tc>
        <w:tc>
          <w:tcPr>
            <w:tcW w:w="888" w:type="dxa"/>
          </w:tcPr>
          <w:p>
            <w:pPr>
              <w:pStyle w:val="TableParagraph"/>
              <w:spacing w:line="111" w:lineRule="exact"/>
              <w:jc w:val="center"/>
              <w:rPr>
                <w:b/>
                <w:sz w:val="11"/>
              </w:rPr>
            </w:pPr>
            <w:r>
              <w:rPr>
                <w:b/>
                <w:w w:val="104"/>
                <w:sz w:val="11"/>
              </w:rPr>
              <w:t>£</w:t>
            </w:r>
          </w:p>
        </w:tc>
        <w:tc>
          <w:tcPr>
            <w:tcW w:w="716" w:type="dxa"/>
          </w:tcPr>
          <w:p>
            <w:pPr>
              <w:pStyle w:val="TableParagraph"/>
              <w:spacing w:line="111" w:lineRule="exact"/>
              <w:ind w:left="252"/>
              <w:rPr>
                <w:b/>
                <w:sz w:val="11"/>
              </w:rPr>
            </w:pPr>
            <w:r>
              <w:rPr>
                <w:b/>
                <w:w w:val="105"/>
                <w:sz w:val="11"/>
              </w:rPr>
              <w:t>Number</w:t>
            </w:r>
          </w:p>
        </w:tc>
        <w:tc>
          <w:tcPr>
            <w:tcW w:w="435" w:type="dxa"/>
          </w:tcPr>
          <w:p>
            <w:pPr>
              <w:pStyle w:val="TableParagraph"/>
              <w:rPr>
                <w:rFonts w:ascii="Times New Roman"/>
                <w:sz w:val="6"/>
              </w:rPr>
            </w:pPr>
          </w:p>
        </w:tc>
        <w:tc>
          <w:tcPr>
            <w:tcW w:w="636" w:type="dxa"/>
          </w:tcPr>
          <w:p>
            <w:pPr>
              <w:pStyle w:val="TableParagraph"/>
              <w:spacing w:line="111" w:lineRule="exact"/>
              <w:ind w:left="200"/>
              <w:rPr>
                <w:b/>
                <w:sz w:val="11"/>
              </w:rPr>
            </w:pPr>
            <w:r>
              <w:rPr>
                <w:b/>
                <w:w w:val="104"/>
                <w:sz w:val="11"/>
              </w:rPr>
              <w:t>£</w:t>
            </w:r>
          </w:p>
        </w:tc>
      </w:tr>
      <w:tr>
        <w:trPr>
          <w:trHeight w:val="140" w:hRule="atLeast"/>
        </w:trPr>
        <w:tc>
          <w:tcPr>
            <w:tcW w:w="3585" w:type="dxa"/>
          </w:tcPr>
          <w:p>
            <w:pPr>
              <w:pStyle w:val="TableParagraph"/>
              <w:spacing w:line="118" w:lineRule="exact" w:before="2"/>
              <w:ind w:left="28"/>
              <w:rPr>
                <w:sz w:val="11"/>
              </w:rPr>
            </w:pPr>
            <w:r>
              <w:rPr>
                <w:w w:val="105"/>
                <w:sz w:val="11"/>
              </w:rPr>
              <w:t>Less than £10,000</w:t>
            </w:r>
          </w:p>
        </w:tc>
        <w:tc>
          <w:tcPr>
            <w:tcW w:w="1151" w:type="dxa"/>
          </w:tcPr>
          <w:p>
            <w:pPr>
              <w:pStyle w:val="TableParagraph"/>
              <w:spacing w:line="118" w:lineRule="exact" w:before="2"/>
              <w:ind w:right="-29"/>
              <w:jc w:val="right"/>
              <w:rPr>
                <w:sz w:val="11"/>
              </w:rPr>
            </w:pPr>
            <w:r>
              <w:rPr>
                <w:w w:val="105"/>
                <w:sz w:val="11"/>
              </w:rPr>
              <w:t>-</w:t>
            </w:r>
          </w:p>
        </w:tc>
        <w:tc>
          <w:tcPr>
            <w:tcW w:w="2009" w:type="dxa"/>
            <w:gridSpan w:val="2"/>
          </w:tcPr>
          <w:p>
            <w:pPr>
              <w:pStyle w:val="TableParagraph"/>
              <w:spacing w:line="118" w:lineRule="exact" w:before="2"/>
              <w:ind w:left="87"/>
              <w:jc w:val="center"/>
              <w:rPr>
                <w:sz w:val="11"/>
              </w:rPr>
            </w:pPr>
            <w:r>
              <w:rPr>
                <w:w w:val="105"/>
                <w:sz w:val="11"/>
              </w:rPr>
              <w:t>-</w:t>
            </w:r>
          </w:p>
        </w:tc>
        <w:tc>
          <w:tcPr>
            <w:tcW w:w="275" w:type="dxa"/>
          </w:tcPr>
          <w:p>
            <w:pPr>
              <w:pStyle w:val="TableParagraph"/>
              <w:spacing w:line="118" w:lineRule="exact" w:before="2"/>
              <w:ind w:left="87"/>
              <w:rPr>
                <w:sz w:val="11"/>
              </w:rPr>
            </w:pPr>
            <w:r>
              <w:rPr>
                <w:w w:val="105"/>
                <w:sz w:val="11"/>
              </w:rPr>
              <w:t>1</w:t>
            </w:r>
          </w:p>
        </w:tc>
        <w:tc>
          <w:tcPr>
            <w:tcW w:w="888" w:type="dxa"/>
          </w:tcPr>
          <w:p>
            <w:pPr>
              <w:pStyle w:val="TableParagraph"/>
              <w:spacing w:line="118" w:lineRule="exact" w:before="2"/>
              <w:ind w:right="65"/>
              <w:jc w:val="right"/>
              <w:rPr>
                <w:sz w:val="11"/>
              </w:rPr>
            </w:pPr>
            <w:r>
              <w:rPr>
                <w:w w:val="105"/>
                <w:sz w:val="11"/>
              </w:rPr>
              <w:t>2,833</w:t>
            </w:r>
          </w:p>
        </w:tc>
        <w:tc>
          <w:tcPr>
            <w:tcW w:w="716" w:type="dxa"/>
          </w:tcPr>
          <w:p>
            <w:pPr>
              <w:pStyle w:val="TableParagraph"/>
              <w:rPr>
                <w:rFonts w:ascii="Times New Roman"/>
                <w:sz w:val="8"/>
              </w:rPr>
            </w:pPr>
          </w:p>
        </w:tc>
        <w:tc>
          <w:tcPr>
            <w:tcW w:w="435" w:type="dxa"/>
          </w:tcPr>
          <w:p>
            <w:pPr>
              <w:pStyle w:val="TableParagraph"/>
              <w:spacing w:line="118" w:lineRule="exact" w:before="2"/>
              <w:ind w:left="40"/>
              <w:rPr>
                <w:sz w:val="11"/>
              </w:rPr>
            </w:pPr>
            <w:r>
              <w:rPr>
                <w:w w:val="105"/>
                <w:sz w:val="11"/>
              </w:rPr>
              <w:t>1</w:t>
            </w:r>
          </w:p>
        </w:tc>
        <w:tc>
          <w:tcPr>
            <w:tcW w:w="636" w:type="dxa"/>
          </w:tcPr>
          <w:p>
            <w:pPr>
              <w:pStyle w:val="TableParagraph"/>
              <w:spacing w:line="118" w:lineRule="exact" w:before="2"/>
              <w:ind w:right="23"/>
              <w:jc w:val="right"/>
              <w:rPr>
                <w:sz w:val="11"/>
              </w:rPr>
            </w:pPr>
            <w:r>
              <w:rPr>
                <w:w w:val="105"/>
                <w:sz w:val="11"/>
              </w:rPr>
              <w:t>2,833</w:t>
            </w:r>
          </w:p>
        </w:tc>
      </w:tr>
      <w:tr>
        <w:trPr>
          <w:trHeight w:val="141" w:hRule="atLeast"/>
        </w:trPr>
        <w:tc>
          <w:tcPr>
            <w:tcW w:w="3585" w:type="dxa"/>
          </w:tcPr>
          <w:p>
            <w:pPr>
              <w:pStyle w:val="TableParagraph"/>
              <w:spacing w:line="118" w:lineRule="exact" w:before="3"/>
              <w:ind w:left="28"/>
              <w:rPr>
                <w:sz w:val="11"/>
              </w:rPr>
            </w:pPr>
            <w:r>
              <w:rPr>
                <w:w w:val="105"/>
                <w:sz w:val="11"/>
              </w:rPr>
              <w:t>£10,001 to £25,000</w:t>
            </w:r>
          </w:p>
        </w:tc>
        <w:tc>
          <w:tcPr>
            <w:tcW w:w="1151" w:type="dxa"/>
          </w:tcPr>
          <w:p>
            <w:pPr>
              <w:pStyle w:val="TableParagraph"/>
              <w:spacing w:line="118" w:lineRule="exact" w:before="3"/>
              <w:ind w:right="-29"/>
              <w:jc w:val="right"/>
              <w:rPr>
                <w:sz w:val="11"/>
              </w:rPr>
            </w:pPr>
            <w:r>
              <w:rPr>
                <w:w w:val="105"/>
                <w:sz w:val="11"/>
              </w:rPr>
              <w:t>-</w:t>
            </w:r>
          </w:p>
        </w:tc>
        <w:tc>
          <w:tcPr>
            <w:tcW w:w="2009" w:type="dxa"/>
            <w:gridSpan w:val="2"/>
          </w:tcPr>
          <w:p>
            <w:pPr>
              <w:pStyle w:val="TableParagraph"/>
              <w:spacing w:line="118" w:lineRule="exact" w:before="3"/>
              <w:ind w:left="87"/>
              <w:jc w:val="center"/>
              <w:rPr>
                <w:sz w:val="11"/>
              </w:rPr>
            </w:pPr>
            <w:r>
              <w:rPr>
                <w:w w:val="105"/>
                <w:sz w:val="11"/>
              </w:rPr>
              <w:t>-</w:t>
            </w:r>
          </w:p>
        </w:tc>
        <w:tc>
          <w:tcPr>
            <w:tcW w:w="275" w:type="dxa"/>
          </w:tcPr>
          <w:p>
            <w:pPr>
              <w:pStyle w:val="TableParagraph"/>
              <w:spacing w:line="118" w:lineRule="exact" w:before="3"/>
              <w:ind w:left="114"/>
              <w:rPr>
                <w:sz w:val="11"/>
              </w:rPr>
            </w:pPr>
            <w:r>
              <w:rPr>
                <w:w w:val="105"/>
                <w:sz w:val="11"/>
              </w:rPr>
              <w:t>-</w:t>
            </w:r>
          </w:p>
        </w:tc>
        <w:tc>
          <w:tcPr>
            <w:tcW w:w="888" w:type="dxa"/>
          </w:tcPr>
          <w:p>
            <w:pPr>
              <w:pStyle w:val="TableParagraph"/>
              <w:spacing w:line="118" w:lineRule="exact" w:before="3"/>
              <w:ind w:right="64"/>
              <w:jc w:val="right"/>
              <w:rPr>
                <w:sz w:val="11"/>
              </w:rPr>
            </w:pPr>
            <w:r>
              <w:rPr>
                <w:w w:val="105"/>
                <w:sz w:val="11"/>
              </w:rPr>
              <w:t>-</w:t>
            </w:r>
          </w:p>
        </w:tc>
        <w:tc>
          <w:tcPr>
            <w:tcW w:w="716" w:type="dxa"/>
          </w:tcPr>
          <w:p>
            <w:pPr>
              <w:pStyle w:val="TableParagraph"/>
              <w:rPr>
                <w:rFonts w:ascii="Times New Roman"/>
                <w:sz w:val="8"/>
              </w:rPr>
            </w:pPr>
          </w:p>
        </w:tc>
        <w:tc>
          <w:tcPr>
            <w:tcW w:w="435" w:type="dxa"/>
          </w:tcPr>
          <w:p>
            <w:pPr>
              <w:pStyle w:val="TableParagraph"/>
              <w:spacing w:line="118" w:lineRule="exact" w:before="3"/>
              <w:ind w:left="66"/>
              <w:rPr>
                <w:sz w:val="11"/>
              </w:rPr>
            </w:pPr>
            <w:r>
              <w:rPr>
                <w:w w:val="105"/>
                <w:sz w:val="11"/>
              </w:rPr>
              <w:t>-</w:t>
            </w:r>
          </w:p>
        </w:tc>
        <w:tc>
          <w:tcPr>
            <w:tcW w:w="636" w:type="dxa"/>
          </w:tcPr>
          <w:p>
            <w:pPr>
              <w:pStyle w:val="TableParagraph"/>
              <w:spacing w:line="118" w:lineRule="exact" w:before="3"/>
              <w:ind w:right="20"/>
              <w:jc w:val="right"/>
              <w:rPr>
                <w:sz w:val="11"/>
              </w:rPr>
            </w:pPr>
            <w:r>
              <w:rPr>
                <w:w w:val="105"/>
                <w:sz w:val="11"/>
              </w:rPr>
              <w:t>-</w:t>
            </w:r>
          </w:p>
        </w:tc>
      </w:tr>
      <w:tr>
        <w:trPr>
          <w:trHeight w:val="141" w:hRule="atLeast"/>
        </w:trPr>
        <w:tc>
          <w:tcPr>
            <w:tcW w:w="3585" w:type="dxa"/>
          </w:tcPr>
          <w:p>
            <w:pPr>
              <w:pStyle w:val="TableParagraph"/>
              <w:spacing w:line="118" w:lineRule="exact" w:before="3"/>
              <w:ind w:left="28"/>
              <w:rPr>
                <w:sz w:val="11"/>
              </w:rPr>
            </w:pPr>
            <w:r>
              <w:rPr>
                <w:w w:val="105"/>
                <w:sz w:val="11"/>
              </w:rPr>
              <w:t>£25,001 to £50,000</w:t>
            </w:r>
          </w:p>
        </w:tc>
        <w:tc>
          <w:tcPr>
            <w:tcW w:w="1151" w:type="dxa"/>
          </w:tcPr>
          <w:p>
            <w:pPr>
              <w:pStyle w:val="TableParagraph"/>
              <w:spacing w:line="118" w:lineRule="exact" w:before="3"/>
              <w:ind w:right="-29"/>
              <w:jc w:val="right"/>
              <w:rPr>
                <w:sz w:val="11"/>
              </w:rPr>
            </w:pPr>
            <w:r>
              <w:rPr>
                <w:w w:val="105"/>
                <w:sz w:val="11"/>
              </w:rPr>
              <w:t>-</w:t>
            </w:r>
          </w:p>
        </w:tc>
        <w:tc>
          <w:tcPr>
            <w:tcW w:w="2009" w:type="dxa"/>
            <w:gridSpan w:val="2"/>
          </w:tcPr>
          <w:p>
            <w:pPr>
              <w:pStyle w:val="TableParagraph"/>
              <w:spacing w:line="118" w:lineRule="exact" w:before="3"/>
              <w:ind w:left="87"/>
              <w:jc w:val="center"/>
              <w:rPr>
                <w:sz w:val="11"/>
              </w:rPr>
            </w:pPr>
            <w:r>
              <w:rPr>
                <w:w w:val="105"/>
                <w:sz w:val="11"/>
              </w:rPr>
              <w:t>-</w:t>
            </w:r>
          </w:p>
        </w:tc>
        <w:tc>
          <w:tcPr>
            <w:tcW w:w="275" w:type="dxa"/>
          </w:tcPr>
          <w:p>
            <w:pPr>
              <w:pStyle w:val="TableParagraph"/>
              <w:spacing w:line="118" w:lineRule="exact" w:before="3"/>
              <w:ind w:left="114"/>
              <w:rPr>
                <w:sz w:val="11"/>
              </w:rPr>
            </w:pPr>
            <w:r>
              <w:rPr>
                <w:w w:val="105"/>
                <w:sz w:val="11"/>
              </w:rPr>
              <w:t>-</w:t>
            </w:r>
          </w:p>
        </w:tc>
        <w:tc>
          <w:tcPr>
            <w:tcW w:w="888" w:type="dxa"/>
          </w:tcPr>
          <w:p>
            <w:pPr>
              <w:pStyle w:val="TableParagraph"/>
              <w:spacing w:line="118" w:lineRule="exact" w:before="3"/>
              <w:ind w:right="64"/>
              <w:jc w:val="right"/>
              <w:rPr>
                <w:sz w:val="11"/>
              </w:rPr>
            </w:pPr>
            <w:r>
              <w:rPr>
                <w:w w:val="105"/>
                <w:sz w:val="11"/>
              </w:rPr>
              <w:t>-</w:t>
            </w:r>
          </w:p>
        </w:tc>
        <w:tc>
          <w:tcPr>
            <w:tcW w:w="716" w:type="dxa"/>
          </w:tcPr>
          <w:p>
            <w:pPr>
              <w:pStyle w:val="TableParagraph"/>
              <w:rPr>
                <w:rFonts w:ascii="Times New Roman"/>
                <w:sz w:val="8"/>
              </w:rPr>
            </w:pPr>
          </w:p>
        </w:tc>
        <w:tc>
          <w:tcPr>
            <w:tcW w:w="435" w:type="dxa"/>
          </w:tcPr>
          <w:p>
            <w:pPr>
              <w:pStyle w:val="TableParagraph"/>
              <w:spacing w:line="118" w:lineRule="exact" w:before="3"/>
              <w:ind w:left="66"/>
              <w:rPr>
                <w:sz w:val="11"/>
              </w:rPr>
            </w:pPr>
            <w:r>
              <w:rPr>
                <w:w w:val="105"/>
                <w:sz w:val="11"/>
              </w:rPr>
              <w:t>-</w:t>
            </w:r>
          </w:p>
        </w:tc>
        <w:tc>
          <w:tcPr>
            <w:tcW w:w="636" w:type="dxa"/>
          </w:tcPr>
          <w:p>
            <w:pPr>
              <w:pStyle w:val="TableParagraph"/>
              <w:spacing w:line="118" w:lineRule="exact" w:before="3"/>
              <w:ind w:right="20"/>
              <w:jc w:val="right"/>
              <w:rPr>
                <w:sz w:val="11"/>
              </w:rPr>
            </w:pPr>
            <w:r>
              <w:rPr>
                <w:w w:val="105"/>
                <w:sz w:val="11"/>
              </w:rPr>
              <w:t>-</w:t>
            </w:r>
          </w:p>
        </w:tc>
      </w:tr>
      <w:tr>
        <w:trPr>
          <w:trHeight w:val="141" w:hRule="atLeast"/>
        </w:trPr>
        <w:tc>
          <w:tcPr>
            <w:tcW w:w="3585" w:type="dxa"/>
          </w:tcPr>
          <w:p>
            <w:pPr>
              <w:pStyle w:val="TableParagraph"/>
              <w:spacing w:line="118" w:lineRule="exact" w:before="3"/>
              <w:ind w:left="28"/>
              <w:rPr>
                <w:sz w:val="11"/>
              </w:rPr>
            </w:pPr>
            <w:r>
              <w:rPr>
                <w:w w:val="105"/>
                <w:sz w:val="11"/>
              </w:rPr>
              <w:t>£50,001 to £100,000</w:t>
            </w:r>
          </w:p>
        </w:tc>
        <w:tc>
          <w:tcPr>
            <w:tcW w:w="1151" w:type="dxa"/>
          </w:tcPr>
          <w:p>
            <w:pPr>
              <w:pStyle w:val="TableParagraph"/>
              <w:spacing w:line="118" w:lineRule="exact" w:before="3"/>
              <w:ind w:right="-29"/>
              <w:jc w:val="right"/>
              <w:rPr>
                <w:sz w:val="11"/>
              </w:rPr>
            </w:pPr>
            <w:r>
              <w:rPr>
                <w:w w:val="105"/>
                <w:sz w:val="11"/>
              </w:rPr>
              <w:t>-</w:t>
            </w:r>
          </w:p>
        </w:tc>
        <w:tc>
          <w:tcPr>
            <w:tcW w:w="2009" w:type="dxa"/>
            <w:gridSpan w:val="2"/>
          </w:tcPr>
          <w:p>
            <w:pPr>
              <w:pStyle w:val="TableParagraph"/>
              <w:spacing w:line="118" w:lineRule="exact" w:before="3"/>
              <w:ind w:left="87"/>
              <w:jc w:val="center"/>
              <w:rPr>
                <w:sz w:val="11"/>
              </w:rPr>
            </w:pPr>
            <w:r>
              <w:rPr>
                <w:w w:val="105"/>
                <w:sz w:val="11"/>
              </w:rPr>
              <w:t>-</w:t>
            </w:r>
          </w:p>
        </w:tc>
        <w:tc>
          <w:tcPr>
            <w:tcW w:w="275" w:type="dxa"/>
          </w:tcPr>
          <w:p>
            <w:pPr>
              <w:pStyle w:val="TableParagraph"/>
              <w:spacing w:line="118" w:lineRule="exact" w:before="3"/>
              <w:ind w:left="114"/>
              <w:rPr>
                <w:sz w:val="11"/>
              </w:rPr>
            </w:pPr>
            <w:r>
              <w:rPr>
                <w:w w:val="105"/>
                <w:sz w:val="11"/>
              </w:rPr>
              <w:t>-</w:t>
            </w:r>
          </w:p>
        </w:tc>
        <w:tc>
          <w:tcPr>
            <w:tcW w:w="888" w:type="dxa"/>
          </w:tcPr>
          <w:p>
            <w:pPr>
              <w:pStyle w:val="TableParagraph"/>
              <w:spacing w:line="118" w:lineRule="exact" w:before="3"/>
              <w:ind w:right="64"/>
              <w:jc w:val="right"/>
              <w:rPr>
                <w:sz w:val="11"/>
              </w:rPr>
            </w:pPr>
            <w:r>
              <w:rPr>
                <w:w w:val="105"/>
                <w:sz w:val="11"/>
              </w:rPr>
              <w:t>-</w:t>
            </w:r>
          </w:p>
        </w:tc>
        <w:tc>
          <w:tcPr>
            <w:tcW w:w="716" w:type="dxa"/>
          </w:tcPr>
          <w:p>
            <w:pPr>
              <w:pStyle w:val="TableParagraph"/>
              <w:rPr>
                <w:rFonts w:ascii="Times New Roman"/>
                <w:sz w:val="8"/>
              </w:rPr>
            </w:pPr>
          </w:p>
        </w:tc>
        <w:tc>
          <w:tcPr>
            <w:tcW w:w="435" w:type="dxa"/>
          </w:tcPr>
          <w:p>
            <w:pPr>
              <w:pStyle w:val="TableParagraph"/>
              <w:spacing w:line="118" w:lineRule="exact" w:before="3"/>
              <w:ind w:left="66"/>
              <w:rPr>
                <w:sz w:val="11"/>
              </w:rPr>
            </w:pPr>
            <w:r>
              <w:rPr>
                <w:w w:val="105"/>
                <w:sz w:val="11"/>
              </w:rPr>
              <w:t>-</w:t>
            </w:r>
          </w:p>
        </w:tc>
        <w:tc>
          <w:tcPr>
            <w:tcW w:w="636" w:type="dxa"/>
          </w:tcPr>
          <w:p>
            <w:pPr>
              <w:pStyle w:val="TableParagraph"/>
              <w:spacing w:line="118" w:lineRule="exact" w:before="3"/>
              <w:ind w:right="20"/>
              <w:jc w:val="right"/>
              <w:rPr>
                <w:sz w:val="11"/>
              </w:rPr>
            </w:pPr>
            <w:r>
              <w:rPr>
                <w:w w:val="105"/>
                <w:sz w:val="11"/>
              </w:rPr>
              <w:t>-</w:t>
            </w:r>
          </w:p>
        </w:tc>
      </w:tr>
      <w:tr>
        <w:trPr>
          <w:trHeight w:val="140" w:hRule="atLeast"/>
        </w:trPr>
        <w:tc>
          <w:tcPr>
            <w:tcW w:w="3585" w:type="dxa"/>
          </w:tcPr>
          <w:p>
            <w:pPr>
              <w:pStyle w:val="TableParagraph"/>
              <w:spacing w:line="117" w:lineRule="exact" w:before="3"/>
              <w:ind w:left="28"/>
              <w:rPr>
                <w:sz w:val="11"/>
              </w:rPr>
            </w:pPr>
            <w:r>
              <w:rPr>
                <w:w w:val="105"/>
                <w:sz w:val="11"/>
              </w:rPr>
              <w:t>£100,001 to £150,000</w:t>
            </w:r>
          </w:p>
        </w:tc>
        <w:tc>
          <w:tcPr>
            <w:tcW w:w="1151" w:type="dxa"/>
          </w:tcPr>
          <w:p>
            <w:pPr>
              <w:pStyle w:val="TableParagraph"/>
              <w:spacing w:line="117" w:lineRule="exact" w:before="3"/>
              <w:ind w:right="-29"/>
              <w:jc w:val="right"/>
              <w:rPr>
                <w:sz w:val="11"/>
              </w:rPr>
            </w:pPr>
            <w:r>
              <w:rPr>
                <w:w w:val="105"/>
                <w:sz w:val="11"/>
              </w:rPr>
              <w:t>-</w:t>
            </w:r>
          </w:p>
        </w:tc>
        <w:tc>
          <w:tcPr>
            <w:tcW w:w="2009" w:type="dxa"/>
            <w:gridSpan w:val="2"/>
          </w:tcPr>
          <w:p>
            <w:pPr>
              <w:pStyle w:val="TableParagraph"/>
              <w:spacing w:line="117" w:lineRule="exact" w:before="3"/>
              <w:ind w:left="87"/>
              <w:jc w:val="center"/>
              <w:rPr>
                <w:sz w:val="11"/>
              </w:rPr>
            </w:pPr>
            <w:r>
              <w:rPr>
                <w:w w:val="105"/>
                <w:sz w:val="11"/>
              </w:rPr>
              <w:t>-</w:t>
            </w:r>
          </w:p>
        </w:tc>
        <w:tc>
          <w:tcPr>
            <w:tcW w:w="275" w:type="dxa"/>
          </w:tcPr>
          <w:p>
            <w:pPr>
              <w:pStyle w:val="TableParagraph"/>
              <w:spacing w:line="117" w:lineRule="exact" w:before="3"/>
              <w:ind w:left="114"/>
              <w:rPr>
                <w:sz w:val="11"/>
              </w:rPr>
            </w:pPr>
            <w:r>
              <w:rPr>
                <w:w w:val="105"/>
                <w:sz w:val="11"/>
              </w:rPr>
              <w:t>-</w:t>
            </w:r>
          </w:p>
        </w:tc>
        <w:tc>
          <w:tcPr>
            <w:tcW w:w="888" w:type="dxa"/>
          </w:tcPr>
          <w:p>
            <w:pPr>
              <w:pStyle w:val="TableParagraph"/>
              <w:spacing w:line="117" w:lineRule="exact" w:before="3"/>
              <w:ind w:right="64"/>
              <w:jc w:val="right"/>
              <w:rPr>
                <w:sz w:val="11"/>
              </w:rPr>
            </w:pPr>
            <w:r>
              <w:rPr>
                <w:w w:val="105"/>
                <w:sz w:val="11"/>
              </w:rPr>
              <w:t>-</w:t>
            </w:r>
          </w:p>
        </w:tc>
        <w:tc>
          <w:tcPr>
            <w:tcW w:w="716" w:type="dxa"/>
          </w:tcPr>
          <w:p>
            <w:pPr>
              <w:pStyle w:val="TableParagraph"/>
              <w:rPr>
                <w:rFonts w:ascii="Times New Roman"/>
                <w:sz w:val="8"/>
              </w:rPr>
            </w:pPr>
          </w:p>
        </w:tc>
        <w:tc>
          <w:tcPr>
            <w:tcW w:w="435" w:type="dxa"/>
          </w:tcPr>
          <w:p>
            <w:pPr>
              <w:pStyle w:val="TableParagraph"/>
              <w:spacing w:line="117" w:lineRule="exact" w:before="3"/>
              <w:ind w:left="66"/>
              <w:rPr>
                <w:sz w:val="11"/>
              </w:rPr>
            </w:pPr>
            <w:r>
              <w:rPr>
                <w:w w:val="105"/>
                <w:sz w:val="11"/>
              </w:rPr>
              <w:t>-</w:t>
            </w:r>
          </w:p>
        </w:tc>
        <w:tc>
          <w:tcPr>
            <w:tcW w:w="636" w:type="dxa"/>
          </w:tcPr>
          <w:p>
            <w:pPr>
              <w:pStyle w:val="TableParagraph"/>
              <w:spacing w:line="117" w:lineRule="exact" w:before="3"/>
              <w:ind w:right="20"/>
              <w:jc w:val="right"/>
              <w:rPr>
                <w:sz w:val="11"/>
              </w:rPr>
            </w:pPr>
            <w:r>
              <w:rPr>
                <w:w w:val="105"/>
                <w:sz w:val="11"/>
              </w:rPr>
              <w:t>-</w:t>
            </w:r>
          </w:p>
        </w:tc>
      </w:tr>
      <w:tr>
        <w:trPr>
          <w:trHeight w:val="131" w:hRule="atLeast"/>
        </w:trPr>
        <w:tc>
          <w:tcPr>
            <w:tcW w:w="3585" w:type="dxa"/>
          </w:tcPr>
          <w:p>
            <w:pPr>
              <w:pStyle w:val="TableParagraph"/>
              <w:spacing w:line="109" w:lineRule="exact" w:before="2"/>
              <w:ind w:left="28"/>
              <w:rPr>
                <w:sz w:val="11"/>
              </w:rPr>
            </w:pPr>
            <w:r>
              <w:rPr>
                <w:w w:val="105"/>
                <w:sz w:val="11"/>
              </w:rPr>
              <w:t>£150,001 to £200,000</w:t>
            </w:r>
          </w:p>
        </w:tc>
        <w:tc>
          <w:tcPr>
            <w:tcW w:w="1151" w:type="dxa"/>
          </w:tcPr>
          <w:p>
            <w:pPr>
              <w:pStyle w:val="TableParagraph"/>
              <w:spacing w:line="109" w:lineRule="exact" w:before="2"/>
              <w:ind w:right="-29"/>
              <w:jc w:val="right"/>
              <w:rPr>
                <w:sz w:val="11"/>
              </w:rPr>
            </w:pPr>
            <w:r>
              <w:rPr>
                <w:w w:val="105"/>
                <w:sz w:val="11"/>
              </w:rPr>
              <w:t>-</w:t>
            </w:r>
          </w:p>
        </w:tc>
        <w:tc>
          <w:tcPr>
            <w:tcW w:w="2009" w:type="dxa"/>
            <w:gridSpan w:val="2"/>
          </w:tcPr>
          <w:p>
            <w:pPr>
              <w:pStyle w:val="TableParagraph"/>
              <w:spacing w:line="109" w:lineRule="exact" w:before="2"/>
              <w:ind w:left="87"/>
              <w:jc w:val="center"/>
              <w:rPr>
                <w:sz w:val="11"/>
              </w:rPr>
            </w:pPr>
            <w:r>
              <w:rPr>
                <w:w w:val="105"/>
                <w:sz w:val="11"/>
              </w:rPr>
              <w:t>-</w:t>
            </w:r>
          </w:p>
        </w:tc>
        <w:tc>
          <w:tcPr>
            <w:tcW w:w="275" w:type="dxa"/>
          </w:tcPr>
          <w:p>
            <w:pPr>
              <w:pStyle w:val="TableParagraph"/>
              <w:spacing w:line="109" w:lineRule="exact" w:before="2"/>
              <w:ind w:left="114"/>
              <w:rPr>
                <w:sz w:val="11"/>
              </w:rPr>
            </w:pPr>
            <w:r>
              <w:rPr>
                <w:w w:val="105"/>
                <w:sz w:val="11"/>
              </w:rPr>
              <w:t>-</w:t>
            </w:r>
          </w:p>
        </w:tc>
        <w:tc>
          <w:tcPr>
            <w:tcW w:w="888" w:type="dxa"/>
          </w:tcPr>
          <w:p>
            <w:pPr>
              <w:pStyle w:val="TableParagraph"/>
              <w:spacing w:line="109" w:lineRule="exact" w:before="2"/>
              <w:ind w:right="64"/>
              <w:jc w:val="right"/>
              <w:rPr>
                <w:sz w:val="11"/>
              </w:rPr>
            </w:pPr>
            <w:r>
              <w:rPr>
                <w:w w:val="105"/>
                <w:sz w:val="11"/>
              </w:rPr>
              <w:t>-</w:t>
            </w:r>
          </w:p>
        </w:tc>
        <w:tc>
          <w:tcPr>
            <w:tcW w:w="716" w:type="dxa"/>
          </w:tcPr>
          <w:p>
            <w:pPr>
              <w:pStyle w:val="TableParagraph"/>
              <w:rPr>
                <w:rFonts w:ascii="Times New Roman"/>
                <w:sz w:val="6"/>
              </w:rPr>
            </w:pPr>
          </w:p>
        </w:tc>
        <w:tc>
          <w:tcPr>
            <w:tcW w:w="435" w:type="dxa"/>
          </w:tcPr>
          <w:p>
            <w:pPr>
              <w:pStyle w:val="TableParagraph"/>
              <w:spacing w:line="109" w:lineRule="exact" w:before="2"/>
              <w:ind w:left="66"/>
              <w:rPr>
                <w:sz w:val="11"/>
              </w:rPr>
            </w:pPr>
            <w:r>
              <w:rPr>
                <w:w w:val="105"/>
                <w:sz w:val="11"/>
              </w:rPr>
              <w:t>-</w:t>
            </w:r>
          </w:p>
        </w:tc>
        <w:tc>
          <w:tcPr>
            <w:tcW w:w="636" w:type="dxa"/>
          </w:tcPr>
          <w:p>
            <w:pPr>
              <w:pStyle w:val="TableParagraph"/>
              <w:spacing w:line="109" w:lineRule="exact" w:before="2"/>
              <w:ind w:right="20"/>
              <w:jc w:val="right"/>
              <w:rPr>
                <w:sz w:val="11"/>
              </w:rPr>
            </w:pPr>
            <w:r>
              <w:rPr>
                <w:w w:val="105"/>
                <w:sz w:val="11"/>
              </w:rPr>
              <w:t>-</w:t>
            </w:r>
          </w:p>
        </w:tc>
      </w:tr>
      <w:tr>
        <w:trPr>
          <w:trHeight w:val="154" w:hRule="atLeast"/>
        </w:trPr>
        <w:tc>
          <w:tcPr>
            <w:tcW w:w="3585" w:type="dxa"/>
          </w:tcPr>
          <w:p>
            <w:pPr>
              <w:pStyle w:val="TableParagraph"/>
              <w:spacing w:line="116" w:lineRule="exact"/>
              <w:ind w:left="28"/>
              <w:rPr>
                <w:sz w:val="11"/>
              </w:rPr>
            </w:pPr>
            <w:r>
              <w:rPr>
                <w:w w:val="105"/>
                <w:sz w:val="11"/>
              </w:rPr>
              <w:t>Over £200,001</w:t>
            </w:r>
          </w:p>
        </w:tc>
        <w:tc>
          <w:tcPr>
            <w:tcW w:w="2289" w:type="dxa"/>
            <w:gridSpan w:val="2"/>
          </w:tcPr>
          <w:p>
            <w:pPr>
              <w:pStyle w:val="TableParagraph"/>
              <w:tabs>
                <w:tab w:pos="1131" w:val="left" w:leader="none"/>
                <w:tab w:pos="2179" w:val="left" w:leader="none"/>
              </w:tabs>
              <w:spacing w:line="116" w:lineRule="exact"/>
              <w:ind w:left="262"/>
              <w:rPr>
                <w:sz w:val="11"/>
              </w:rPr>
            </w:pPr>
            <w:r>
              <w:rPr>
                <w:w w:val="105"/>
                <w:sz w:val="11"/>
                <w:u w:val="single"/>
              </w:rPr>
              <w:t> </w:t>
            </w:r>
            <w:r>
              <w:rPr>
                <w:sz w:val="11"/>
                <w:u w:val="single"/>
              </w:rPr>
              <w:tab/>
            </w:r>
            <w:r>
              <w:rPr>
                <w:w w:val="105"/>
                <w:sz w:val="11"/>
                <w:u w:val="single"/>
              </w:rPr>
              <w:t>-</w:t>
              <w:tab/>
              <w:t>-</w:t>
            </w:r>
          </w:p>
        </w:tc>
        <w:tc>
          <w:tcPr>
            <w:tcW w:w="2034" w:type="dxa"/>
            <w:gridSpan w:val="3"/>
          </w:tcPr>
          <w:p>
            <w:pPr>
              <w:pStyle w:val="TableParagraph"/>
              <w:tabs>
                <w:tab w:pos="985" w:val="left" w:leader="none"/>
                <w:tab w:pos="1928" w:val="left" w:leader="none"/>
              </w:tabs>
              <w:spacing w:line="116" w:lineRule="exact"/>
              <w:ind w:left="70"/>
              <w:rPr>
                <w:sz w:val="11"/>
              </w:rPr>
            </w:pPr>
            <w:r>
              <w:rPr>
                <w:w w:val="105"/>
                <w:sz w:val="11"/>
                <w:u w:val="single"/>
              </w:rPr>
              <w:t> </w:t>
            </w:r>
            <w:r>
              <w:rPr>
                <w:sz w:val="11"/>
                <w:u w:val="single"/>
              </w:rPr>
              <w:tab/>
            </w:r>
            <w:r>
              <w:rPr>
                <w:w w:val="105"/>
                <w:sz w:val="11"/>
                <w:u w:val="single"/>
              </w:rPr>
              <w:t>-</w:t>
              <w:tab/>
              <w:t>-</w:t>
            </w:r>
          </w:p>
        </w:tc>
        <w:tc>
          <w:tcPr>
            <w:tcW w:w="1787" w:type="dxa"/>
            <w:gridSpan w:val="3"/>
          </w:tcPr>
          <w:p>
            <w:pPr>
              <w:pStyle w:val="TableParagraph"/>
              <w:tabs>
                <w:tab w:pos="782" w:val="left" w:leader="none"/>
                <w:tab w:pos="1725" w:val="left" w:leader="none"/>
              </w:tabs>
              <w:spacing w:line="116" w:lineRule="exact"/>
              <w:ind w:left="74"/>
              <w:rPr>
                <w:sz w:val="11"/>
              </w:rPr>
            </w:pPr>
            <w:r>
              <w:rPr>
                <w:w w:val="105"/>
                <w:sz w:val="11"/>
                <w:u w:val="single"/>
              </w:rPr>
              <w:t> </w:t>
            </w:r>
            <w:r>
              <w:rPr>
                <w:sz w:val="11"/>
                <w:u w:val="single"/>
              </w:rPr>
              <w:tab/>
            </w:r>
            <w:r>
              <w:rPr>
                <w:w w:val="105"/>
                <w:sz w:val="11"/>
                <w:u w:val="single"/>
              </w:rPr>
              <w:t>-</w:t>
              <w:tab/>
              <w:t>-</w:t>
            </w:r>
          </w:p>
        </w:tc>
      </w:tr>
      <w:tr>
        <w:trPr>
          <w:trHeight w:val="136" w:hRule="atLeast"/>
        </w:trPr>
        <w:tc>
          <w:tcPr>
            <w:tcW w:w="3585" w:type="dxa"/>
          </w:tcPr>
          <w:p>
            <w:pPr>
              <w:pStyle w:val="TableParagraph"/>
              <w:spacing w:line="109" w:lineRule="exact" w:before="7"/>
              <w:ind w:left="28"/>
              <w:rPr>
                <w:b/>
                <w:sz w:val="11"/>
              </w:rPr>
            </w:pPr>
            <w:r>
              <w:rPr>
                <w:b/>
                <w:w w:val="105"/>
                <w:sz w:val="11"/>
              </w:rPr>
              <w:t>Total</w:t>
            </w:r>
          </w:p>
        </w:tc>
        <w:tc>
          <w:tcPr>
            <w:tcW w:w="2289" w:type="dxa"/>
            <w:gridSpan w:val="2"/>
          </w:tcPr>
          <w:p>
            <w:pPr>
              <w:pStyle w:val="TableParagraph"/>
              <w:tabs>
                <w:tab w:pos="1131" w:val="left" w:leader="none"/>
                <w:tab w:pos="2179" w:val="left" w:leader="none"/>
              </w:tabs>
              <w:spacing w:line="109" w:lineRule="exact" w:before="7"/>
              <w:ind w:left="262"/>
              <w:rPr>
                <w:b/>
                <w:sz w:val="11"/>
              </w:rPr>
            </w:pPr>
            <w:r>
              <w:rPr>
                <w:b/>
                <w:w w:val="104"/>
                <w:sz w:val="11"/>
                <w:u w:val="single"/>
              </w:rPr>
              <w:t> </w:t>
            </w:r>
            <w:r>
              <w:rPr>
                <w:b/>
                <w:sz w:val="11"/>
                <w:u w:val="single"/>
              </w:rPr>
              <w:tab/>
            </w:r>
            <w:r>
              <w:rPr>
                <w:b/>
                <w:w w:val="105"/>
                <w:sz w:val="11"/>
                <w:u w:val="single"/>
              </w:rPr>
              <w:t>-</w:t>
              <w:tab/>
              <w:t>-</w:t>
            </w:r>
          </w:p>
        </w:tc>
        <w:tc>
          <w:tcPr>
            <w:tcW w:w="2034" w:type="dxa"/>
            <w:gridSpan w:val="3"/>
          </w:tcPr>
          <w:p>
            <w:pPr>
              <w:pStyle w:val="TableParagraph"/>
              <w:tabs>
                <w:tab w:pos="958" w:val="left" w:leader="none"/>
                <w:tab w:pos="1676" w:val="left" w:leader="none"/>
              </w:tabs>
              <w:spacing w:line="109" w:lineRule="exact" w:before="7"/>
              <w:ind w:left="70"/>
              <w:rPr>
                <w:b/>
                <w:sz w:val="11"/>
              </w:rPr>
            </w:pPr>
            <w:r>
              <w:rPr>
                <w:b/>
                <w:w w:val="104"/>
                <w:sz w:val="11"/>
                <w:u w:val="single"/>
              </w:rPr>
              <w:t> </w:t>
            </w:r>
            <w:r>
              <w:rPr>
                <w:b/>
                <w:sz w:val="11"/>
                <w:u w:val="single"/>
              </w:rPr>
              <w:tab/>
            </w:r>
            <w:r>
              <w:rPr>
                <w:b/>
                <w:w w:val="105"/>
                <w:sz w:val="11"/>
                <w:u w:val="single"/>
              </w:rPr>
              <w:t>1</w:t>
              <w:tab/>
              <w:t>2,833</w:t>
            </w:r>
          </w:p>
        </w:tc>
        <w:tc>
          <w:tcPr>
            <w:tcW w:w="1787" w:type="dxa"/>
            <w:gridSpan w:val="3"/>
          </w:tcPr>
          <w:p>
            <w:pPr>
              <w:pStyle w:val="TableParagraph"/>
              <w:tabs>
                <w:tab w:pos="753" w:val="left" w:leader="none"/>
                <w:tab w:pos="1471" w:val="left" w:leader="none"/>
              </w:tabs>
              <w:spacing w:line="109" w:lineRule="exact" w:before="7"/>
              <w:ind w:left="74"/>
              <w:rPr>
                <w:b/>
                <w:sz w:val="11"/>
              </w:rPr>
            </w:pPr>
            <w:r>
              <w:rPr>
                <w:b/>
                <w:w w:val="104"/>
                <w:sz w:val="11"/>
                <w:u w:val="single"/>
              </w:rPr>
              <w:t> </w:t>
            </w:r>
            <w:r>
              <w:rPr>
                <w:b/>
                <w:sz w:val="11"/>
                <w:u w:val="single"/>
              </w:rPr>
              <w:tab/>
            </w:r>
            <w:r>
              <w:rPr>
                <w:b/>
                <w:w w:val="105"/>
                <w:sz w:val="11"/>
                <w:u w:val="single"/>
              </w:rPr>
              <w:t>1</w:t>
              <w:tab/>
              <w:t>2,833</w:t>
            </w:r>
          </w:p>
        </w:tc>
      </w:tr>
    </w:tbl>
    <w:p>
      <w:pPr>
        <w:pStyle w:val="BodyText"/>
        <w:spacing w:before="9"/>
        <w:rPr>
          <w:sz w:val="12"/>
        </w:rPr>
      </w:pPr>
    </w:p>
    <w:p>
      <w:pPr>
        <w:tabs>
          <w:tab w:pos="6995" w:val="left" w:leader="none"/>
          <w:tab w:pos="8927" w:val="left" w:leader="none"/>
        </w:tabs>
        <w:spacing w:before="0"/>
        <w:ind w:left="4928" w:right="0" w:firstLine="0"/>
        <w:jc w:val="left"/>
        <w:rPr>
          <w:sz w:val="11"/>
        </w:rPr>
      </w:pPr>
      <w:r>
        <w:rPr>
          <w:w w:val="105"/>
          <w:sz w:val="11"/>
        </w:rPr>
        <w:t>2020-21</w:t>
        <w:tab/>
        <w:t>2020-21</w:t>
        <w:tab/>
        <w:t>2020-21</w:t>
      </w:r>
    </w:p>
    <w:p>
      <w:pPr>
        <w:tabs>
          <w:tab w:pos="5634" w:val="left" w:leader="none"/>
          <w:tab w:pos="6531" w:val="left" w:leader="none"/>
          <w:tab w:pos="6575" w:val="left" w:leader="none"/>
          <w:tab w:pos="7724" w:val="left" w:leader="none"/>
          <w:tab w:pos="8466" w:val="left" w:leader="none"/>
          <w:tab w:pos="9015" w:val="left" w:leader="none"/>
          <w:tab w:pos="9553" w:val="left" w:leader="none"/>
        </w:tabs>
        <w:spacing w:line="268" w:lineRule="auto" w:before="13"/>
        <w:ind w:left="4410" w:right="1031" w:firstLine="60"/>
        <w:jc w:val="left"/>
        <w:rPr>
          <w:sz w:val="11"/>
        </w:rPr>
      </w:pPr>
      <w:r>
        <w:rPr>
          <w:w w:val="105"/>
          <w:sz w:val="11"/>
        </w:rPr>
        <w:t>Compulsory</w:t>
      </w:r>
      <w:r>
        <w:rPr>
          <w:spacing w:val="-4"/>
          <w:w w:val="105"/>
          <w:sz w:val="11"/>
        </w:rPr>
        <w:t> </w:t>
      </w:r>
      <w:r>
        <w:rPr>
          <w:w w:val="105"/>
          <w:sz w:val="11"/>
        </w:rPr>
        <w:t>redundancies</w:t>
        <w:tab/>
        <w:tab/>
        <w:t>Other</w:t>
      </w:r>
      <w:r>
        <w:rPr>
          <w:spacing w:val="-2"/>
          <w:w w:val="105"/>
          <w:sz w:val="11"/>
        </w:rPr>
        <w:t> </w:t>
      </w:r>
      <w:r>
        <w:rPr>
          <w:w w:val="105"/>
          <w:sz w:val="11"/>
        </w:rPr>
        <w:t>agreed</w:t>
      </w:r>
      <w:r>
        <w:rPr>
          <w:spacing w:val="-3"/>
          <w:w w:val="105"/>
          <w:sz w:val="11"/>
        </w:rPr>
        <w:t> </w:t>
      </w:r>
      <w:r>
        <w:rPr>
          <w:w w:val="105"/>
          <w:sz w:val="11"/>
        </w:rPr>
        <w:t>departures</w:t>
        <w:tab/>
        <w:tab/>
        <w:t>Total Number</w:t>
        <w:tab/>
        <w:t>£</w:t>
        <w:tab/>
        <w:t>Number</w:t>
        <w:tab/>
        <w:t>£</w:t>
        <w:tab/>
        <w:t>Number</w:t>
        <w:tab/>
        <w:tab/>
      </w:r>
      <w:r>
        <w:rPr>
          <w:spacing w:val="-18"/>
          <w:w w:val="105"/>
          <w:sz w:val="11"/>
        </w:rPr>
        <w:t>£</w:t>
      </w:r>
    </w:p>
    <w:p>
      <w:pPr>
        <w:tabs>
          <w:tab w:pos="5010" w:val="left" w:leader="none"/>
          <w:tab w:pos="6059" w:val="left" w:leader="none"/>
          <w:tab w:pos="7153" w:val="left" w:leader="none"/>
          <w:tab w:pos="8096" w:val="left" w:leader="none"/>
          <w:tab w:pos="8984" w:val="left" w:leader="none"/>
          <w:tab w:pos="9927" w:val="left" w:leader="none"/>
        </w:tabs>
        <w:spacing w:before="0"/>
        <w:ind w:left="323" w:right="0" w:firstLine="0"/>
        <w:jc w:val="left"/>
        <w:rPr>
          <w:sz w:val="11"/>
        </w:rPr>
      </w:pPr>
      <w:r>
        <w:rPr>
          <w:w w:val="105"/>
          <w:sz w:val="11"/>
        </w:rPr>
        <w:t>Less</w:t>
      </w:r>
      <w:r>
        <w:rPr>
          <w:spacing w:val="-2"/>
          <w:w w:val="105"/>
          <w:sz w:val="11"/>
        </w:rPr>
        <w:t> </w:t>
      </w:r>
      <w:r>
        <w:rPr>
          <w:w w:val="105"/>
          <w:sz w:val="11"/>
        </w:rPr>
        <w:t>than</w:t>
      </w:r>
      <w:r>
        <w:rPr>
          <w:spacing w:val="-2"/>
          <w:w w:val="105"/>
          <w:sz w:val="11"/>
        </w:rPr>
        <w:t> </w:t>
      </w:r>
      <w:r>
        <w:rPr>
          <w:w w:val="105"/>
          <w:sz w:val="11"/>
        </w:rPr>
        <w:t>£10,000</w:t>
        <w:tab/>
        <w:t>-</w:t>
        <w:tab/>
        <w:t>-</w:t>
        <w:tab/>
        <w:t>-</w:t>
        <w:tab/>
        <w:t>-</w:t>
        <w:tab/>
        <w:t>-</w:t>
        <w:tab/>
        <w:t>-</w:t>
      </w:r>
    </w:p>
    <w:p>
      <w:pPr>
        <w:tabs>
          <w:tab w:pos="5010" w:val="left" w:leader="none"/>
          <w:tab w:pos="6059" w:val="left" w:leader="none"/>
          <w:tab w:pos="7153" w:val="left" w:leader="none"/>
          <w:tab w:pos="8096" w:val="left" w:leader="none"/>
          <w:tab w:pos="8984" w:val="left" w:leader="none"/>
          <w:tab w:pos="9927" w:val="left" w:leader="none"/>
        </w:tabs>
        <w:spacing w:before="14"/>
        <w:ind w:left="323" w:right="0" w:firstLine="0"/>
        <w:jc w:val="left"/>
        <w:rPr>
          <w:sz w:val="11"/>
        </w:rPr>
      </w:pPr>
      <w:r>
        <w:rPr>
          <w:w w:val="105"/>
          <w:sz w:val="11"/>
        </w:rPr>
        <w:t>£10,001</w:t>
      </w:r>
      <w:r>
        <w:rPr>
          <w:spacing w:val="-3"/>
          <w:w w:val="105"/>
          <w:sz w:val="11"/>
        </w:rPr>
        <w:t> </w:t>
      </w:r>
      <w:r>
        <w:rPr>
          <w:w w:val="105"/>
          <w:sz w:val="11"/>
        </w:rPr>
        <w:t>to £25,000</w:t>
        <w:tab/>
        <w:t>-</w:t>
        <w:tab/>
        <w:t>-</w:t>
        <w:tab/>
        <w:t>-</w:t>
        <w:tab/>
        <w:t>-</w:t>
        <w:tab/>
        <w:t>-</w:t>
        <w:tab/>
        <w:t>-</w:t>
      </w:r>
    </w:p>
    <w:p>
      <w:pPr>
        <w:tabs>
          <w:tab w:pos="5010" w:val="left" w:leader="none"/>
          <w:tab w:pos="6059" w:val="left" w:leader="none"/>
          <w:tab w:pos="7153" w:val="left" w:leader="none"/>
          <w:tab w:pos="8096" w:val="left" w:leader="none"/>
          <w:tab w:pos="8984" w:val="left" w:leader="none"/>
          <w:tab w:pos="9927" w:val="left" w:leader="none"/>
        </w:tabs>
        <w:spacing w:before="13"/>
        <w:ind w:left="323" w:right="0" w:firstLine="0"/>
        <w:jc w:val="left"/>
        <w:rPr>
          <w:sz w:val="11"/>
        </w:rPr>
      </w:pPr>
      <w:r>
        <w:rPr>
          <w:w w:val="105"/>
          <w:sz w:val="11"/>
        </w:rPr>
        <w:t>£25,001</w:t>
      </w:r>
      <w:r>
        <w:rPr>
          <w:spacing w:val="-3"/>
          <w:w w:val="105"/>
          <w:sz w:val="11"/>
        </w:rPr>
        <w:t> </w:t>
      </w:r>
      <w:r>
        <w:rPr>
          <w:w w:val="105"/>
          <w:sz w:val="11"/>
        </w:rPr>
        <w:t>to £50,000</w:t>
        <w:tab/>
        <w:t>-</w:t>
        <w:tab/>
        <w:t>-</w:t>
        <w:tab/>
        <w:t>-</w:t>
        <w:tab/>
        <w:t>-</w:t>
        <w:tab/>
        <w:t>-</w:t>
        <w:tab/>
        <w:t>-</w:t>
      </w:r>
    </w:p>
    <w:p>
      <w:pPr>
        <w:tabs>
          <w:tab w:pos="5010" w:val="left" w:leader="none"/>
          <w:tab w:pos="6059" w:val="left" w:leader="none"/>
          <w:tab w:pos="7153" w:val="left" w:leader="none"/>
          <w:tab w:pos="8096" w:val="left" w:leader="none"/>
          <w:tab w:pos="8984" w:val="left" w:leader="none"/>
          <w:tab w:pos="9927" w:val="left" w:leader="none"/>
        </w:tabs>
        <w:spacing w:before="15"/>
        <w:ind w:left="323" w:right="0" w:firstLine="0"/>
        <w:jc w:val="left"/>
        <w:rPr>
          <w:sz w:val="11"/>
        </w:rPr>
      </w:pPr>
      <w:r>
        <w:rPr>
          <w:w w:val="105"/>
          <w:sz w:val="11"/>
        </w:rPr>
        <w:t>£50,001</w:t>
      </w:r>
      <w:r>
        <w:rPr>
          <w:spacing w:val="-3"/>
          <w:w w:val="105"/>
          <w:sz w:val="11"/>
        </w:rPr>
        <w:t> </w:t>
      </w:r>
      <w:r>
        <w:rPr>
          <w:w w:val="105"/>
          <w:sz w:val="11"/>
        </w:rPr>
        <w:t>to £100,000</w:t>
        <w:tab/>
        <w:t>-</w:t>
        <w:tab/>
        <w:t>-</w:t>
        <w:tab/>
        <w:t>-</w:t>
        <w:tab/>
        <w:t>-</w:t>
        <w:tab/>
        <w:t>-</w:t>
        <w:tab/>
        <w:t>-</w:t>
      </w:r>
    </w:p>
    <w:p>
      <w:pPr>
        <w:tabs>
          <w:tab w:pos="5010" w:val="left" w:leader="none"/>
          <w:tab w:pos="6059" w:val="left" w:leader="none"/>
          <w:tab w:pos="7153" w:val="left" w:leader="none"/>
          <w:tab w:pos="8096" w:val="left" w:leader="none"/>
          <w:tab w:pos="8984" w:val="left" w:leader="none"/>
          <w:tab w:pos="9927" w:val="left" w:leader="none"/>
        </w:tabs>
        <w:spacing w:before="15"/>
        <w:ind w:left="323" w:right="0" w:firstLine="0"/>
        <w:jc w:val="left"/>
        <w:rPr>
          <w:sz w:val="11"/>
        </w:rPr>
      </w:pPr>
      <w:r>
        <w:rPr>
          <w:w w:val="105"/>
          <w:sz w:val="11"/>
        </w:rPr>
        <w:t>£100,001</w:t>
      </w:r>
      <w:r>
        <w:rPr>
          <w:spacing w:val="-5"/>
          <w:w w:val="105"/>
          <w:sz w:val="11"/>
        </w:rPr>
        <w:t> </w:t>
      </w:r>
      <w:r>
        <w:rPr>
          <w:w w:val="105"/>
          <w:sz w:val="11"/>
        </w:rPr>
        <w:t>to</w:t>
      </w:r>
      <w:r>
        <w:rPr>
          <w:spacing w:val="-2"/>
          <w:w w:val="105"/>
          <w:sz w:val="11"/>
        </w:rPr>
        <w:t> </w:t>
      </w:r>
      <w:r>
        <w:rPr>
          <w:w w:val="105"/>
          <w:sz w:val="11"/>
        </w:rPr>
        <w:t>£150,000</w:t>
        <w:tab/>
        <w:t>-</w:t>
        <w:tab/>
        <w:t>-</w:t>
        <w:tab/>
        <w:t>-</w:t>
        <w:tab/>
        <w:t>-</w:t>
        <w:tab/>
        <w:t>-</w:t>
        <w:tab/>
        <w:t>-</w:t>
      </w:r>
    </w:p>
    <w:p>
      <w:pPr>
        <w:tabs>
          <w:tab w:pos="5010" w:val="left" w:leader="none"/>
          <w:tab w:pos="6059" w:val="left" w:leader="none"/>
          <w:tab w:pos="7153" w:val="left" w:leader="none"/>
          <w:tab w:pos="8096" w:val="left" w:leader="none"/>
          <w:tab w:pos="8984" w:val="left" w:leader="none"/>
          <w:tab w:pos="9927" w:val="left" w:leader="none"/>
        </w:tabs>
        <w:spacing w:before="16"/>
        <w:ind w:left="323" w:right="0" w:firstLine="0"/>
        <w:jc w:val="left"/>
        <w:rPr>
          <w:sz w:val="11"/>
        </w:rPr>
      </w:pPr>
      <w:r>
        <w:rPr>
          <w:w w:val="105"/>
          <w:sz w:val="11"/>
        </w:rPr>
        <w:t>£150,001</w:t>
      </w:r>
      <w:r>
        <w:rPr>
          <w:spacing w:val="-5"/>
          <w:w w:val="105"/>
          <w:sz w:val="11"/>
        </w:rPr>
        <w:t> </w:t>
      </w:r>
      <w:r>
        <w:rPr>
          <w:w w:val="105"/>
          <w:sz w:val="11"/>
        </w:rPr>
        <w:t>to</w:t>
      </w:r>
      <w:r>
        <w:rPr>
          <w:spacing w:val="-2"/>
          <w:w w:val="105"/>
          <w:sz w:val="11"/>
        </w:rPr>
        <w:t> </w:t>
      </w:r>
      <w:r>
        <w:rPr>
          <w:w w:val="105"/>
          <w:sz w:val="11"/>
        </w:rPr>
        <w:t>£200,000</w:t>
        <w:tab/>
        <w:t>-</w:t>
        <w:tab/>
        <w:t>-</w:t>
        <w:tab/>
        <w:t>-</w:t>
        <w:tab/>
        <w:t>-</w:t>
        <w:tab/>
        <w:t>-</w:t>
        <w:tab/>
        <w:t>-</w:t>
      </w:r>
    </w:p>
    <w:p>
      <w:pPr>
        <w:tabs>
          <w:tab w:pos="4141" w:val="left" w:leader="none"/>
          <w:tab w:pos="5010" w:val="left" w:leader="none"/>
          <w:tab w:pos="6059" w:val="left" w:leader="none"/>
          <w:tab w:pos="7153" w:val="left" w:leader="none"/>
          <w:tab w:pos="8096" w:val="left" w:leader="none"/>
          <w:tab w:pos="8984" w:val="left" w:leader="none"/>
          <w:tab w:pos="9927" w:val="left" w:leader="none"/>
        </w:tabs>
        <w:spacing w:before="12"/>
        <w:ind w:left="323" w:right="0" w:firstLine="0"/>
        <w:jc w:val="left"/>
        <w:rPr>
          <w:sz w:val="11"/>
        </w:rPr>
      </w:pPr>
      <w:r>
        <w:rPr>
          <w:w w:val="105"/>
          <w:sz w:val="11"/>
        </w:rPr>
        <w:t>Over</w:t>
      </w:r>
      <w:r>
        <w:rPr>
          <w:spacing w:val="-3"/>
          <w:w w:val="105"/>
          <w:sz w:val="11"/>
        </w:rPr>
        <w:t> </w:t>
      </w:r>
      <w:r>
        <w:rPr>
          <w:w w:val="105"/>
          <w:sz w:val="11"/>
        </w:rPr>
        <w:t>£200,001</w:t>
        <w:tab/>
      </w:r>
      <w:r>
        <w:rPr>
          <w:w w:val="105"/>
          <w:sz w:val="11"/>
          <w:u w:val="single"/>
        </w:rPr>
        <w:t> </w:t>
        <w:tab/>
        <w:t>-</w:t>
        <w:tab/>
        <w:t>- </w:t>
        <w:tab/>
        <w:t>-</w:t>
        <w:tab/>
        <w:t>- </w:t>
        <w:tab/>
        <w:t>-</w:t>
        <w:tab/>
        <w:t>-</w:t>
      </w:r>
    </w:p>
    <w:p>
      <w:pPr>
        <w:tabs>
          <w:tab w:pos="4141" w:val="left" w:leader="none"/>
          <w:tab w:pos="5010" w:val="left" w:leader="none"/>
          <w:tab w:pos="6059" w:val="left" w:leader="none"/>
          <w:tab w:pos="7153" w:val="left" w:leader="none"/>
          <w:tab w:pos="8096" w:val="left" w:leader="none"/>
          <w:tab w:pos="8984" w:val="left" w:leader="none"/>
          <w:tab w:pos="9927" w:val="left" w:leader="none"/>
        </w:tabs>
        <w:spacing w:before="25"/>
        <w:ind w:left="323" w:right="0" w:firstLine="0"/>
        <w:jc w:val="left"/>
        <w:rPr>
          <w:b/>
          <w:sz w:val="11"/>
        </w:rPr>
      </w:pPr>
      <w:r>
        <w:rPr>
          <w:b/>
          <w:w w:val="105"/>
          <w:sz w:val="11"/>
        </w:rPr>
        <w:t>Total</w:t>
        <w:tab/>
      </w:r>
      <w:r>
        <w:rPr>
          <w:b/>
          <w:w w:val="105"/>
          <w:sz w:val="11"/>
          <w:u w:val="single"/>
        </w:rPr>
        <w:t> </w:t>
        <w:tab/>
        <w:t>-</w:t>
        <w:tab/>
        <w:t>- </w:t>
        <w:tab/>
        <w:t>-</w:t>
        <w:tab/>
        <w:t>- </w:t>
        <w:tab/>
        <w:t>-</w:t>
        <w:tab/>
        <w:t>-</w:t>
      </w:r>
    </w:p>
    <w:p>
      <w:pPr>
        <w:pStyle w:val="BodyText"/>
        <w:spacing w:before="10"/>
        <w:rPr>
          <w:b/>
          <w:sz w:val="16"/>
        </w:rPr>
      </w:pPr>
    </w:p>
    <w:p>
      <w:pPr>
        <w:spacing w:after="0"/>
        <w:rPr>
          <w:sz w:val="16"/>
        </w:rPr>
        <w:sectPr>
          <w:footerReference w:type="default" r:id="rId54"/>
          <w:pgSz w:w="11920" w:h="16850"/>
          <w:pgMar w:footer="462" w:header="0" w:top="1080" w:bottom="660" w:left="740" w:right="520"/>
        </w:sectPr>
      </w:pPr>
    </w:p>
    <w:p>
      <w:pPr>
        <w:spacing w:before="97"/>
        <w:ind w:left="323" w:right="0" w:firstLine="0"/>
        <w:jc w:val="left"/>
        <w:rPr>
          <w:b/>
          <w:sz w:val="11"/>
        </w:rPr>
      </w:pPr>
      <w:r>
        <w:rPr>
          <w:b/>
          <w:w w:val="105"/>
          <w:sz w:val="11"/>
        </w:rPr>
        <w:t>Analysis of Other Agreed Departures</w:t>
      </w:r>
    </w:p>
    <w:p>
      <w:pPr>
        <w:pStyle w:val="BodyText"/>
        <w:rPr>
          <w:b/>
          <w:sz w:val="12"/>
        </w:rPr>
      </w:pPr>
      <w:r>
        <w:rPr/>
        <w:br w:type="column"/>
      </w:r>
      <w:r>
        <w:rPr>
          <w:b/>
          <w:sz w:val="12"/>
        </w:rPr>
      </w:r>
    </w:p>
    <w:p>
      <w:pPr>
        <w:tabs>
          <w:tab w:pos="2059" w:val="left" w:leader="none"/>
        </w:tabs>
        <w:spacing w:before="98"/>
        <w:ind w:left="0" w:right="2442" w:firstLine="0"/>
        <w:jc w:val="center"/>
        <w:rPr>
          <w:sz w:val="11"/>
        </w:rPr>
      </w:pPr>
      <w:r>
        <w:rPr>
          <w:b/>
          <w:w w:val="105"/>
          <w:sz w:val="11"/>
        </w:rPr>
        <w:t>2021-22</w:t>
        <w:tab/>
      </w:r>
      <w:r>
        <w:rPr>
          <w:w w:val="105"/>
          <w:sz w:val="11"/>
        </w:rPr>
        <w:t>2020-21</w:t>
      </w:r>
    </w:p>
    <w:p>
      <w:pPr>
        <w:tabs>
          <w:tab w:pos="2107" w:val="left" w:leader="none"/>
        </w:tabs>
        <w:spacing w:before="13"/>
        <w:ind w:left="0" w:right="2490" w:firstLine="0"/>
        <w:jc w:val="center"/>
        <w:rPr>
          <w:sz w:val="11"/>
        </w:rPr>
      </w:pPr>
      <w:r>
        <w:rPr>
          <w:b/>
          <w:w w:val="105"/>
          <w:sz w:val="11"/>
        </w:rPr>
        <w:t>Other</w:t>
      </w:r>
      <w:r>
        <w:rPr>
          <w:b/>
          <w:spacing w:val="-1"/>
          <w:w w:val="105"/>
          <w:sz w:val="11"/>
        </w:rPr>
        <w:t> </w:t>
      </w:r>
      <w:r>
        <w:rPr>
          <w:b/>
          <w:w w:val="105"/>
          <w:sz w:val="11"/>
        </w:rPr>
        <w:t>agreed</w:t>
      </w:r>
      <w:r>
        <w:rPr>
          <w:b/>
          <w:spacing w:val="-2"/>
          <w:w w:val="105"/>
          <w:sz w:val="11"/>
        </w:rPr>
        <w:t> </w:t>
      </w:r>
      <w:r>
        <w:rPr>
          <w:b/>
          <w:w w:val="105"/>
          <w:sz w:val="11"/>
        </w:rPr>
        <w:t>departures</w:t>
        <w:tab/>
      </w:r>
      <w:r>
        <w:rPr>
          <w:w w:val="105"/>
          <w:sz w:val="11"/>
        </w:rPr>
        <w:t>Other agreed</w:t>
      </w:r>
      <w:r>
        <w:rPr>
          <w:spacing w:val="-3"/>
          <w:w w:val="105"/>
          <w:sz w:val="11"/>
        </w:rPr>
        <w:t> </w:t>
      </w:r>
      <w:r>
        <w:rPr>
          <w:w w:val="105"/>
          <w:sz w:val="11"/>
        </w:rPr>
        <w:t>departures</w:t>
      </w:r>
    </w:p>
    <w:p>
      <w:pPr>
        <w:spacing w:after="0"/>
        <w:jc w:val="center"/>
        <w:rPr>
          <w:sz w:val="11"/>
        </w:rPr>
        <w:sectPr>
          <w:type w:val="continuous"/>
          <w:pgSz w:w="11920" w:h="16850"/>
          <w:pgMar w:top="1600" w:bottom="560" w:left="740" w:right="520"/>
          <w:cols w:num="2" w:equalWidth="0">
            <w:col w:w="2394" w:space="1744"/>
            <w:col w:w="6522"/>
          </w:cols>
        </w:sectPr>
      </w:pPr>
    </w:p>
    <w:tbl>
      <w:tblPr>
        <w:tblW w:w="0" w:type="auto"/>
        <w:jc w:val="left"/>
        <w:tblInd w:w="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6"/>
        <w:gridCol w:w="828"/>
        <w:gridCol w:w="432"/>
        <w:gridCol w:w="973"/>
        <w:gridCol w:w="734"/>
        <w:gridCol w:w="1114"/>
      </w:tblGrid>
      <w:tr>
        <w:trPr>
          <w:trHeight w:val="132" w:hRule="atLeast"/>
        </w:trPr>
        <w:tc>
          <w:tcPr>
            <w:tcW w:w="3786" w:type="dxa"/>
          </w:tcPr>
          <w:p>
            <w:pPr>
              <w:pStyle w:val="TableParagraph"/>
              <w:rPr>
                <w:rFonts w:ascii="Times New Roman"/>
                <w:sz w:val="8"/>
              </w:rPr>
            </w:pPr>
          </w:p>
        </w:tc>
        <w:tc>
          <w:tcPr>
            <w:tcW w:w="828" w:type="dxa"/>
          </w:tcPr>
          <w:p>
            <w:pPr>
              <w:pStyle w:val="TableParagraph"/>
              <w:spacing w:line="112" w:lineRule="exact"/>
              <w:ind w:left="318"/>
              <w:rPr>
                <w:b/>
                <w:sz w:val="11"/>
              </w:rPr>
            </w:pPr>
            <w:r>
              <w:rPr>
                <w:b/>
                <w:w w:val="105"/>
                <w:sz w:val="11"/>
              </w:rPr>
              <w:t>Number</w:t>
            </w:r>
          </w:p>
        </w:tc>
        <w:tc>
          <w:tcPr>
            <w:tcW w:w="432" w:type="dxa"/>
          </w:tcPr>
          <w:p>
            <w:pPr>
              <w:pStyle w:val="TableParagraph"/>
              <w:rPr>
                <w:rFonts w:ascii="Times New Roman"/>
                <w:sz w:val="8"/>
              </w:rPr>
            </w:pPr>
          </w:p>
        </w:tc>
        <w:tc>
          <w:tcPr>
            <w:tcW w:w="973" w:type="dxa"/>
          </w:tcPr>
          <w:p>
            <w:pPr>
              <w:pStyle w:val="TableParagraph"/>
              <w:spacing w:line="112" w:lineRule="exact"/>
              <w:ind w:left="294"/>
              <w:rPr>
                <w:b/>
                <w:sz w:val="11"/>
              </w:rPr>
            </w:pPr>
            <w:r>
              <w:rPr>
                <w:b/>
                <w:w w:val="104"/>
                <w:sz w:val="11"/>
              </w:rPr>
              <w:t>£</w:t>
            </w:r>
          </w:p>
        </w:tc>
        <w:tc>
          <w:tcPr>
            <w:tcW w:w="734" w:type="dxa"/>
          </w:tcPr>
          <w:p>
            <w:pPr>
              <w:pStyle w:val="TableParagraph"/>
              <w:spacing w:line="112" w:lineRule="exact"/>
              <w:ind w:left="218"/>
              <w:rPr>
                <w:sz w:val="11"/>
              </w:rPr>
            </w:pPr>
            <w:r>
              <w:rPr>
                <w:w w:val="105"/>
                <w:sz w:val="11"/>
              </w:rPr>
              <w:t>Number</w:t>
            </w:r>
          </w:p>
        </w:tc>
        <w:tc>
          <w:tcPr>
            <w:tcW w:w="1114" w:type="dxa"/>
          </w:tcPr>
          <w:p>
            <w:pPr>
              <w:pStyle w:val="TableParagraph"/>
              <w:spacing w:line="112" w:lineRule="exact"/>
              <w:ind w:left="305"/>
              <w:jc w:val="center"/>
              <w:rPr>
                <w:sz w:val="11"/>
              </w:rPr>
            </w:pPr>
            <w:r>
              <w:rPr>
                <w:w w:val="105"/>
                <w:sz w:val="11"/>
              </w:rPr>
              <w:t>£</w:t>
            </w:r>
          </w:p>
        </w:tc>
      </w:tr>
      <w:tr>
        <w:trPr>
          <w:trHeight w:val="141" w:hRule="atLeast"/>
        </w:trPr>
        <w:tc>
          <w:tcPr>
            <w:tcW w:w="3786" w:type="dxa"/>
          </w:tcPr>
          <w:p>
            <w:pPr>
              <w:pStyle w:val="TableParagraph"/>
              <w:spacing w:line="116" w:lineRule="exact" w:before="6"/>
              <w:ind w:left="28"/>
              <w:rPr>
                <w:sz w:val="11"/>
              </w:rPr>
            </w:pPr>
            <w:r>
              <w:rPr>
                <w:w w:val="105"/>
                <w:sz w:val="11"/>
              </w:rPr>
              <w:t>Voluntary redundancies including early retirement contractual costs</w:t>
            </w:r>
          </w:p>
        </w:tc>
        <w:tc>
          <w:tcPr>
            <w:tcW w:w="828" w:type="dxa"/>
          </w:tcPr>
          <w:p>
            <w:pPr>
              <w:pStyle w:val="TableParagraph"/>
              <w:rPr>
                <w:rFonts w:ascii="Times New Roman"/>
                <w:sz w:val="8"/>
              </w:rPr>
            </w:pPr>
          </w:p>
        </w:tc>
        <w:tc>
          <w:tcPr>
            <w:tcW w:w="432" w:type="dxa"/>
          </w:tcPr>
          <w:p>
            <w:pPr>
              <w:pStyle w:val="TableParagraph"/>
              <w:spacing w:line="116" w:lineRule="exact" w:before="6"/>
              <w:ind w:left="102"/>
              <w:rPr>
                <w:sz w:val="11"/>
              </w:rPr>
            </w:pPr>
            <w:r>
              <w:rPr>
                <w:w w:val="105"/>
                <w:sz w:val="11"/>
              </w:rPr>
              <w:t>-</w:t>
            </w:r>
          </w:p>
        </w:tc>
        <w:tc>
          <w:tcPr>
            <w:tcW w:w="973" w:type="dxa"/>
          </w:tcPr>
          <w:p>
            <w:pPr>
              <w:pStyle w:val="TableParagraph"/>
              <w:spacing w:line="116" w:lineRule="exact" w:before="6"/>
              <w:ind w:right="213"/>
              <w:jc w:val="right"/>
              <w:rPr>
                <w:sz w:val="11"/>
              </w:rPr>
            </w:pPr>
            <w:r>
              <w:rPr>
                <w:w w:val="105"/>
                <w:sz w:val="11"/>
              </w:rPr>
              <w:t>-</w:t>
            </w:r>
          </w:p>
        </w:tc>
        <w:tc>
          <w:tcPr>
            <w:tcW w:w="734" w:type="dxa"/>
          </w:tcPr>
          <w:p>
            <w:pPr>
              <w:pStyle w:val="TableParagraph"/>
              <w:rPr>
                <w:rFonts w:ascii="Times New Roman"/>
                <w:sz w:val="8"/>
              </w:rPr>
            </w:pPr>
          </w:p>
        </w:tc>
        <w:tc>
          <w:tcPr>
            <w:tcW w:w="1114" w:type="dxa"/>
          </w:tcPr>
          <w:p>
            <w:pPr>
              <w:pStyle w:val="TableParagraph"/>
              <w:tabs>
                <w:tab w:pos="943" w:val="left" w:leader="none"/>
              </w:tabs>
              <w:spacing w:line="116" w:lineRule="exact" w:before="6"/>
              <w:ind w:right="23"/>
              <w:jc w:val="right"/>
              <w:rPr>
                <w:sz w:val="11"/>
              </w:rPr>
            </w:pPr>
            <w:r>
              <w:rPr>
                <w:w w:val="105"/>
                <w:sz w:val="11"/>
              </w:rPr>
              <w:t>-</w:t>
              <w:tab/>
              <w:t>-</w:t>
            </w:r>
          </w:p>
        </w:tc>
      </w:tr>
      <w:tr>
        <w:trPr>
          <w:trHeight w:val="140" w:hRule="atLeast"/>
        </w:trPr>
        <w:tc>
          <w:tcPr>
            <w:tcW w:w="3786" w:type="dxa"/>
          </w:tcPr>
          <w:p>
            <w:pPr>
              <w:pStyle w:val="TableParagraph"/>
              <w:spacing w:line="115" w:lineRule="exact" w:before="6"/>
              <w:ind w:left="28"/>
              <w:rPr>
                <w:sz w:val="11"/>
              </w:rPr>
            </w:pPr>
            <w:r>
              <w:rPr>
                <w:w w:val="105"/>
                <w:sz w:val="11"/>
              </w:rPr>
              <w:t>Mutually agreed resignations (MARS) contractual costs</w:t>
            </w:r>
          </w:p>
        </w:tc>
        <w:tc>
          <w:tcPr>
            <w:tcW w:w="828" w:type="dxa"/>
          </w:tcPr>
          <w:p>
            <w:pPr>
              <w:pStyle w:val="TableParagraph"/>
              <w:rPr>
                <w:rFonts w:ascii="Times New Roman"/>
                <w:sz w:val="8"/>
              </w:rPr>
            </w:pPr>
          </w:p>
        </w:tc>
        <w:tc>
          <w:tcPr>
            <w:tcW w:w="432" w:type="dxa"/>
          </w:tcPr>
          <w:p>
            <w:pPr>
              <w:pStyle w:val="TableParagraph"/>
              <w:spacing w:line="115" w:lineRule="exact" w:before="6"/>
              <w:ind w:left="102"/>
              <w:rPr>
                <w:sz w:val="11"/>
              </w:rPr>
            </w:pPr>
            <w:r>
              <w:rPr>
                <w:w w:val="105"/>
                <w:sz w:val="11"/>
              </w:rPr>
              <w:t>-</w:t>
            </w:r>
          </w:p>
        </w:tc>
        <w:tc>
          <w:tcPr>
            <w:tcW w:w="973" w:type="dxa"/>
          </w:tcPr>
          <w:p>
            <w:pPr>
              <w:pStyle w:val="TableParagraph"/>
              <w:spacing w:line="115" w:lineRule="exact" w:before="6"/>
              <w:ind w:right="213"/>
              <w:jc w:val="right"/>
              <w:rPr>
                <w:sz w:val="11"/>
              </w:rPr>
            </w:pPr>
            <w:r>
              <w:rPr>
                <w:w w:val="105"/>
                <w:sz w:val="11"/>
              </w:rPr>
              <w:t>-</w:t>
            </w:r>
          </w:p>
        </w:tc>
        <w:tc>
          <w:tcPr>
            <w:tcW w:w="734" w:type="dxa"/>
          </w:tcPr>
          <w:p>
            <w:pPr>
              <w:pStyle w:val="TableParagraph"/>
              <w:rPr>
                <w:rFonts w:ascii="Times New Roman"/>
                <w:sz w:val="8"/>
              </w:rPr>
            </w:pPr>
          </w:p>
        </w:tc>
        <w:tc>
          <w:tcPr>
            <w:tcW w:w="1114" w:type="dxa"/>
          </w:tcPr>
          <w:p>
            <w:pPr>
              <w:pStyle w:val="TableParagraph"/>
              <w:tabs>
                <w:tab w:pos="943" w:val="left" w:leader="none"/>
              </w:tabs>
              <w:spacing w:line="115" w:lineRule="exact" w:before="6"/>
              <w:ind w:right="23"/>
              <w:jc w:val="right"/>
              <w:rPr>
                <w:sz w:val="11"/>
              </w:rPr>
            </w:pPr>
            <w:r>
              <w:rPr>
                <w:w w:val="105"/>
                <w:sz w:val="11"/>
              </w:rPr>
              <w:t>-</w:t>
              <w:tab/>
              <w:t>-</w:t>
            </w:r>
          </w:p>
        </w:tc>
      </w:tr>
      <w:tr>
        <w:trPr>
          <w:trHeight w:val="140" w:hRule="atLeast"/>
        </w:trPr>
        <w:tc>
          <w:tcPr>
            <w:tcW w:w="3786" w:type="dxa"/>
          </w:tcPr>
          <w:p>
            <w:pPr>
              <w:pStyle w:val="TableParagraph"/>
              <w:spacing w:line="116" w:lineRule="exact" w:before="4"/>
              <w:ind w:left="28"/>
              <w:rPr>
                <w:sz w:val="11"/>
              </w:rPr>
            </w:pPr>
            <w:r>
              <w:rPr>
                <w:w w:val="105"/>
                <w:sz w:val="11"/>
              </w:rPr>
              <w:t>Early retirements in the efficiency of the service contractual costs</w:t>
            </w:r>
          </w:p>
        </w:tc>
        <w:tc>
          <w:tcPr>
            <w:tcW w:w="828" w:type="dxa"/>
          </w:tcPr>
          <w:p>
            <w:pPr>
              <w:pStyle w:val="TableParagraph"/>
              <w:rPr>
                <w:rFonts w:ascii="Times New Roman"/>
                <w:sz w:val="8"/>
              </w:rPr>
            </w:pPr>
          </w:p>
        </w:tc>
        <w:tc>
          <w:tcPr>
            <w:tcW w:w="432" w:type="dxa"/>
          </w:tcPr>
          <w:p>
            <w:pPr>
              <w:pStyle w:val="TableParagraph"/>
              <w:spacing w:line="116" w:lineRule="exact" w:before="4"/>
              <w:ind w:left="102"/>
              <w:rPr>
                <w:sz w:val="11"/>
              </w:rPr>
            </w:pPr>
            <w:r>
              <w:rPr>
                <w:w w:val="105"/>
                <w:sz w:val="11"/>
              </w:rPr>
              <w:t>-</w:t>
            </w:r>
          </w:p>
        </w:tc>
        <w:tc>
          <w:tcPr>
            <w:tcW w:w="973" w:type="dxa"/>
          </w:tcPr>
          <w:p>
            <w:pPr>
              <w:pStyle w:val="TableParagraph"/>
              <w:spacing w:line="116" w:lineRule="exact" w:before="4"/>
              <w:ind w:right="213"/>
              <w:jc w:val="right"/>
              <w:rPr>
                <w:sz w:val="11"/>
              </w:rPr>
            </w:pPr>
            <w:r>
              <w:rPr>
                <w:w w:val="105"/>
                <w:sz w:val="11"/>
              </w:rPr>
              <w:t>-</w:t>
            </w:r>
          </w:p>
        </w:tc>
        <w:tc>
          <w:tcPr>
            <w:tcW w:w="734" w:type="dxa"/>
          </w:tcPr>
          <w:p>
            <w:pPr>
              <w:pStyle w:val="TableParagraph"/>
              <w:rPr>
                <w:rFonts w:ascii="Times New Roman"/>
                <w:sz w:val="8"/>
              </w:rPr>
            </w:pPr>
          </w:p>
        </w:tc>
        <w:tc>
          <w:tcPr>
            <w:tcW w:w="1114" w:type="dxa"/>
          </w:tcPr>
          <w:p>
            <w:pPr>
              <w:pStyle w:val="TableParagraph"/>
              <w:tabs>
                <w:tab w:pos="943" w:val="left" w:leader="none"/>
              </w:tabs>
              <w:spacing w:line="116" w:lineRule="exact" w:before="4"/>
              <w:ind w:right="23"/>
              <w:jc w:val="right"/>
              <w:rPr>
                <w:sz w:val="11"/>
              </w:rPr>
            </w:pPr>
            <w:r>
              <w:rPr>
                <w:w w:val="105"/>
                <w:sz w:val="11"/>
              </w:rPr>
              <w:t>-</w:t>
              <w:tab/>
              <w:t>-</w:t>
            </w:r>
          </w:p>
        </w:tc>
      </w:tr>
      <w:tr>
        <w:trPr>
          <w:trHeight w:val="141" w:hRule="atLeast"/>
        </w:trPr>
        <w:tc>
          <w:tcPr>
            <w:tcW w:w="3786" w:type="dxa"/>
          </w:tcPr>
          <w:p>
            <w:pPr>
              <w:pStyle w:val="TableParagraph"/>
              <w:spacing w:line="116" w:lineRule="exact" w:before="6"/>
              <w:ind w:left="28"/>
              <w:rPr>
                <w:sz w:val="11"/>
              </w:rPr>
            </w:pPr>
            <w:r>
              <w:rPr>
                <w:w w:val="105"/>
                <w:sz w:val="11"/>
              </w:rPr>
              <w:t>Contractual payments in lieu of notice</w:t>
            </w:r>
          </w:p>
        </w:tc>
        <w:tc>
          <w:tcPr>
            <w:tcW w:w="828" w:type="dxa"/>
          </w:tcPr>
          <w:p>
            <w:pPr>
              <w:pStyle w:val="TableParagraph"/>
              <w:rPr>
                <w:rFonts w:ascii="Times New Roman"/>
                <w:sz w:val="8"/>
              </w:rPr>
            </w:pPr>
          </w:p>
        </w:tc>
        <w:tc>
          <w:tcPr>
            <w:tcW w:w="432" w:type="dxa"/>
          </w:tcPr>
          <w:p>
            <w:pPr>
              <w:pStyle w:val="TableParagraph"/>
              <w:spacing w:line="116" w:lineRule="exact" w:before="6"/>
              <w:ind w:left="75"/>
              <w:rPr>
                <w:sz w:val="11"/>
              </w:rPr>
            </w:pPr>
            <w:r>
              <w:rPr>
                <w:w w:val="105"/>
                <w:sz w:val="11"/>
              </w:rPr>
              <w:t>1</w:t>
            </w:r>
          </w:p>
        </w:tc>
        <w:tc>
          <w:tcPr>
            <w:tcW w:w="973" w:type="dxa"/>
          </w:tcPr>
          <w:p>
            <w:pPr>
              <w:pStyle w:val="TableParagraph"/>
              <w:spacing w:line="116" w:lineRule="exact" w:before="6"/>
              <w:ind w:right="214"/>
              <w:jc w:val="right"/>
              <w:rPr>
                <w:sz w:val="11"/>
              </w:rPr>
            </w:pPr>
            <w:r>
              <w:rPr>
                <w:w w:val="105"/>
                <w:sz w:val="11"/>
              </w:rPr>
              <w:t>2,833</w:t>
            </w:r>
          </w:p>
        </w:tc>
        <w:tc>
          <w:tcPr>
            <w:tcW w:w="734" w:type="dxa"/>
          </w:tcPr>
          <w:p>
            <w:pPr>
              <w:pStyle w:val="TableParagraph"/>
              <w:rPr>
                <w:rFonts w:ascii="Times New Roman"/>
                <w:sz w:val="8"/>
              </w:rPr>
            </w:pPr>
          </w:p>
        </w:tc>
        <w:tc>
          <w:tcPr>
            <w:tcW w:w="1114" w:type="dxa"/>
          </w:tcPr>
          <w:p>
            <w:pPr>
              <w:pStyle w:val="TableParagraph"/>
              <w:tabs>
                <w:tab w:pos="943" w:val="left" w:leader="none"/>
              </w:tabs>
              <w:spacing w:line="116" w:lineRule="exact" w:before="6"/>
              <w:ind w:right="23"/>
              <w:jc w:val="right"/>
              <w:rPr>
                <w:sz w:val="11"/>
              </w:rPr>
            </w:pPr>
            <w:r>
              <w:rPr>
                <w:w w:val="105"/>
                <w:sz w:val="11"/>
              </w:rPr>
              <w:t>-</w:t>
              <w:tab/>
              <w:t>-</w:t>
            </w:r>
          </w:p>
        </w:tc>
      </w:tr>
      <w:tr>
        <w:trPr>
          <w:trHeight w:val="132" w:hRule="atLeast"/>
        </w:trPr>
        <w:tc>
          <w:tcPr>
            <w:tcW w:w="3786" w:type="dxa"/>
          </w:tcPr>
          <w:p>
            <w:pPr>
              <w:pStyle w:val="TableParagraph"/>
              <w:spacing w:line="107" w:lineRule="exact" w:before="6"/>
              <w:ind w:left="28"/>
              <w:rPr>
                <w:sz w:val="11"/>
              </w:rPr>
            </w:pPr>
            <w:r>
              <w:rPr>
                <w:w w:val="105"/>
                <w:sz w:val="11"/>
              </w:rPr>
              <w:t>Exit payments following Employment Tribunals or court orders</w:t>
            </w:r>
          </w:p>
        </w:tc>
        <w:tc>
          <w:tcPr>
            <w:tcW w:w="828" w:type="dxa"/>
          </w:tcPr>
          <w:p>
            <w:pPr>
              <w:pStyle w:val="TableParagraph"/>
              <w:rPr>
                <w:rFonts w:ascii="Times New Roman"/>
                <w:sz w:val="8"/>
              </w:rPr>
            </w:pPr>
          </w:p>
        </w:tc>
        <w:tc>
          <w:tcPr>
            <w:tcW w:w="432" w:type="dxa"/>
          </w:tcPr>
          <w:p>
            <w:pPr>
              <w:pStyle w:val="TableParagraph"/>
              <w:spacing w:line="107" w:lineRule="exact" w:before="6"/>
              <w:ind w:left="102"/>
              <w:rPr>
                <w:sz w:val="11"/>
              </w:rPr>
            </w:pPr>
            <w:r>
              <w:rPr>
                <w:w w:val="105"/>
                <w:sz w:val="11"/>
              </w:rPr>
              <w:t>-</w:t>
            </w:r>
          </w:p>
        </w:tc>
        <w:tc>
          <w:tcPr>
            <w:tcW w:w="973" w:type="dxa"/>
          </w:tcPr>
          <w:p>
            <w:pPr>
              <w:pStyle w:val="TableParagraph"/>
              <w:spacing w:line="107" w:lineRule="exact" w:before="6"/>
              <w:ind w:right="213"/>
              <w:jc w:val="right"/>
              <w:rPr>
                <w:sz w:val="11"/>
              </w:rPr>
            </w:pPr>
            <w:r>
              <w:rPr>
                <w:w w:val="105"/>
                <w:sz w:val="11"/>
              </w:rPr>
              <w:t>-</w:t>
            </w:r>
          </w:p>
        </w:tc>
        <w:tc>
          <w:tcPr>
            <w:tcW w:w="734" w:type="dxa"/>
          </w:tcPr>
          <w:p>
            <w:pPr>
              <w:pStyle w:val="TableParagraph"/>
              <w:rPr>
                <w:rFonts w:ascii="Times New Roman"/>
                <w:sz w:val="8"/>
              </w:rPr>
            </w:pPr>
          </w:p>
        </w:tc>
        <w:tc>
          <w:tcPr>
            <w:tcW w:w="1114" w:type="dxa"/>
          </w:tcPr>
          <w:p>
            <w:pPr>
              <w:pStyle w:val="TableParagraph"/>
              <w:tabs>
                <w:tab w:pos="943" w:val="left" w:leader="none"/>
              </w:tabs>
              <w:spacing w:line="107" w:lineRule="exact" w:before="6"/>
              <w:ind w:right="23"/>
              <w:jc w:val="right"/>
              <w:rPr>
                <w:sz w:val="11"/>
              </w:rPr>
            </w:pPr>
            <w:r>
              <w:rPr>
                <w:w w:val="105"/>
                <w:sz w:val="11"/>
              </w:rPr>
              <w:t>-</w:t>
              <w:tab/>
              <w:t>-</w:t>
            </w:r>
          </w:p>
        </w:tc>
      </w:tr>
    </w:tbl>
    <w:p>
      <w:pPr>
        <w:tabs>
          <w:tab w:pos="4141" w:val="left" w:leader="none"/>
          <w:tab w:pos="5010" w:val="left" w:leader="none"/>
          <w:tab w:pos="6059" w:val="left" w:leader="none"/>
          <w:tab w:pos="7153" w:val="left" w:leader="none"/>
          <w:tab w:pos="8096" w:val="left" w:leader="none"/>
        </w:tabs>
        <w:spacing w:before="33"/>
        <w:ind w:left="323" w:right="0" w:firstLine="0"/>
        <w:jc w:val="left"/>
        <w:rPr>
          <w:sz w:val="11"/>
        </w:rPr>
      </w:pPr>
      <w:r>
        <w:rPr>
          <w:w w:val="105"/>
          <w:sz w:val="11"/>
        </w:rPr>
        <w:t>Non-contractual payments requiring</w:t>
      </w:r>
      <w:r>
        <w:rPr>
          <w:spacing w:val="-13"/>
          <w:w w:val="105"/>
          <w:sz w:val="11"/>
        </w:rPr>
        <w:t> </w:t>
      </w:r>
      <w:r>
        <w:rPr>
          <w:w w:val="105"/>
          <w:sz w:val="11"/>
        </w:rPr>
        <w:t>HMT</w:t>
      </w:r>
      <w:r>
        <w:rPr>
          <w:spacing w:val="-3"/>
          <w:w w:val="105"/>
          <w:sz w:val="11"/>
        </w:rPr>
        <w:t> </w:t>
      </w:r>
      <w:r>
        <w:rPr>
          <w:w w:val="105"/>
          <w:sz w:val="11"/>
        </w:rPr>
        <w:t>approval*</w:t>
        <w:tab/>
      </w:r>
      <w:r>
        <w:rPr>
          <w:w w:val="105"/>
          <w:sz w:val="11"/>
          <w:u w:val="single"/>
        </w:rPr>
        <w:t> </w:t>
        <w:tab/>
        <w:t>-</w:t>
        <w:tab/>
        <w:t>- </w:t>
        <w:tab/>
        <w:t>-</w:t>
        <w:tab/>
        <w:t>-</w:t>
      </w:r>
    </w:p>
    <w:p>
      <w:pPr>
        <w:tabs>
          <w:tab w:pos="4141" w:val="left" w:leader="none"/>
          <w:tab w:pos="4983" w:val="left" w:leader="none"/>
          <w:tab w:pos="5807" w:val="left" w:leader="none"/>
          <w:tab w:pos="7153" w:val="left" w:leader="none"/>
          <w:tab w:pos="8096" w:val="left" w:leader="none"/>
        </w:tabs>
        <w:spacing w:before="11"/>
        <w:ind w:left="323" w:right="0" w:firstLine="0"/>
        <w:jc w:val="left"/>
        <w:rPr>
          <w:b/>
          <w:sz w:val="11"/>
        </w:rPr>
      </w:pPr>
      <w:r>
        <w:rPr>
          <w:b/>
          <w:w w:val="105"/>
          <w:sz w:val="11"/>
        </w:rPr>
        <w:t>Total</w:t>
        <w:tab/>
      </w:r>
      <w:r>
        <w:rPr>
          <w:b/>
          <w:w w:val="105"/>
          <w:sz w:val="11"/>
          <w:u w:val="single"/>
        </w:rPr>
        <w:t> </w:t>
        <w:tab/>
        <w:t>1</w:t>
        <w:tab/>
        <w:t>2,833 </w:t>
        <w:tab/>
        <w:t>-</w:t>
        <w:tab/>
        <w:t>-</w:t>
      </w:r>
    </w:p>
    <w:p>
      <w:pPr>
        <w:pStyle w:val="BodyText"/>
        <w:rPr>
          <w:b/>
          <w:sz w:val="26"/>
        </w:rPr>
      </w:pPr>
    </w:p>
    <w:p>
      <w:pPr>
        <w:spacing w:before="97"/>
        <w:ind w:left="315" w:right="0" w:firstLine="0"/>
        <w:jc w:val="both"/>
        <w:rPr>
          <w:sz w:val="11"/>
        </w:rPr>
      </w:pPr>
      <w:r>
        <w:rPr>
          <w:w w:val="105"/>
          <w:sz w:val="11"/>
        </w:rPr>
        <w:t>The CCG can confirm that there were no senior manager service contracts, exit packages or severance packages made during 2021-22.</w:t>
      </w:r>
    </w:p>
    <w:p>
      <w:pPr>
        <w:spacing w:line="268" w:lineRule="auto" w:before="16"/>
        <w:ind w:left="316" w:right="562" w:firstLine="0"/>
        <w:jc w:val="both"/>
        <w:rPr>
          <w:sz w:val="11"/>
        </w:rPr>
      </w:pPr>
      <w:r>
        <w:rPr>
          <w:w w:val="105"/>
          <w:sz w:val="11"/>
        </w:rPr>
        <w:t>There was no compensation for early retirement or loss of office or payments to past directors during 2021-22. The CCG has no losses or special payments to report in 2021-22, however a contractual payment in relation to an agreed departure was made to the value of £5.6k by Hull CCG in 2021-22, this cost was shared with NHS North Lincolnshire CCG, this equated to £2.8k per CCG.</w:t>
      </w:r>
    </w:p>
    <w:p>
      <w:pPr>
        <w:pStyle w:val="BodyText"/>
        <w:rPr>
          <w:sz w:val="12"/>
        </w:rPr>
      </w:pPr>
    </w:p>
    <w:p>
      <w:pPr>
        <w:spacing w:before="1"/>
        <w:ind w:left="315" w:right="0" w:firstLine="0"/>
        <w:jc w:val="both"/>
        <w:rPr>
          <w:sz w:val="11"/>
        </w:rPr>
      </w:pPr>
      <w:r>
        <w:rPr>
          <w:w w:val="105"/>
          <w:sz w:val="11"/>
        </w:rPr>
        <w:t>Exit costs are accounted for in accordance with relevant accounting standards and at the latest in full in the year of departure.</w:t>
      </w:r>
    </w:p>
    <w:p>
      <w:pPr>
        <w:spacing w:after="0"/>
        <w:jc w:val="both"/>
        <w:rPr>
          <w:sz w:val="11"/>
        </w:rPr>
        <w:sectPr>
          <w:type w:val="continuous"/>
          <w:pgSz w:w="11920" w:h="16850"/>
          <w:pgMar w:top="1600" w:bottom="560" w:left="740" w:right="520"/>
        </w:sectPr>
      </w:pPr>
    </w:p>
    <w:p>
      <w:pPr>
        <w:spacing w:before="66"/>
        <w:ind w:left="323" w:right="0" w:firstLine="0"/>
        <w:jc w:val="both"/>
        <w:rPr>
          <w:sz w:val="16"/>
        </w:rPr>
      </w:pPr>
      <w:r>
        <w:rPr>
          <w:sz w:val="16"/>
        </w:rPr>
        <w:t>NHS North Lincolnshire CCG - Annual Accounts 2021-22</w:t>
      </w:r>
    </w:p>
    <w:p>
      <w:pPr>
        <w:pStyle w:val="BodyText"/>
        <w:spacing w:before="6"/>
        <w:rPr>
          <w:sz w:val="17"/>
        </w:rPr>
      </w:pPr>
    </w:p>
    <w:p>
      <w:pPr>
        <w:pStyle w:val="ListParagraph"/>
        <w:numPr>
          <w:ilvl w:val="1"/>
          <w:numId w:val="25"/>
        </w:numPr>
        <w:tabs>
          <w:tab w:pos="588" w:val="left" w:leader="none"/>
        </w:tabs>
        <w:spacing w:line="240" w:lineRule="auto" w:before="1" w:after="0"/>
        <w:ind w:left="587" w:right="0" w:hanging="265"/>
        <w:jc w:val="left"/>
        <w:rPr>
          <w:b/>
          <w:sz w:val="16"/>
        </w:rPr>
      </w:pPr>
      <w:r>
        <w:rPr>
          <w:b/>
          <w:sz w:val="16"/>
        </w:rPr>
        <w:t>Pension</w:t>
      </w:r>
      <w:r>
        <w:rPr>
          <w:b/>
          <w:spacing w:val="-2"/>
          <w:sz w:val="16"/>
        </w:rPr>
        <w:t> </w:t>
      </w:r>
      <w:r>
        <w:rPr>
          <w:b/>
          <w:sz w:val="16"/>
        </w:rPr>
        <w:t>costs</w:t>
      </w:r>
    </w:p>
    <w:p>
      <w:pPr>
        <w:pStyle w:val="BodyText"/>
        <w:spacing w:before="7"/>
        <w:rPr>
          <w:b/>
          <w:sz w:val="18"/>
        </w:rPr>
      </w:pPr>
    </w:p>
    <w:p>
      <w:pPr>
        <w:spacing w:line="271" w:lineRule="auto" w:before="0"/>
        <w:ind w:left="322" w:right="561" w:firstLine="0"/>
        <w:jc w:val="both"/>
        <w:rPr>
          <w:sz w:val="16"/>
        </w:rPr>
      </w:pPr>
      <w:r>
        <w:rPr>
          <w:w w:val="105"/>
          <w:sz w:val="16"/>
        </w:rPr>
        <w:t>Past and present employees are covered by the provisions of the two NHS Pension Schemes. Details of the benefits payable and rules</w:t>
      </w:r>
      <w:r>
        <w:rPr>
          <w:spacing w:val="-12"/>
          <w:w w:val="105"/>
          <w:sz w:val="16"/>
        </w:rPr>
        <w:t> </w:t>
      </w:r>
      <w:r>
        <w:rPr>
          <w:w w:val="105"/>
          <w:sz w:val="16"/>
        </w:rPr>
        <w:t>of</w:t>
      </w:r>
      <w:r>
        <w:rPr>
          <w:spacing w:val="-11"/>
          <w:w w:val="105"/>
          <w:sz w:val="16"/>
        </w:rPr>
        <w:t> </w:t>
      </w:r>
      <w:r>
        <w:rPr>
          <w:w w:val="105"/>
          <w:sz w:val="16"/>
        </w:rPr>
        <w:t>the</w:t>
      </w:r>
      <w:r>
        <w:rPr>
          <w:spacing w:val="-14"/>
          <w:w w:val="105"/>
          <w:sz w:val="16"/>
        </w:rPr>
        <w:t> </w:t>
      </w:r>
      <w:r>
        <w:rPr>
          <w:w w:val="105"/>
          <w:sz w:val="16"/>
        </w:rPr>
        <w:t>Schemes</w:t>
      </w:r>
      <w:r>
        <w:rPr>
          <w:spacing w:val="-12"/>
          <w:w w:val="105"/>
          <w:sz w:val="16"/>
        </w:rPr>
        <w:t> </w:t>
      </w:r>
      <w:r>
        <w:rPr>
          <w:w w:val="105"/>
          <w:sz w:val="16"/>
        </w:rPr>
        <w:t>can</w:t>
      </w:r>
      <w:r>
        <w:rPr>
          <w:spacing w:val="-14"/>
          <w:w w:val="105"/>
          <w:sz w:val="16"/>
        </w:rPr>
        <w:t> </w:t>
      </w:r>
      <w:r>
        <w:rPr>
          <w:w w:val="105"/>
          <w:sz w:val="16"/>
        </w:rPr>
        <w:t>be</w:t>
      </w:r>
      <w:r>
        <w:rPr>
          <w:spacing w:val="-13"/>
          <w:w w:val="105"/>
          <w:sz w:val="16"/>
        </w:rPr>
        <w:t> </w:t>
      </w:r>
      <w:r>
        <w:rPr>
          <w:w w:val="105"/>
          <w:sz w:val="16"/>
        </w:rPr>
        <w:t>found</w:t>
      </w:r>
      <w:r>
        <w:rPr>
          <w:spacing w:val="-14"/>
          <w:w w:val="105"/>
          <w:sz w:val="16"/>
        </w:rPr>
        <w:t> </w:t>
      </w:r>
      <w:r>
        <w:rPr>
          <w:w w:val="105"/>
          <w:sz w:val="16"/>
        </w:rPr>
        <w:t>on</w:t>
      </w:r>
      <w:r>
        <w:rPr>
          <w:spacing w:val="-14"/>
          <w:w w:val="105"/>
          <w:sz w:val="16"/>
        </w:rPr>
        <w:t> </w:t>
      </w:r>
      <w:r>
        <w:rPr>
          <w:w w:val="105"/>
          <w:sz w:val="16"/>
        </w:rPr>
        <w:t>the</w:t>
      </w:r>
      <w:r>
        <w:rPr>
          <w:spacing w:val="-15"/>
          <w:w w:val="105"/>
          <w:sz w:val="16"/>
        </w:rPr>
        <w:t> </w:t>
      </w:r>
      <w:r>
        <w:rPr>
          <w:w w:val="105"/>
          <w:sz w:val="16"/>
        </w:rPr>
        <w:t>NHS</w:t>
      </w:r>
      <w:r>
        <w:rPr>
          <w:spacing w:val="-10"/>
          <w:w w:val="105"/>
          <w:sz w:val="16"/>
        </w:rPr>
        <w:t> </w:t>
      </w:r>
      <w:r>
        <w:rPr>
          <w:w w:val="105"/>
          <w:sz w:val="16"/>
        </w:rPr>
        <w:t>Pensions</w:t>
      </w:r>
      <w:r>
        <w:rPr>
          <w:spacing w:val="-12"/>
          <w:w w:val="105"/>
          <w:sz w:val="16"/>
        </w:rPr>
        <w:t> </w:t>
      </w:r>
      <w:r>
        <w:rPr>
          <w:w w:val="105"/>
          <w:sz w:val="16"/>
        </w:rPr>
        <w:t>website</w:t>
      </w:r>
      <w:r>
        <w:rPr>
          <w:spacing w:val="-11"/>
          <w:w w:val="105"/>
          <w:sz w:val="16"/>
        </w:rPr>
        <w:t> </w:t>
      </w:r>
      <w:r>
        <w:rPr>
          <w:w w:val="105"/>
          <w:sz w:val="16"/>
        </w:rPr>
        <w:t>at</w:t>
      </w:r>
      <w:r>
        <w:rPr>
          <w:spacing w:val="-11"/>
          <w:w w:val="105"/>
          <w:sz w:val="16"/>
        </w:rPr>
        <w:t> </w:t>
      </w:r>
      <w:hyperlink r:id="rId49">
        <w:r>
          <w:rPr>
            <w:w w:val="105"/>
            <w:sz w:val="16"/>
          </w:rPr>
          <w:t>www.nhsbsa.nhs.uk/pensions.</w:t>
        </w:r>
        <w:r>
          <w:rPr>
            <w:spacing w:val="-13"/>
            <w:w w:val="105"/>
            <w:sz w:val="16"/>
          </w:rPr>
          <w:t> </w:t>
        </w:r>
      </w:hyperlink>
      <w:r>
        <w:rPr>
          <w:w w:val="105"/>
          <w:sz w:val="16"/>
        </w:rPr>
        <w:t>Both</w:t>
      </w:r>
      <w:r>
        <w:rPr>
          <w:spacing w:val="-9"/>
          <w:w w:val="105"/>
          <w:sz w:val="16"/>
        </w:rPr>
        <w:t> </w:t>
      </w:r>
      <w:r>
        <w:rPr>
          <w:w w:val="105"/>
          <w:sz w:val="16"/>
        </w:rPr>
        <w:t>are</w:t>
      </w:r>
      <w:r>
        <w:rPr>
          <w:spacing w:val="-16"/>
          <w:w w:val="105"/>
          <w:sz w:val="16"/>
        </w:rPr>
        <w:t> </w:t>
      </w:r>
      <w:r>
        <w:rPr>
          <w:w w:val="105"/>
          <w:sz w:val="16"/>
        </w:rPr>
        <w:t>unfunded</w:t>
      </w:r>
      <w:r>
        <w:rPr>
          <w:spacing w:val="-11"/>
          <w:w w:val="105"/>
          <w:sz w:val="16"/>
        </w:rPr>
        <w:t> </w:t>
      </w:r>
      <w:r>
        <w:rPr>
          <w:w w:val="105"/>
          <w:sz w:val="16"/>
        </w:rPr>
        <w:t>defined</w:t>
      </w:r>
      <w:r>
        <w:rPr>
          <w:spacing w:val="-13"/>
          <w:w w:val="105"/>
          <w:sz w:val="16"/>
        </w:rPr>
        <w:t> </w:t>
      </w:r>
      <w:r>
        <w:rPr>
          <w:w w:val="105"/>
          <w:sz w:val="16"/>
        </w:rPr>
        <w:t>benefit schemes that cover NHS employers, GP practices and other bodies, allowed under the direction of the Secretary of State for Health and</w:t>
      </w:r>
      <w:r>
        <w:rPr>
          <w:spacing w:val="-11"/>
          <w:w w:val="105"/>
          <w:sz w:val="16"/>
        </w:rPr>
        <w:t> </w:t>
      </w:r>
      <w:r>
        <w:rPr>
          <w:w w:val="105"/>
          <w:sz w:val="16"/>
        </w:rPr>
        <w:t>Social</w:t>
      </w:r>
      <w:r>
        <w:rPr>
          <w:spacing w:val="-5"/>
          <w:w w:val="105"/>
          <w:sz w:val="16"/>
        </w:rPr>
        <w:t> </w:t>
      </w:r>
      <w:r>
        <w:rPr>
          <w:w w:val="105"/>
          <w:sz w:val="16"/>
        </w:rPr>
        <w:t>Care</w:t>
      </w:r>
      <w:r>
        <w:rPr>
          <w:spacing w:val="-10"/>
          <w:w w:val="105"/>
          <w:sz w:val="16"/>
        </w:rPr>
        <w:t> </w:t>
      </w:r>
      <w:r>
        <w:rPr>
          <w:w w:val="105"/>
          <w:sz w:val="16"/>
        </w:rPr>
        <w:t>in</w:t>
      </w:r>
      <w:r>
        <w:rPr>
          <w:spacing w:val="-11"/>
          <w:w w:val="105"/>
          <w:sz w:val="16"/>
        </w:rPr>
        <w:t> </w:t>
      </w:r>
      <w:r>
        <w:rPr>
          <w:w w:val="105"/>
          <w:sz w:val="16"/>
        </w:rPr>
        <w:t>England</w:t>
      </w:r>
      <w:r>
        <w:rPr>
          <w:spacing w:val="-8"/>
          <w:w w:val="105"/>
          <w:sz w:val="16"/>
        </w:rPr>
        <w:t> </w:t>
      </w:r>
      <w:r>
        <w:rPr>
          <w:w w:val="105"/>
          <w:sz w:val="16"/>
        </w:rPr>
        <w:t>and</w:t>
      </w:r>
      <w:r>
        <w:rPr>
          <w:spacing w:val="-8"/>
          <w:w w:val="105"/>
          <w:sz w:val="16"/>
        </w:rPr>
        <w:t> </w:t>
      </w:r>
      <w:r>
        <w:rPr>
          <w:w w:val="105"/>
          <w:sz w:val="16"/>
        </w:rPr>
        <w:t>Wales.</w:t>
      </w:r>
      <w:r>
        <w:rPr>
          <w:spacing w:val="-6"/>
          <w:w w:val="105"/>
          <w:sz w:val="16"/>
        </w:rPr>
        <w:t> </w:t>
      </w:r>
      <w:r>
        <w:rPr>
          <w:w w:val="105"/>
          <w:sz w:val="16"/>
        </w:rPr>
        <w:t>They</w:t>
      </w:r>
      <w:r>
        <w:rPr>
          <w:spacing w:val="-8"/>
          <w:w w:val="105"/>
          <w:sz w:val="16"/>
        </w:rPr>
        <w:t> </w:t>
      </w:r>
      <w:r>
        <w:rPr>
          <w:w w:val="105"/>
          <w:sz w:val="16"/>
        </w:rPr>
        <w:t>are</w:t>
      </w:r>
      <w:r>
        <w:rPr>
          <w:spacing w:val="-8"/>
          <w:w w:val="105"/>
          <w:sz w:val="16"/>
        </w:rPr>
        <w:t> </w:t>
      </w:r>
      <w:r>
        <w:rPr>
          <w:w w:val="105"/>
          <w:sz w:val="16"/>
        </w:rPr>
        <w:t>not</w:t>
      </w:r>
      <w:r>
        <w:rPr>
          <w:spacing w:val="-6"/>
          <w:w w:val="105"/>
          <w:sz w:val="16"/>
        </w:rPr>
        <w:t> </w:t>
      </w:r>
      <w:r>
        <w:rPr>
          <w:w w:val="105"/>
          <w:sz w:val="16"/>
        </w:rPr>
        <w:t>designed</w:t>
      </w:r>
      <w:r>
        <w:rPr>
          <w:spacing w:val="-8"/>
          <w:w w:val="105"/>
          <w:sz w:val="16"/>
        </w:rPr>
        <w:t> </w:t>
      </w:r>
      <w:r>
        <w:rPr>
          <w:w w:val="105"/>
          <w:sz w:val="16"/>
        </w:rPr>
        <w:t>to</w:t>
      </w:r>
      <w:r>
        <w:rPr>
          <w:spacing w:val="-10"/>
          <w:w w:val="105"/>
          <w:sz w:val="16"/>
        </w:rPr>
        <w:t> </w:t>
      </w:r>
      <w:r>
        <w:rPr>
          <w:w w:val="105"/>
          <w:sz w:val="16"/>
        </w:rPr>
        <w:t>be</w:t>
      </w:r>
      <w:r>
        <w:rPr>
          <w:spacing w:val="-9"/>
          <w:w w:val="105"/>
          <w:sz w:val="16"/>
        </w:rPr>
        <w:t> </w:t>
      </w:r>
      <w:r>
        <w:rPr>
          <w:w w:val="105"/>
          <w:sz w:val="16"/>
        </w:rPr>
        <w:t>run</w:t>
      </w:r>
      <w:r>
        <w:rPr>
          <w:spacing w:val="-10"/>
          <w:w w:val="105"/>
          <w:sz w:val="16"/>
        </w:rPr>
        <w:t> </w:t>
      </w:r>
      <w:r>
        <w:rPr>
          <w:w w:val="105"/>
          <w:sz w:val="16"/>
        </w:rPr>
        <w:t>in</w:t>
      </w:r>
      <w:r>
        <w:rPr>
          <w:spacing w:val="-10"/>
          <w:w w:val="105"/>
          <w:sz w:val="16"/>
        </w:rPr>
        <w:t> </w:t>
      </w:r>
      <w:r>
        <w:rPr>
          <w:w w:val="105"/>
          <w:sz w:val="16"/>
        </w:rPr>
        <w:t>a</w:t>
      </w:r>
      <w:r>
        <w:rPr>
          <w:spacing w:val="-8"/>
          <w:w w:val="105"/>
          <w:sz w:val="16"/>
        </w:rPr>
        <w:t> </w:t>
      </w:r>
      <w:r>
        <w:rPr>
          <w:w w:val="105"/>
          <w:sz w:val="16"/>
        </w:rPr>
        <w:t>way</w:t>
      </w:r>
      <w:r>
        <w:rPr>
          <w:spacing w:val="-11"/>
          <w:w w:val="105"/>
          <w:sz w:val="16"/>
        </w:rPr>
        <w:t> </w:t>
      </w:r>
      <w:r>
        <w:rPr>
          <w:w w:val="105"/>
          <w:sz w:val="16"/>
        </w:rPr>
        <w:t>that</w:t>
      </w:r>
      <w:r>
        <w:rPr>
          <w:spacing w:val="-6"/>
          <w:w w:val="105"/>
          <w:sz w:val="16"/>
        </w:rPr>
        <w:t> </w:t>
      </w:r>
      <w:r>
        <w:rPr>
          <w:w w:val="105"/>
          <w:sz w:val="16"/>
        </w:rPr>
        <w:t>would</w:t>
      </w:r>
      <w:r>
        <w:rPr>
          <w:spacing w:val="-8"/>
          <w:w w:val="105"/>
          <w:sz w:val="16"/>
        </w:rPr>
        <w:t> </w:t>
      </w:r>
      <w:r>
        <w:rPr>
          <w:w w:val="105"/>
          <w:sz w:val="16"/>
        </w:rPr>
        <w:t>enable</w:t>
      </w:r>
      <w:r>
        <w:rPr>
          <w:spacing w:val="-9"/>
          <w:w w:val="105"/>
          <w:sz w:val="16"/>
        </w:rPr>
        <w:t> </w:t>
      </w:r>
      <w:r>
        <w:rPr>
          <w:w w:val="105"/>
          <w:sz w:val="16"/>
        </w:rPr>
        <w:t>NHS</w:t>
      </w:r>
      <w:r>
        <w:rPr>
          <w:spacing w:val="-7"/>
          <w:w w:val="105"/>
          <w:sz w:val="16"/>
        </w:rPr>
        <w:t> </w:t>
      </w:r>
      <w:r>
        <w:rPr>
          <w:w w:val="105"/>
          <w:sz w:val="16"/>
        </w:rPr>
        <w:t>bodies</w:t>
      </w:r>
      <w:r>
        <w:rPr>
          <w:spacing w:val="-6"/>
          <w:w w:val="105"/>
          <w:sz w:val="16"/>
        </w:rPr>
        <w:t> </w:t>
      </w:r>
      <w:r>
        <w:rPr>
          <w:w w:val="105"/>
          <w:sz w:val="16"/>
        </w:rPr>
        <w:t>to</w:t>
      </w:r>
      <w:r>
        <w:rPr>
          <w:spacing w:val="-11"/>
          <w:w w:val="105"/>
          <w:sz w:val="16"/>
        </w:rPr>
        <w:t> </w:t>
      </w:r>
      <w:r>
        <w:rPr>
          <w:w w:val="105"/>
          <w:sz w:val="16"/>
        </w:rPr>
        <w:t>identify</w:t>
      </w:r>
      <w:r>
        <w:rPr>
          <w:spacing w:val="-11"/>
          <w:w w:val="105"/>
          <w:sz w:val="16"/>
        </w:rPr>
        <w:t> </w:t>
      </w:r>
      <w:r>
        <w:rPr>
          <w:w w:val="105"/>
          <w:sz w:val="16"/>
        </w:rPr>
        <w:t>their</w:t>
      </w:r>
      <w:r>
        <w:rPr>
          <w:spacing w:val="-9"/>
          <w:w w:val="105"/>
          <w:sz w:val="16"/>
        </w:rPr>
        <w:t> </w:t>
      </w:r>
      <w:r>
        <w:rPr>
          <w:w w:val="105"/>
          <w:sz w:val="16"/>
        </w:rPr>
        <w:t>share of</w:t>
      </w:r>
      <w:r>
        <w:rPr>
          <w:spacing w:val="-1"/>
          <w:w w:val="105"/>
          <w:sz w:val="16"/>
        </w:rPr>
        <w:t> </w:t>
      </w:r>
      <w:r>
        <w:rPr>
          <w:w w:val="105"/>
          <w:sz w:val="16"/>
        </w:rPr>
        <w:t>the</w:t>
      </w:r>
      <w:r>
        <w:rPr>
          <w:spacing w:val="-7"/>
          <w:w w:val="105"/>
          <w:sz w:val="16"/>
        </w:rPr>
        <w:t> </w:t>
      </w:r>
      <w:r>
        <w:rPr>
          <w:w w:val="105"/>
          <w:sz w:val="16"/>
        </w:rPr>
        <w:t>underlying</w:t>
      </w:r>
      <w:r>
        <w:rPr>
          <w:spacing w:val="-5"/>
          <w:w w:val="105"/>
          <w:sz w:val="16"/>
        </w:rPr>
        <w:t> </w:t>
      </w:r>
      <w:r>
        <w:rPr>
          <w:w w:val="105"/>
          <w:sz w:val="16"/>
        </w:rPr>
        <w:t>scheme</w:t>
      </w:r>
      <w:r>
        <w:rPr>
          <w:spacing w:val="-7"/>
          <w:w w:val="105"/>
          <w:sz w:val="16"/>
        </w:rPr>
        <w:t> </w:t>
      </w:r>
      <w:r>
        <w:rPr>
          <w:w w:val="105"/>
          <w:sz w:val="16"/>
        </w:rPr>
        <w:t>assets</w:t>
      </w:r>
      <w:r>
        <w:rPr>
          <w:spacing w:val="-2"/>
          <w:w w:val="105"/>
          <w:sz w:val="16"/>
        </w:rPr>
        <w:t> </w:t>
      </w:r>
      <w:r>
        <w:rPr>
          <w:w w:val="105"/>
          <w:sz w:val="16"/>
        </w:rPr>
        <w:t>and</w:t>
      </w:r>
      <w:r>
        <w:rPr>
          <w:spacing w:val="-6"/>
          <w:w w:val="105"/>
          <w:sz w:val="16"/>
        </w:rPr>
        <w:t> </w:t>
      </w:r>
      <w:r>
        <w:rPr>
          <w:w w:val="105"/>
          <w:sz w:val="16"/>
        </w:rPr>
        <w:t>liabilities.</w:t>
      </w:r>
      <w:r>
        <w:rPr>
          <w:spacing w:val="-3"/>
          <w:w w:val="105"/>
          <w:sz w:val="16"/>
        </w:rPr>
        <w:t> </w:t>
      </w:r>
      <w:r>
        <w:rPr>
          <w:w w:val="105"/>
          <w:sz w:val="16"/>
        </w:rPr>
        <w:t>Therefore,</w:t>
      </w:r>
      <w:r>
        <w:rPr>
          <w:spacing w:val="-1"/>
          <w:w w:val="105"/>
          <w:sz w:val="16"/>
        </w:rPr>
        <w:t> </w:t>
      </w:r>
      <w:r>
        <w:rPr>
          <w:w w:val="105"/>
          <w:sz w:val="16"/>
        </w:rPr>
        <w:t>each</w:t>
      </w:r>
      <w:r>
        <w:rPr>
          <w:spacing w:val="-8"/>
          <w:w w:val="105"/>
          <w:sz w:val="16"/>
        </w:rPr>
        <w:t> </w:t>
      </w:r>
      <w:r>
        <w:rPr>
          <w:w w:val="105"/>
          <w:sz w:val="16"/>
        </w:rPr>
        <w:t>scheme</w:t>
      </w:r>
      <w:r>
        <w:rPr>
          <w:spacing w:val="-8"/>
          <w:w w:val="105"/>
          <w:sz w:val="16"/>
        </w:rPr>
        <w:t> </w:t>
      </w:r>
      <w:r>
        <w:rPr>
          <w:w w:val="105"/>
          <w:sz w:val="16"/>
        </w:rPr>
        <w:t>is</w:t>
      </w:r>
      <w:r>
        <w:rPr>
          <w:spacing w:val="-4"/>
          <w:w w:val="105"/>
          <w:sz w:val="16"/>
        </w:rPr>
        <w:t> </w:t>
      </w:r>
      <w:r>
        <w:rPr>
          <w:w w:val="105"/>
          <w:sz w:val="16"/>
        </w:rPr>
        <w:t>accounted</w:t>
      </w:r>
      <w:r>
        <w:rPr>
          <w:spacing w:val="-5"/>
          <w:w w:val="105"/>
          <w:sz w:val="16"/>
        </w:rPr>
        <w:t> </w:t>
      </w:r>
      <w:r>
        <w:rPr>
          <w:w w:val="105"/>
          <w:sz w:val="16"/>
        </w:rPr>
        <w:t>for</w:t>
      </w:r>
      <w:r>
        <w:rPr>
          <w:spacing w:val="-6"/>
          <w:w w:val="105"/>
          <w:sz w:val="16"/>
        </w:rPr>
        <w:t> </w:t>
      </w:r>
      <w:r>
        <w:rPr>
          <w:w w:val="105"/>
          <w:sz w:val="16"/>
        </w:rPr>
        <w:t>as</w:t>
      </w:r>
      <w:r>
        <w:rPr>
          <w:spacing w:val="-2"/>
          <w:w w:val="105"/>
          <w:sz w:val="16"/>
        </w:rPr>
        <w:t> </w:t>
      </w:r>
      <w:r>
        <w:rPr>
          <w:w w:val="105"/>
          <w:sz w:val="16"/>
        </w:rPr>
        <w:t>if</w:t>
      </w:r>
      <w:r>
        <w:rPr>
          <w:spacing w:val="1"/>
          <w:w w:val="105"/>
          <w:sz w:val="16"/>
        </w:rPr>
        <w:t> </w:t>
      </w:r>
      <w:r>
        <w:rPr>
          <w:w w:val="105"/>
          <w:sz w:val="16"/>
        </w:rPr>
        <w:t>it</w:t>
      </w:r>
      <w:r>
        <w:rPr>
          <w:spacing w:val="-3"/>
          <w:w w:val="105"/>
          <w:sz w:val="16"/>
        </w:rPr>
        <w:t> </w:t>
      </w:r>
      <w:r>
        <w:rPr>
          <w:w w:val="105"/>
          <w:sz w:val="16"/>
        </w:rPr>
        <w:t>were</w:t>
      </w:r>
      <w:r>
        <w:rPr>
          <w:spacing w:val="-4"/>
          <w:w w:val="105"/>
          <w:sz w:val="16"/>
        </w:rPr>
        <w:t> </w:t>
      </w:r>
      <w:r>
        <w:rPr>
          <w:w w:val="105"/>
          <w:sz w:val="16"/>
        </w:rPr>
        <w:t>a</w:t>
      </w:r>
      <w:r>
        <w:rPr>
          <w:spacing w:val="-6"/>
          <w:w w:val="105"/>
          <w:sz w:val="16"/>
        </w:rPr>
        <w:t> </w:t>
      </w:r>
      <w:r>
        <w:rPr>
          <w:w w:val="105"/>
          <w:sz w:val="16"/>
        </w:rPr>
        <w:t>defined</w:t>
      </w:r>
      <w:r>
        <w:rPr>
          <w:spacing w:val="-4"/>
          <w:w w:val="105"/>
          <w:sz w:val="16"/>
        </w:rPr>
        <w:t> </w:t>
      </w:r>
      <w:r>
        <w:rPr>
          <w:w w:val="105"/>
          <w:sz w:val="16"/>
        </w:rPr>
        <w:t>contribution</w:t>
      </w:r>
      <w:r>
        <w:rPr>
          <w:spacing w:val="-6"/>
          <w:w w:val="105"/>
          <w:sz w:val="16"/>
        </w:rPr>
        <w:t> </w:t>
      </w:r>
      <w:r>
        <w:rPr>
          <w:w w:val="105"/>
          <w:sz w:val="16"/>
        </w:rPr>
        <w:t>scheme: the cost to the NHS body of participating in each scheme is taken as equal to the contributions payable to that scheme for the accounting</w:t>
      </w:r>
      <w:r>
        <w:rPr>
          <w:spacing w:val="-6"/>
          <w:w w:val="105"/>
          <w:sz w:val="16"/>
        </w:rPr>
        <w:t> </w:t>
      </w:r>
      <w:r>
        <w:rPr>
          <w:w w:val="105"/>
          <w:sz w:val="16"/>
        </w:rPr>
        <w:t>period.</w:t>
      </w:r>
    </w:p>
    <w:p>
      <w:pPr>
        <w:pStyle w:val="BodyText"/>
        <w:spacing w:before="7"/>
        <w:rPr>
          <w:sz w:val="17"/>
        </w:rPr>
      </w:pPr>
    </w:p>
    <w:p>
      <w:pPr>
        <w:spacing w:line="271" w:lineRule="auto" w:before="1"/>
        <w:ind w:left="323" w:right="561" w:firstLine="0"/>
        <w:jc w:val="both"/>
        <w:rPr>
          <w:sz w:val="16"/>
        </w:rPr>
      </w:pPr>
      <w:r>
        <w:rPr>
          <w:w w:val="105"/>
          <w:sz w:val="16"/>
        </w:rPr>
        <w:t>In order that the defined benefit obligations recognised in the financial statements do not differ materially from those that would be determined</w:t>
      </w:r>
      <w:r>
        <w:rPr>
          <w:spacing w:val="-14"/>
          <w:w w:val="105"/>
          <w:sz w:val="16"/>
        </w:rPr>
        <w:t> </w:t>
      </w:r>
      <w:r>
        <w:rPr>
          <w:w w:val="105"/>
          <w:sz w:val="16"/>
        </w:rPr>
        <w:t>at</w:t>
      </w:r>
      <w:r>
        <w:rPr>
          <w:spacing w:val="-11"/>
          <w:w w:val="105"/>
          <w:sz w:val="16"/>
        </w:rPr>
        <w:t> </w:t>
      </w:r>
      <w:r>
        <w:rPr>
          <w:w w:val="105"/>
          <w:sz w:val="16"/>
        </w:rPr>
        <w:t>the</w:t>
      </w:r>
      <w:r>
        <w:rPr>
          <w:spacing w:val="-14"/>
          <w:w w:val="105"/>
          <w:sz w:val="16"/>
        </w:rPr>
        <w:t> </w:t>
      </w:r>
      <w:r>
        <w:rPr>
          <w:w w:val="105"/>
          <w:sz w:val="16"/>
        </w:rPr>
        <w:t>reporting</w:t>
      </w:r>
      <w:r>
        <w:rPr>
          <w:spacing w:val="-14"/>
          <w:w w:val="105"/>
          <w:sz w:val="16"/>
        </w:rPr>
        <w:t> </w:t>
      </w:r>
      <w:r>
        <w:rPr>
          <w:w w:val="105"/>
          <w:sz w:val="16"/>
        </w:rPr>
        <w:t>date</w:t>
      </w:r>
      <w:r>
        <w:rPr>
          <w:spacing w:val="-11"/>
          <w:w w:val="105"/>
          <w:sz w:val="16"/>
        </w:rPr>
        <w:t> </w:t>
      </w:r>
      <w:r>
        <w:rPr>
          <w:w w:val="105"/>
          <w:sz w:val="16"/>
        </w:rPr>
        <w:t>by</w:t>
      </w:r>
      <w:r>
        <w:rPr>
          <w:spacing w:val="-14"/>
          <w:w w:val="105"/>
          <w:sz w:val="16"/>
        </w:rPr>
        <w:t> </w:t>
      </w:r>
      <w:r>
        <w:rPr>
          <w:w w:val="105"/>
          <w:sz w:val="16"/>
        </w:rPr>
        <w:t>a</w:t>
      </w:r>
      <w:r>
        <w:rPr>
          <w:spacing w:val="-14"/>
          <w:w w:val="105"/>
          <w:sz w:val="16"/>
        </w:rPr>
        <w:t> </w:t>
      </w:r>
      <w:r>
        <w:rPr>
          <w:w w:val="105"/>
          <w:sz w:val="16"/>
        </w:rPr>
        <w:t>formal</w:t>
      </w:r>
      <w:r>
        <w:rPr>
          <w:spacing w:val="-11"/>
          <w:w w:val="105"/>
          <w:sz w:val="16"/>
        </w:rPr>
        <w:t> </w:t>
      </w:r>
      <w:r>
        <w:rPr>
          <w:w w:val="105"/>
          <w:sz w:val="16"/>
        </w:rPr>
        <w:t>actuarial</w:t>
      </w:r>
      <w:r>
        <w:rPr>
          <w:spacing w:val="-11"/>
          <w:w w:val="105"/>
          <w:sz w:val="16"/>
        </w:rPr>
        <w:t> </w:t>
      </w:r>
      <w:r>
        <w:rPr>
          <w:w w:val="105"/>
          <w:sz w:val="16"/>
        </w:rPr>
        <w:t>valuation,</w:t>
      </w:r>
      <w:r>
        <w:rPr>
          <w:spacing w:val="-11"/>
          <w:w w:val="105"/>
          <w:sz w:val="16"/>
        </w:rPr>
        <w:t> </w:t>
      </w:r>
      <w:r>
        <w:rPr>
          <w:w w:val="105"/>
          <w:sz w:val="16"/>
        </w:rPr>
        <w:t>the</w:t>
      </w:r>
      <w:r>
        <w:rPr>
          <w:spacing w:val="-14"/>
          <w:w w:val="105"/>
          <w:sz w:val="16"/>
        </w:rPr>
        <w:t> </w:t>
      </w:r>
      <w:r>
        <w:rPr>
          <w:w w:val="105"/>
          <w:sz w:val="16"/>
        </w:rPr>
        <w:t>FReM</w:t>
      </w:r>
      <w:r>
        <w:rPr>
          <w:spacing w:val="-13"/>
          <w:w w:val="105"/>
          <w:sz w:val="16"/>
        </w:rPr>
        <w:t> </w:t>
      </w:r>
      <w:r>
        <w:rPr>
          <w:w w:val="105"/>
          <w:sz w:val="16"/>
        </w:rPr>
        <w:t>requires</w:t>
      </w:r>
      <w:r>
        <w:rPr>
          <w:spacing w:val="-10"/>
          <w:w w:val="105"/>
          <w:sz w:val="16"/>
        </w:rPr>
        <w:t> </w:t>
      </w:r>
      <w:r>
        <w:rPr>
          <w:w w:val="105"/>
          <w:sz w:val="16"/>
        </w:rPr>
        <w:t>that</w:t>
      </w:r>
      <w:r>
        <w:rPr>
          <w:spacing w:val="-11"/>
          <w:w w:val="105"/>
          <w:sz w:val="16"/>
        </w:rPr>
        <w:t> </w:t>
      </w:r>
      <w:r>
        <w:rPr>
          <w:w w:val="105"/>
          <w:sz w:val="16"/>
        </w:rPr>
        <w:t>“the</w:t>
      </w:r>
      <w:r>
        <w:rPr>
          <w:spacing w:val="-11"/>
          <w:w w:val="105"/>
          <w:sz w:val="16"/>
        </w:rPr>
        <w:t> </w:t>
      </w:r>
      <w:r>
        <w:rPr>
          <w:w w:val="105"/>
          <w:sz w:val="16"/>
        </w:rPr>
        <w:t>period</w:t>
      </w:r>
      <w:r>
        <w:rPr>
          <w:spacing w:val="-14"/>
          <w:w w:val="105"/>
          <w:sz w:val="16"/>
        </w:rPr>
        <w:t> </w:t>
      </w:r>
      <w:r>
        <w:rPr>
          <w:w w:val="105"/>
          <w:sz w:val="16"/>
        </w:rPr>
        <w:t>between</w:t>
      </w:r>
      <w:r>
        <w:rPr>
          <w:spacing w:val="-13"/>
          <w:w w:val="105"/>
          <w:sz w:val="16"/>
        </w:rPr>
        <w:t> </w:t>
      </w:r>
      <w:r>
        <w:rPr>
          <w:w w:val="105"/>
          <w:sz w:val="16"/>
        </w:rPr>
        <w:t>formal</w:t>
      </w:r>
      <w:r>
        <w:rPr>
          <w:spacing w:val="-13"/>
          <w:w w:val="105"/>
          <w:sz w:val="16"/>
        </w:rPr>
        <w:t> </w:t>
      </w:r>
      <w:r>
        <w:rPr>
          <w:w w:val="105"/>
          <w:sz w:val="16"/>
        </w:rPr>
        <w:t>valuations</w:t>
      </w:r>
      <w:r>
        <w:rPr>
          <w:spacing w:val="-10"/>
          <w:w w:val="105"/>
          <w:sz w:val="16"/>
        </w:rPr>
        <w:t> </w:t>
      </w:r>
      <w:r>
        <w:rPr>
          <w:w w:val="105"/>
          <w:sz w:val="16"/>
        </w:rPr>
        <w:t>shall</w:t>
      </w:r>
      <w:r>
        <w:rPr>
          <w:spacing w:val="-12"/>
          <w:w w:val="105"/>
          <w:sz w:val="16"/>
        </w:rPr>
        <w:t> </w:t>
      </w:r>
      <w:r>
        <w:rPr>
          <w:w w:val="105"/>
          <w:sz w:val="16"/>
        </w:rPr>
        <w:t>be four</w:t>
      </w:r>
      <w:r>
        <w:rPr>
          <w:spacing w:val="-5"/>
          <w:w w:val="105"/>
          <w:sz w:val="16"/>
        </w:rPr>
        <w:t> </w:t>
      </w:r>
      <w:r>
        <w:rPr>
          <w:w w:val="105"/>
          <w:sz w:val="16"/>
        </w:rPr>
        <w:t>years,</w:t>
      </w:r>
      <w:r>
        <w:rPr>
          <w:spacing w:val="-3"/>
          <w:w w:val="105"/>
          <w:sz w:val="16"/>
        </w:rPr>
        <w:t> </w:t>
      </w:r>
      <w:r>
        <w:rPr>
          <w:w w:val="105"/>
          <w:sz w:val="16"/>
        </w:rPr>
        <w:t>with</w:t>
      </w:r>
      <w:r>
        <w:rPr>
          <w:spacing w:val="-6"/>
          <w:w w:val="105"/>
          <w:sz w:val="16"/>
        </w:rPr>
        <w:t> </w:t>
      </w:r>
      <w:r>
        <w:rPr>
          <w:w w:val="105"/>
          <w:sz w:val="16"/>
        </w:rPr>
        <w:t>approximate</w:t>
      </w:r>
      <w:r>
        <w:rPr>
          <w:spacing w:val="-4"/>
          <w:w w:val="105"/>
          <w:sz w:val="16"/>
        </w:rPr>
        <w:t> </w:t>
      </w:r>
      <w:r>
        <w:rPr>
          <w:w w:val="105"/>
          <w:sz w:val="16"/>
        </w:rPr>
        <w:t>assessments</w:t>
      </w:r>
      <w:r>
        <w:rPr>
          <w:spacing w:val="-1"/>
          <w:w w:val="105"/>
          <w:sz w:val="16"/>
        </w:rPr>
        <w:t> </w:t>
      </w:r>
      <w:r>
        <w:rPr>
          <w:w w:val="105"/>
          <w:sz w:val="16"/>
        </w:rPr>
        <w:t>in</w:t>
      </w:r>
      <w:r>
        <w:rPr>
          <w:spacing w:val="-6"/>
          <w:w w:val="105"/>
          <w:sz w:val="16"/>
        </w:rPr>
        <w:t> </w:t>
      </w:r>
      <w:r>
        <w:rPr>
          <w:w w:val="105"/>
          <w:sz w:val="16"/>
        </w:rPr>
        <w:t>intervening</w:t>
      </w:r>
      <w:r>
        <w:rPr>
          <w:spacing w:val="-6"/>
          <w:w w:val="105"/>
          <w:sz w:val="16"/>
        </w:rPr>
        <w:t> </w:t>
      </w:r>
      <w:r>
        <w:rPr>
          <w:w w:val="105"/>
          <w:sz w:val="16"/>
        </w:rPr>
        <w:t>years”.</w:t>
      </w:r>
      <w:r>
        <w:rPr>
          <w:spacing w:val="-3"/>
          <w:w w:val="105"/>
          <w:sz w:val="16"/>
        </w:rPr>
        <w:t> </w:t>
      </w:r>
      <w:r>
        <w:rPr>
          <w:w w:val="105"/>
          <w:sz w:val="16"/>
        </w:rPr>
        <w:t>An</w:t>
      </w:r>
      <w:r>
        <w:rPr>
          <w:spacing w:val="-6"/>
          <w:w w:val="105"/>
          <w:sz w:val="16"/>
        </w:rPr>
        <w:t> </w:t>
      </w:r>
      <w:r>
        <w:rPr>
          <w:w w:val="105"/>
          <w:sz w:val="16"/>
        </w:rPr>
        <w:t>outline</w:t>
      </w:r>
      <w:r>
        <w:rPr>
          <w:spacing w:val="-4"/>
          <w:w w:val="105"/>
          <w:sz w:val="16"/>
        </w:rPr>
        <w:t> </w:t>
      </w:r>
      <w:r>
        <w:rPr>
          <w:w w:val="105"/>
          <w:sz w:val="16"/>
        </w:rPr>
        <w:t>of</w:t>
      </w:r>
      <w:r>
        <w:rPr>
          <w:spacing w:val="-1"/>
          <w:w w:val="105"/>
          <w:sz w:val="16"/>
        </w:rPr>
        <w:t> </w:t>
      </w:r>
      <w:r>
        <w:rPr>
          <w:w w:val="105"/>
          <w:sz w:val="16"/>
        </w:rPr>
        <w:t>these</w:t>
      </w:r>
      <w:r>
        <w:rPr>
          <w:spacing w:val="-6"/>
          <w:w w:val="105"/>
          <w:sz w:val="16"/>
        </w:rPr>
        <w:t> </w:t>
      </w:r>
      <w:r>
        <w:rPr>
          <w:w w:val="105"/>
          <w:sz w:val="16"/>
        </w:rPr>
        <w:t>follows:</w:t>
      </w:r>
    </w:p>
    <w:p>
      <w:pPr>
        <w:pStyle w:val="BodyText"/>
        <w:spacing w:before="2"/>
        <w:rPr>
          <w:sz w:val="15"/>
        </w:rPr>
      </w:pPr>
    </w:p>
    <w:p>
      <w:pPr>
        <w:pStyle w:val="ListParagraph"/>
        <w:numPr>
          <w:ilvl w:val="2"/>
          <w:numId w:val="25"/>
        </w:numPr>
        <w:tabs>
          <w:tab w:pos="720" w:val="left" w:leader="none"/>
        </w:tabs>
        <w:spacing w:line="240" w:lineRule="auto" w:before="1" w:after="0"/>
        <w:ind w:left="719" w:right="0" w:hanging="400"/>
        <w:jc w:val="left"/>
        <w:rPr>
          <w:b/>
          <w:sz w:val="16"/>
        </w:rPr>
      </w:pPr>
      <w:r>
        <w:rPr>
          <w:b/>
          <w:sz w:val="16"/>
        </w:rPr>
        <w:t>Accounting</w:t>
      </w:r>
      <w:r>
        <w:rPr>
          <w:b/>
          <w:spacing w:val="-5"/>
          <w:sz w:val="16"/>
        </w:rPr>
        <w:t> </w:t>
      </w:r>
      <w:r>
        <w:rPr>
          <w:b/>
          <w:sz w:val="16"/>
        </w:rPr>
        <w:t>valuation</w:t>
      </w:r>
    </w:p>
    <w:p>
      <w:pPr>
        <w:pStyle w:val="BodyText"/>
        <w:rPr>
          <w:b/>
          <w:sz w:val="18"/>
        </w:rPr>
      </w:pPr>
    </w:p>
    <w:p>
      <w:pPr>
        <w:spacing w:line="271" w:lineRule="auto" w:before="110"/>
        <w:ind w:left="323" w:right="558" w:firstLine="0"/>
        <w:jc w:val="both"/>
        <w:rPr>
          <w:sz w:val="16"/>
        </w:rPr>
      </w:pPr>
      <w:r>
        <w:rPr>
          <w:w w:val="105"/>
          <w:sz w:val="16"/>
        </w:rPr>
        <w:t>A valuation of scheme liability is carried out annually by the scheme actuary (currently the Government Actuary’s Department) as at the end of the reporting period. This utilises an actuarial assessment for the previous accounting period in conjunction with updated membership and financial data for the current reporting period, and is accepted as providing suitably robust figures for financial reporting</w:t>
      </w:r>
      <w:r>
        <w:rPr>
          <w:spacing w:val="-9"/>
          <w:w w:val="105"/>
          <w:sz w:val="16"/>
        </w:rPr>
        <w:t> </w:t>
      </w:r>
      <w:r>
        <w:rPr>
          <w:w w:val="105"/>
          <w:sz w:val="16"/>
        </w:rPr>
        <w:t>purposes.</w:t>
      </w:r>
      <w:r>
        <w:rPr>
          <w:spacing w:val="-5"/>
          <w:w w:val="105"/>
          <w:sz w:val="16"/>
        </w:rPr>
        <w:t> </w:t>
      </w:r>
      <w:r>
        <w:rPr>
          <w:w w:val="105"/>
          <w:sz w:val="16"/>
        </w:rPr>
        <w:t>The</w:t>
      </w:r>
      <w:r>
        <w:rPr>
          <w:spacing w:val="-9"/>
          <w:w w:val="105"/>
          <w:sz w:val="16"/>
        </w:rPr>
        <w:t> </w:t>
      </w:r>
      <w:r>
        <w:rPr>
          <w:w w:val="105"/>
          <w:sz w:val="16"/>
        </w:rPr>
        <w:t>valuation</w:t>
      </w:r>
      <w:r>
        <w:rPr>
          <w:spacing w:val="-6"/>
          <w:w w:val="105"/>
          <w:sz w:val="16"/>
        </w:rPr>
        <w:t> </w:t>
      </w:r>
      <w:r>
        <w:rPr>
          <w:w w:val="105"/>
          <w:sz w:val="16"/>
        </w:rPr>
        <w:t>of</w:t>
      </w:r>
      <w:r>
        <w:rPr>
          <w:spacing w:val="-4"/>
          <w:w w:val="105"/>
          <w:sz w:val="16"/>
        </w:rPr>
        <w:t> </w:t>
      </w:r>
      <w:r>
        <w:rPr>
          <w:w w:val="105"/>
          <w:sz w:val="16"/>
        </w:rPr>
        <w:t>the</w:t>
      </w:r>
      <w:r>
        <w:rPr>
          <w:spacing w:val="-8"/>
          <w:w w:val="105"/>
          <w:sz w:val="16"/>
        </w:rPr>
        <w:t> </w:t>
      </w:r>
      <w:r>
        <w:rPr>
          <w:w w:val="105"/>
          <w:sz w:val="16"/>
        </w:rPr>
        <w:t>scheme</w:t>
      </w:r>
      <w:r>
        <w:rPr>
          <w:spacing w:val="-8"/>
          <w:w w:val="105"/>
          <w:sz w:val="16"/>
        </w:rPr>
        <w:t> </w:t>
      </w:r>
      <w:r>
        <w:rPr>
          <w:w w:val="105"/>
          <w:sz w:val="16"/>
        </w:rPr>
        <w:t>liability</w:t>
      </w:r>
      <w:r>
        <w:rPr>
          <w:spacing w:val="-9"/>
          <w:w w:val="105"/>
          <w:sz w:val="16"/>
        </w:rPr>
        <w:t> </w:t>
      </w:r>
      <w:r>
        <w:rPr>
          <w:w w:val="105"/>
          <w:sz w:val="16"/>
        </w:rPr>
        <w:t>as</w:t>
      </w:r>
      <w:r>
        <w:rPr>
          <w:spacing w:val="-6"/>
          <w:w w:val="105"/>
          <w:sz w:val="16"/>
        </w:rPr>
        <w:t> </w:t>
      </w:r>
      <w:r>
        <w:rPr>
          <w:w w:val="105"/>
          <w:sz w:val="16"/>
        </w:rPr>
        <w:t>at</w:t>
      </w:r>
      <w:r>
        <w:rPr>
          <w:spacing w:val="-6"/>
          <w:w w:val="105"/>
          <w:sz w:val="16"/>
        </w:rPr>
        <w:t> </w:t>
      </w:r>
      <w:r>
        <w:rPr>
          <w:w w:val="105"/>
          <w:sz w:val="16"/>
        </w:rPr>
        <w:t>31</w:t>
      </w:r>
      <w:r>
        <w:rPr>
          <w:spacing w:val="-8"/>
          <w:w w:val="105"/>
          <w:sz w:val="16"/>
        </w:rPr>
        <w:t> </w:t>
      </w:r>
      <w:r>
        <w:rPr>
          <w:w w:val="105"/>
          <w:sz w:val="16"/>
        </w:rPr>
        <w:t>March</w:t>
      </w:r>
      <w:r>
        <w:rPr>
          <w:spacing w:val="-6"/>
          <w:w w:val="105"/>
          <w:sz w:val="16"/>
        </w:rPr>
        <w:t> </w:t>
      </w:r>
      <w:r>
        <w:rPr>
          <w:w w:val="105"/>
          <w:sz w:val="16"/>
        </w:rPr>
        <w:t>2022,</w:t>
      </w:r>
      <w:r>
        <w:rPr>
          <w:spacing w:val="-6"/>
          <w:w w:val="105"/>
          <w:sz w:val="16"/>
        </w:rPr>
        <w:t> </w:t>
      </w:r>
      <w:r>
        <w:rPr>
          <w:w w:val="105"/>
          <w:sz w:val="16"/>
        </w:rPr>
        <w:t>is</w:t>
      </w:r>
      <w:r>
        <w:rPr>
          <w:spacing w:val="-6"/>
          <w:w w:val="105"/>
          <w:sz w:val="16"/>
        </w:rPr>
        <w:t> </w:t>
      </w:r>
      <w:r>
        <w:rPr>
          <w:w w:val="105"/>
          <w:sz w:val="16"/>
        </w:rPr>
        <w:t>based</w:t>
      </w:r>
      <w:r>
        <w:rPr>
          <w:spacing w:val="-9"/>
          <w:w w:val="105"/>
          <w:sz w:val="16"/>
        </w:rPr>
        <w:t> </w:t>
      </w:r>
      <w:r>
        <w:rPr>
          <w:w w:val="105"/>
          <w:sz w:val="16"/>
        </w:rPr>
        <w:t>on</w:t>
      </w:r>
      <w:r>
        <w:rPr>
          <w:spacing w:val="-10"/>
          <w:w w:val="105"/>
          <w:sz w:val="16"/>
        </w:rPr>
        <w:t> </w:t>
      </w:r>
      <w:r>
        <w:rPr>
          <w:w w:val="105"/>
          <w:sz w:val="16"/>
        </w:rPr>
        <w:t>valuation</w:t>
      </w:r>
      <w:r>
        <w:rPr>
          <w:spacing w:val="-6"/>
          <w:w w:val="105"/>
          <w:sz w:val="16"/>
        </w:rPr>
        <w:t> </w:t>
      </w:r>
      <w:r>
        <w:rPr>
          <w:w w:val="105"/>
          <w:sz w:val="16"/>
        </w:rPr>
        <w:t>data</w:t>
      </w:r>
      <w:r>
        <w:rPr>
          <w:spacing w:val="-10"/>
          <w:w w:val="105"/>
          <w:sz w:val="16"/>
        </w:rPr>
        <w:t> </w:t>
      </w:r>
      <w:r>
        <w:rPr>
          <w:w w:val="105"/>
          <w:sz w:val="16"/>
        </w:rPr>
        <w:t>as</w:t>
      </w:r>
      <w:r>
        <w:rPr>
          <w:spacing w:val="-5"/>
          <w:w w:val="105"/>
          <w:sz w:val="16"/>
        </w:rPr>
        <w:t> </w:t>
      </w:r>
      <w:r>
        <w:rPr>
          <w:w w:val="105"/>
          <w:sz w:val="16"/>
        </w:rPr>
        <w:t>31</w:t>
      </w:r>
      <w:r>
        <w:rPr>
          <w:spacing w:val="-10"/>
          <w:w w:val="105"/>
          <w:sz w:val="16"/>
        </w:rPr>
        <w:t> </w:t>
      </w:r>
      <w:r>
        <w:rPr>
          <w:w w:val="105"/>
          <w:sz w:val="16"/>
        </w:rPr>
        <w:t>March</w:t>
      </w:r>
      <w:r>
        <w:rPr>
          <w:spacing w:val="-6"/>
          <w:w w:val="105"/>
          <w:sz w:val="16"/>
        </w:rPr>
        <w:t> </w:t>
      </w:r>
      <w:r>
        <w:rPr>
          <w:w w:val="105"/>
          <w:sz w:val="16"/>
        </w:rPr>
        <w:t>2021,</w:t>
      </w:r>
      <w:r>
        <w:rPr>
          <w:spacing w:val="-5"/>
          <w:w w:val="105"/>
          <w:sz w:val="16"/>
        </w:rPr>
        <w:t> </w:t>
      </w:r>
      <w:r>
        <w:rPr>
          <w:w w:val="105"/>
          <w:sz w:val="16"/>
        </w:rPr>
        <w:t>updated to 31 March 2022 with summary global member and accounting data. In undertaking this actuarial assessment, the methodology prescribed</w:t>
      </w:r>
      <w:r>
        <w:rPr>
          <w:spacing w:val="-10"/>
          <w:w w:val="105"/>
          <w:sz w:val="16"/>
        </w:rPr>
        <w:t> </w:t>
      </w:r>
      <w:r>
        <w:rPr>
          <w:w w:val="105"/>
          <w:sz w:val="16"/>
        </w:rPr>
        <w:t>in</w:t>
      </w:r>
      <w:r>
        <w:rPr>
          <w:spacing w:val="-10"/>
          <w:w w:val="105"/>
          <w:sz w:val="16"/>
        </w:rPr>
        <w:t> </w:t>
      </w:r>
      <w:r>
        <w:rPr>
          <w:w w:val="105"/>
          <w:sz w:val="16"/>
        </w:rPr>
        <w:t>IAS</w:t>
      </w:r>
      <w:r>
        <w:rPr>
          <w:spacing w:val="-7"/>
          <w:w w:val="105"/>
          <w:sz w:val="16"/>
        </w:rPr>
        <w:t> </w:t>
      </w:r>
      <w:r>
        <w:rPr>
          <w:w w:val="105"/>
          <w:sz w:val="16"/>
        </w:rPr>
        <w:t>19,</w:t>
      </w:r>
      <w:r>
        <w:rPr>
          <w:spacing w:val="-6"/>
          <w:w w:val="105"/>
          <w:sz w:val="16"/>
        </w:rPr>
        <w:t> </w:t>
      </w:r>
      <w:r>
        <w:rPr>
          <w:w w:val="105"/>
          <w:sz w:val="16"/>
        </w:rPr>
        <w:t>relevant</w:t>
      </w:r>
      <w:r>
        <w:rPr>
          <w:spacing w:val="-7"/>
          <w:w w:val="105"/>
          <w:sz w:val="16"/>
        </w:rPr>
        <w:t> </w:t>
      </w:r>
      <w:r>
        <w:rPr>
          <w:w w:val="105"/>
          <w:sz w:val="16"/>
        </w:rPr>
        <w:t>FReM</w:t>
      </w:r>
      <w:r>
        <w:rPr>
          <w:spacing w:val="-8"/>
          <w:w w:val="105"/>
          <w:sz w:val="16"/>
        </w:rPr>
        <w:t> </w:t>
      </w:r>
      <w:r>
        <w:rPr>
          <w:w w:val="105"/>
          <w:sz w:val="16"/>
        </w:rPr>
        <w:t>interpretations,</w:t>
      </w:r>
      <w:r>
        <w:rPr>
          <w:spacing w:val="-7"/>
          <w:w w:val="105"/>
          <w:sz w:val="16"/>
        </w:rPr>
        <w:t> </w:t>
      </w:r>
      <w:r>
        <w:rPr>
          <w:w w:val="105"/>
          <w:sz w:val="16"/>
        </w:rPr>
        <w:t>and</w:t>
      </w:r>
      <w:r>
        <w:rPr>
          <w:spacing w:val="-9"/>
          <w:w w:val="105"/>
          <w:sz w:val="16"/>
        </w:rPr>
        <w:t> </w:t>
      </w:r>
      <w:r>
        <w:rPr>
          <w:w w:val="105"/>
          <w:sz w:val="16"/>
        </w:rPr>
        <w:t>the</w:t>
      </w:r>
      <w:r>
        <w:rPr>
          <w:spacing w:val="-10"/>
          <w:w w:val="105"/>
          <w:sz w:val="16"/>
        </w:rPr>
        <w:t> </w:t>
      </w:r>
      <w:r>
        <w:rPr>
          <w:w w:val="105"/>
          <w:sz w:val="16"/>
        </w:rPr>
        <w:t>discount</w:t>
      </w:r>
      <w:r>
        <w:rPr>
          <w:spacing w:val="-7"/>
          <w:w w:val="105"/>
          <w:sz w:val="16"/>
        </w:rPr>
        <w:t> </w:t>
      </w:r>
      <w:r>
        <w:rPr>
          <w:w w:val="105"/>
          <w:sz w:val="16"/>
        </w:rPr>
        <w:t>rate</w:t>
      </w:r>
      <w:r>
        <w:rPr>
          <w:spacing w:val="-9"/>
          <w:w w:val="105"/>
          <w:sz w:val="16"/>
        </w:rPr>
        <w:t> </w:t>
      </w:r>
      <w:r>
        <w:rPr>
          <w:w w:val="105"/>
          <w:sz w:val="16"/>
        </w:rPr>
        <w:t>prescribed</w:t>
      </w:r>
      <w:r>
        <w:rPr>
          <w:spacing w:val="-10"/>
          <w:w w:val="105"/>
          <w:sz w:val="16"/>
        </w:rPr>
        <w:t> </w:t>
      </w:r>
      <w:r>
        <w:rPr>
          <w:w w:val="105"/>
          <w:sz w:val="16"/>
        </w:rPr>
        <w:t>by</w:t>
      </w:r>
      <w:r>
        <w:rPr>
          <w:spacing w:val="-12"/>
          <w:w w:val="105"/>
          <w:sz w:val="16"/>
        </w:rPr>
        <w:t> </w:t>
      </w:r>
      <w:r>
        <w:rPr>
          <w:w w:val="105"/>
          <w:sz w:val="16"/>
        </w:rPr>
        <w:t>HM</w:t>
      </w:r>
      <w:r>
        <w:rPr>
          <w:spacing w:val="-8"/>
          <w:w w:val="105"/>
          <w:sz w:val="16"/>
        </w:rPr>
        <w:t> </w:t>
      </w:r>
      <w:r>
        <w:rPr>
          <w:w w:val="105"/>
          <w:sz w:val="16"/>
        </w:rPr>
        <w:t>Treasury</w:t>
      </w:r>
      <w:r>
        <w:rPr>
          <w:spacing w:val="-11"/>
          <w:w w:val="105"/>
          <w:sz w:val="16"/>
        </w:rPr>
        <w:t> </w:t>
      </w:r>
      <w:r>
        <w:rPr>
          <w:w w:val="105"/>
          <w:sz w:val="16"/>
        </w:rPr>
        <w:t>have</w:t>
      </w:r>
      <w:r>
        <w:rPr>
          <w:spacing w:val="-7"/>
          <w:w w:val="105"/>
          <w:sz w:val="16"/>
        </w:rPr>
        <w:t> </w:t>
      </w:r>
      <w:r>
        <w:rPr>
          <w:w w:val="105"/>
          <w:sz w:val="16"/>
        </w:rPr>
        <w:t>also</w:t>
      </w:r>
      <w:r>
        <w:rPr>
          <w:spacing w:val="-10"/>
          <w:w w:val="105"/>
          <w:sz w:val="16"/>
        </w:rPr>
        <w:t> </w:t>
      </w:r>
      <w:r>
        <w:rPr>
          <w:w w:val="105"/>
          <w:sz w:val="16"/>
        </w:rPr>
        <w:t>been</w:t>
      </w:r>
      <w:r>
        <w:rPr>
          <w:spacing w:val="-10"/>
          <w:w w:val="105"/>
          <w:sz w:val="16"/>
        </w:rPr>
        <w:t> </w:t>
      </w:r>
      <w:r>
        <w:rPr>
          <w:w w:val="105"/>
          <w:sz w:val="16"/>
        </w:rPr>
        <w:t>used.</w:t>
      </w:r>
    </w:p>
    <w:p>
      <w:pPr>
        <w:pStyle w:val="BodyText"/>
        <w:spacing w:before="6"/>
        <w:rPr>
          <w:sz w:val="26"/>
        </w:rPr>
      </w:pPr>
    </w:p>
    <w:p>
      <w:pPr>
        <w:spacing w:line="273" w:lineRule="auto" w:before="1"/>
        <w:ind w:left="323" w:right="562" w:hanging="1"/>
        <w:jc w:val="both"/>
        <w:rPr>
          <w:sz w:val="16"/>
        </w:rPr>
      </w:pPr>
      <w:r>
        <w:rPr>
          <w:w w:val="105"/>
          <w:sz w:val="16"/>
        </w:rPr>
        <w:t>The</w:t>
      </w:r>
      <w:r>
        <w:rPr>
          <w:spacing w:val="-9"/>
          <w:w w:val="105"/>
          <w:sz w:val="16"/>
        </w:rPr>
        <w:t> </w:t>
      </w:r>
      <w:r>
        <w:rPr>
          <w:w w:val="105"/>
          <w:sz w:val="16"/>
        </w:rPr>
        <w:t>latest</w:t>
      </w:r>
      <w:r>
        <w:rPr>
          <w:spacing w:val="-4"/>
          <w:w w:val="105"/>
          <w:sz w:val="16"/>
        </w:rPr>
        <w:t> </w:t>
      </w:r>
      <w:r>
        <w:rPr>
          <w:w w:val="105"/>
          <w:sz w:val="16"/>
        </w:rPr>
        <w:t>assessment</w:t>
      </w:r>
      <w:r>
        <w:rPr>
          <w:spacing w:val="-5"/>
          <w:w w:val="105"/>
          <w:sz w:val="16"/>
        </w:rPr>
        <w:t> </w:t>
      </w:r>
      <w:r>
        <w:rPr>
          <w:w w:val="105"/>
          <w:sz w:val="16"/>
        </w:rPr>
        <w:t>of</w:t>
      </w:r>
      <w:r>
        <w:rPr>
          <w:spacing w:val="-4"/>
          <w:w w:val="105"/>
          <w:sz w:val="16"/>
        </w:rPr>
        <w:t> </w:t>
      </w:r>
      <w:r>
        <w:rPr>
          <w:w w:val="105"/>
          <w:sz w:val="16"/>
        </w:rPr>
        <w:t>the</w:t>
      </w:r>
      <w:r>
        <w:rPr>
          <w:spacing w:val="-6"/>
          <w:w w:val="105"/>
          <w:sz w:val="16"/>
        </w:rPr>
        <w:t> </w:t>
      </w:r>
      <w:r>
        <w:rPr>
          <w:w w:val="105"/>
          <w:sz w:val="16"/>
        </w:rPr>
        <w:t>liabilities</w:t>
      </w:r>
      <w:r>
        <w:rPr>
          <w:spacing w:val="-7"/>
          <w:w w:val="105"/>
          <w:sz w:val="16"/>
        </w:rPr>
        <w:t> </w:t>
      </w:r>
      <w:r>
        <w:rPr>
          <w:w w:val="105"/>
          <w:sz w:val="16"/>
        </w:rPr>
        <w:t>of</w:t>
      </w:r>
      <w:r>
        <w:rPr>
          <w:spacing w:val="-6"/>
          <w:w w:val="105"/>
          <w:sz w:val="16"/>
        </w:rPr>
        <w:t> </w:t>
      </w:r>
      <w:r>
        <w:rPr>
          <w:w w:val="105"/>
          <w:sz w:val="16"/>
        </w:rPr>
        <w:t>the</w:t>
      </w:r>
      <w:r>
        <w:rPr>
          <w:spacing w:val="-8"/>
          <w:w w:val="105"/>
          <w:sz w:val="16"/>
        </w:rPr>
        <w:t> </w:t>
      </w:r>
      <w:r>
        <w:rPr>
          <w:w w:val="105"/>
          <w:sz w:val="16"/>
        </w:rPr>
        <w:t>scheme</w:t>
      </w:r>
      <w:r>
        <w:rPr>
          <w:spacing w:val="-13"/>
          <w:w w:val="105"/>
          <w:sz w:val="16"/>
        </w:rPr>
        <w:t> </w:t>
      </w:r>
      <w:r>
        <w:rPr>
          <w:w w:val="105"/>
          <w:sz w:val="16"/>
        </w:rPr>
        <w:t>is</w:t>
      </w:r>
      <w:r>
        <w:rPr>
          <w:spacing w:val="-4"/>
          <w:w w:val="105"/>
          <w:sz w:val="16"/>
        </w:rPr>
        <w:t> </w:t>
      </w:r>
      <w:r>
        <w:rPr>
          <w:w w:val="105"/>
          <w:sz w:val="16"/>
        </w:rPr>
        <w:t>contained</w:t>
      </w:r>
      <w:r>
        <w:rPr>
          <w:spacing w:val="-8"/>
          <w:w w:val="105"/>
          <w:sz w:val="16"/>
        </w:rPr>
        <w:t> </w:t>
      </w:r>
      <w:r>
        <w:rPr>
          <w:w w:val="105"/>
          <w:sz w:val="16"/>
        </w:rPr>
        <w:t>in</w:t>
      </w:r>
      <w:r>
        <w:rPr>
          <w:spacing w:val="-8"/>
          <w:w w:val="105"/>
          <w:sz w:val="16"/>
        </w:rPr>
        <w:t> </w:t>
      </w:r>
      <w:r>
        <w:rPr>
          <w:w w:val="105"/>
          <w:sz w:val="16"/>
        </w:rPr>
        <w:t>the</w:t>
      </w:r>
      <w:r>
        <w:rPr>
          <w:spacing w:val="-9"/>
          <w:w w:val="105"/>
          <w:sz w:val="16"/>
        </w:rPr>
        <w:t> </w:t>
      </w:r>
      <w:r>
        <w:rPr>
          <w:w w:val="105"/>
          <w:sz w:val="16"/>
        </w:rPr>
        <w:t>report</w:t>
      </w:r>
      <w:r>
        <w:rPr>
          <w:spacing w:val="-5"/>
          <w:w w:val="105"/>
          <w:sz w:val="16"/>
        </w:rPr>
        <w:t> </w:t>
      </w:r>
      <w:r>
        <w:rPr>
          <w:w w:val="105"/>
          <w:sz w:val="16"/>
        </w:rPr>
        <w:t>of</w:t>
      </w:r>
      <w:r>
        <w:rPr>
          <w:spacing w:val="-6"/>
          <w:w w:val="105"/>
          <w:sz w:val="16"/>
        </w:rPr>
        <w:t> </w:t>
      </w:r>
      <w:r>
        <w:rPr>
          <w:w w:val="105"/>
          <w:sz w:val="16"/>
        </w:rPr>
        <w:t>the</w:t>
      </w:r>
      <w:r>
        <w:rPr>
          <w:spacing w:val="-8"/>
          <w:w w:val="105"/>
          <w:sz w:val="16"/>
        </w:rPr>
        <w:t> </w:t>
      </w:r>
      <w:r>
        <w:rPr>
          <w:w w:val="105"/>
          <w:sz w:val="16"/>
        </w:rPr>
        <w:t>scheme</w:t>
      </w:r>
      <w:r>
        <w:rPr>
          <w:spacing w:val="-11"/>
          <w:w w:val="105"/>
          <w:sz w:val="16"/>
        </w:rPr>
        <w:t> </w:t>
      </w:r>
      <w:r>
        <w:rPr>
          <w:w w:val="105"/>
          <w:sz w:val="16"/>
        </w:rPr>
        <w:t>actuary,</w:t>
      </w:r>
      <w:r>
        <w:rPr>
          <w:spacing w:val="-5"/>
          <w:w w:val="105"/>
          <w:sz w:val="16"/>
        </w:rPr>
        <w:t> </w:t>
      </w:r>
      <w:r>
        <w:rPr>
          <w:w w:val="105"/>
          <w:sz w:val="16"/>
        </w:rPr>
        <w:t>which</w:t>
      </w:r>
      <w:r>
        <w:rPr>
          <w:spacing w:val="-9"/>
          <w:w w:val="105"/>
          <w:sz w:val="16"/>
        </w:rPr>
        <w:t> </w:t>
      </w:r>
      <w:r>
        <w:rPr>
          <w:w w:val="105"/>
          <w:sz w:val="16"/>
        </w:rPr>
        <w:t>forms</w:t>
      </w:r>
      <w:r>
        <w:rPr>
          <w:spacing w:val="-3"/>
          <w:w w:val="105"/>
          <w:sz w:val="16"/>
        </w:rPr>
        <w:t> </w:t>
      </w:r>
      <w:r>
        <w:rPr>
          <w:w w:val="105"/>
          <w:sz w:val="16"/>
        </w:rPr>
        <w:t>part</w:t>
      </w:r>
      <w:r>
        <w:rPr>
          <w:spacing w:val="-8"/>
          <w:w w:val="105"/>
          <w:sz w:val="16"/>
        </w:rPr>
        <w:t> </w:t>
      </w:r>
      <w:r>
        <w:rPr>
          <w:w w:val="105"/>
          <w:sz w:val="16"/>
        </w:rPr>
        <w:t>of</w:t>
      </w:r>
      <w:r>
        <w:rPr>
          <w:spacing w:val="-1"/>
          <w:w w:val="105"/>
          <w:sz w:val="16"/>
        </w:rPr>
        <w:t> </w:t>
      </w:r>
      <w:r>
        <w:rPr>
          <w:w w:val="105"/>
          <w:sz w:val="16"/>
        </w:rPr>
        <w:t>the</w:t>
      </w:r>
      <w:r>
        <w:rPr>
          <w:spacing w:val="-8"/>
          <w:w w:val="105"/>
          <w:sz w:val="16"/>
        </w:rPr>
        <w:t> </w:t>
      </w:r>
      <w:r>
        <w:rPr>
          <w:w w:val="105"/>
          <w:sz w:val="16"/>
        </w:rPr>
        <w:t>annual NHS Pension Scheme Accounts. These accounts can be viewed on the NHS Pensions website and are published annually. Copies can also be obtained from The Stationery</w:t>
      </w:r>
      <w:r>
        <w:rPr>
          <w:spacing w:val="-23"/>
          <w:w w:val="105"/>
          <w:sz w:val="16"/>
        </w:rPr>
        <w:t> </w:t>
      </w:r>
      <w:r>
        <w:rPr>
          <w:w w:val="105"/>
          <w:sz w:val="16"/>
        </w:rPr>
        <w:t>Office.</w:t>
      </w:r>
    </w:p>
    <w:p>
      <w:pPr>
        <w:pStyle w:val="BodyText"/>
        <w:spacing w:before="8"/>
        <w:rPr>
          <w:sz w:val="14"/>
        </w:rPr>
      </w:pPr>
    </w:p>
    <w:p>
      <w:pPr>
        <w:pStyle w:val="ListParagraph"/>
        <w:numPr>
          <w:ilvl w:val="2"/>
          <w:numId w:val="25"/>
        </w:numPr>
        <w:tabs>
          <w:tab w:pos="720" w:val="left" w:leader="none"/>
        </w:tabs>
        <w:spacing w:line="240" w:lineRule="auto" w:before="1" w:after="0"/>
        <w:ind w:left="719" w:right="0" w:hanging="400"/>
        <w:jc w:val="left"/>
        <w:rPr>
          <w:b/>
          <w:sz w:val="16"/>
        </w:rPr>
      </w:pPr>
      <w:r>
        <w:rPr>
          <w:b/>
          <w:sz w:val="16"/>
        </w:rPr>
        <w:t>Full actuarial (funding)</w:t>
      </w:r>
      <w:r>
        <w:rPr>
          <w:b/>
          <w:spacing w:val="-21"/>
          <w:sz w:val="16"/>
        </w:rPr>
        <w:t> </w:t>
      </w:r>
      <w:r>
        <w:rPr>
          <w:b/>
          <w:sz w:val="16"/>
        </w:rPr>
        <w:t>valuation</w:t>
      </w:r>
    </w:p>
    <w:p>
      <w:pPr>
        <w:pStyle w:val="BodyText"/>
        <w:rPr>
          <w:b/>
          <w:sz w:val="18"/>
        </w:rPr>
      </w:pPr>
    </w:p>
    <w:p>
      <w:pPr>
        <w:spacing w:line="268" w:lineRule="auto" w:before="117"/>
        <w:ind w:left="323" w:right="567" w:firstLine="0"/>
        <w:jc w:val="both"/>
        <w:rPr>
          <w:sz w:val="16"/>
        </w:rPr>
      </w:pPr>
      <w:r>
        <w:rPr>
          <w:w w:val="105"/>
          <w:sz w:val="16"/>
        </w:rPr>
        <w:t>The purpose of this valuation is to assess the level of liability in respect of the benefits due under the schemes (taking into account recent demographic experience), and to recommend contribution rates payable by employees and employers.</w:t>
      </w:r>
    </w:p>
    <w:p>
      <w:pPr>
        <w:pStyle w:val="BodyText"/>
        <w:spacing w:before="9"/>
        <w:rPr>
          <w:sz w:val="26"/>
        </w:rPr>
      </w:pPr>
    </w:p>
    <w:p>
      <w:pPr>
        <w:spacing w:line="273" w:lineRule="auto" w:before="0"/>
        <w:ind w:left="323" w:right="563" w:firstLine="0"/>
        <w:jc w:val="both"/>
        <w:rPr>
          <w:sz w:val="16"/>
        </w:rPr>
      </w:pPr>
      <w:r>
        <w:rPr>
          <w:w w:val="105"/>
          <w:sz w:val="16"/>
        </w:rPr>
        <w:t>The latest actuarial valuation undertaken for the NHS Pension Scheme was completed as at 31 March 2016. The results of this valuation set the employer contribution rate payable from April 2019 to 20.6% of pensionable pay.</w:t>
      </w:r>
    </w:p>
    <w:p>
      <w:pPr>
        <w:pStyle w:val="BodyText"/>
        <w:spacing w:before="4"/>
        <w:rPr>
          <w:sz w:val="17"/>
        </w:rPr>
      </w:pPr>
    </w:p>
    <w:p>
      <w:pPr>
        <w:spacing w:line="271" w:lineRule="auto" w:before="1"/>
        <w:ind w:left="323" w:right="562" w:firstLine="0"/>
        <w:jc w:val="both"/>
        <w:rPr>
          <w:sz w:val="16"/>
        </w:rPr>
      </w:pPr>
      <w:r>
        <w:rPr>
          <w:w w:val="105"/>
          <w:sz w:val="16"/>
        </w:rPr>
        <w:t>The 2016 funding valuation also tested the cost of the Scheme relative to the employer cost cap that was set following the 2012 valuation. There was initially a pause to the cost control element of the 2016 valuations, due to the uncertainty around member benefits caused by the discrimination ruling relating to the McCloud case.</w:t>
      </w:r>
    </w:p>
    <w:p>
      <w:pPr>
        <w:pStyle w:val="BodyText"/>
        <w:spacing w:before="3"/>
        <w:rPr>
          <w:sz w:val="17"/>
        </w:rPr>
      </w:pPr>
    </w:p>
    <w:p>
      <w:pPr>
        <w:spacing w:line="271" w:lineRule="auto" w:before="1"/>
        <w:ind w:left="323" w:right="561" w:hanging="1"/>
        <w:jc w:val="both"/>
        <w:rPr>
          <w:sz w:val="16"/>
        </w:rPr>
      </w:pPr>
      <w:r>
        <w:rPr>
          <w:w w:val="105"/>
          <w:sz w:val="16"/>
        </w:rPr>
        <w:t>HMT</w:t>
      </w:r>
      <w:r>
        <w:rPr>
          <w:spacing w:val="-8"/>
          <w:w w:val="105"/>
          <w:sz w:val="16"/>
        </w:rPr>
        <w:t> </w:t>
      </w:r>
      <w:r>
        <w:rPr>
          <w:w w:val="105"/>
          <w:sz w:val="16"/>
        </w:rPr>
        <w:t>published</w:t>
      </w:r>
      <w:r>
        <w:rPr>
          <w:spacing w:val="-9"/>
          <w:w w:val="105"/>
          <w:sz w:val="16"/>
        </w:rPr>
        <w:t> </w:t>
      </w:r>
      <w:r>
        <w:rPr>
          <w:w w:val="105"/>
          <w:sz w:val="16"/>
        </w:rPr>
        <w:t>valuation</w:t>
      </w:r>
      <w:r>
        <w:rPr>
          <w:spacing w:val="-9"/>
          <w:w w:val="105"/>
          <w:sz w:val="16"/>
        </w:rPr>
        <w:t> </w:t>
      </w:r>
      <w:r>
        <w:rPr>
          <w:w w:val="105"/>
          <w:sz w:val="16"/>
        </w:rPr>
        <w:t>directions</w:t>
      </w:r>
      <w:r>
        <w:rPr>
          <w:spacing w:val="-7"/>
          <w:w w:val="105"/>
          <w:sz w:val="16"/>
        </w:rPr>
        <w:t> </w:t>
      </w:r>
      <w:r>
        <w:rPr>
          <w:w w:val="105"/>
          <w:sz w:val="16"/>
        </w:rPr>
        <w:t>dated</w:t>
      </w:r>
      <w:r>
        <w:rPr>
          <w:spacing w:val="-7"/>
          <w:w w:val="105"/>
          <w:sz w:val="16"/>
        </w:rPr>
        <w:t> </w:t>
      </w:r>
      <w:r>
        <w:rPr>
          <w:w w:val="105"/>
          <w:sz w:val="16"/>
        </w:rPr>
        <w:t>7</w:t>
      </w:r>
      <w:r>
        <w:rPr>
          <w:spacing w:val="-9"/>
          <w:w w:val="105"/>
          <w:sz w:val="16"/>
        </w:rPr>
        <w:t> </w:t>
      </w:r>
      <w:r>
        <w:rPr>
          <w:w w:val="105"/>
          <w:sz w:val="16"/>
        </w:rPr>
        <w:t>October</w:t>
      </w:r>
      <w:r>
        <w:rPr>
          <w:spacing w:val="-8"/>
          <w:w w:val="105"/>
          <w:sz w:val="16"/>
        </w:rPr>
        <w:t> </w:t>
      </w:r>
      <w:r>
        <w:rPr>
          <w:w w:val="105"/>
          <w:sz w:val="16"/>
        </w:rPr>
        <w:t>2021</w:t>
      </w:r>
      <w:r>
        <w:rPr>
          <w:spacing w:val="-9"/>
          <w:w w:val="105"/>
          <w:sz w:val="16"/>
        </w:rPr>
        <w:t> </w:t>
      </w:r>
      <w:r>
        <w:rPr>
          <w:w w:val="105"/>
          <w:sz w:val="16"/>
        </w:rPr>
        <w:t>(see</w:t>
      </w:r>
      <w:r>
        <w:rPr>
          <w:spacing w:val="-9"/>
          <w:w w:val="105"/>
          <w:sz w:val="16"/>
        </w:rPr>
        <w:t> </w:t>
      </w:r>
      <w:r>
        <w:rPr>
          <w:w w:val="105"/>
          <w:sz w:val="16"/>
        </w:rPr>
        <w:t>Amending</w:t>
      </w:r>
      <w:r>
        <w:rPr>
          <w:spacing w:val="-9"/>
          <w:w w:val="105"/>
          <w:sz w:val="16"/>
        </w:rPr>
        <w:t> </w:t>
      </w:r>
      <w:r>
        <w:rPr>
          <w:w w:val="105"/>
          <w:sz w:val="16"/>
        </w:rPr>
        <w:t>Directions</w:t>
      </w:r>
      <w:r>
        <w:rPr>
          <w:spacing w:val="-7"/>
          <w:w w:val="105"/>
          <w:sz w:val="16"/>
        </w:rPr>
        <w:t> </w:t>
      </w:r>
      <w:r>
        <w:rPr>
          <w:w w:val="105"/>
          <w:sz w:val="16"/>
        </w:rPr>
        <w:t>2021)</w:t>
      </w:r>
      <w:r>
        <w:rPr>
          <w:spacing w:val="-8"/>
          <w:w w:val="105"/>
          <w:sz w:val="16"/>
        </w:rPr>
        <w:t> </w:t>
      </w:r>
      <w:r>
        <w:rPr>
          <w:w w:val="105"/>
          <w:sz w:val="16"/>
        </w:rPr>
        <w:t>that</w:t>
      </w:r>
      <w:r>
        <w:rPr>
          <w:spacing w:val="-6"/>
          <w:w w:val="105"/>
          <w:sz w:val="16"/>
        </w:rPr>
        <w:t> </w:t>
      </w:r>
      <w:r>
        <w:rPr>
          <w:w w:val="105"/>
          <w:sz w:val="16"/>
        </w:rPr>
        <w:t>set</w:t>
      </w:r>
      <w:r>
        <w:rPr>
          <w:spacing w:val="-6"/>
          <w:w w:val="105"/>
          <w:sz w:val="16"/>
        </w:rPr>
        <w:t> </w:t>
      </w:r>
      <w:r>
        <w:rPr>
          <w:w w:val="105"/>
          <w:sz w:val="16"/>
        </w:rPr>
        <w:t>out</w:t>
      </w:r>
      <w:r>
        <w:rPr>
          <w:spacing w:val="-6"/>
          <w:w w:val="105"/>
          <w:sz w:val="16"/>
        </w:rPr>
        <w:t> </w:t>
      </w:r>
      <w:r>
        <w:rPr>
          <w:w w:val="105"/>
          <w:sz w:val="16"/>
        </w:rPr>
        <w:t>the</w:t>
      </w:r>
      <w:r>
        <w:rPr>
          <w:spacing w:val="-11"/>
          <w:w w:val="105"/>
          <w:sz w:val="16"/>
        </w:rPr>
        <w:t> </w:t>
      </w:r>
      <w:r>
        <w:rPr>
          <w:w w:val="105"/>
          <w:sz w:val="16"/>
        </w:rPr>
        <w:t>technical</w:t>
      </w:r>
      <w:r>
        <w:rPr>
          <w:spacing w:val="-6"/>
          <w:w w:val="105"/>
          <w:sz w:val="16"/>
        </w:rPr>
        <w:t> </w:t>
      </w:r>
      <w:r>
        <w:rPr>
          <w:w w:val="105"/>
          <w:sz w:val="16"/>
        </w:rPr>
        <w:t>detail</w:t>
      </w:r>
      <w:r>
        <w:rPr>
          <w:spacing w:val="-11"/>
          <w:w w:val="105"/>
          <w:sz w:val="16"/>
        </w:rPr>
        <w:t> </w:t>
      </w:r>
      <w:r>
        <w:rPr>
          <w:w w:val="105"/>
          <w:sz w:val="16"/>
        </w:rPr>
        <w:t>of</w:t>
      </w:r>
      <w:r>
        <w:rPr>
          <w:spacing w:val="-4"/>
          <w:w w:val="105"/>
          <w:sz w:val="16"/>
        </w:rPr>
        <w:t> </w:t>
      </w:r>
      <w:r>
        <w:rPr>
          <w:w w:val="105"/>
          <w:sz w:val="16"/>
        </w:rPr>
        <w:t>how</w:t>
      </w:r>
      <w:r>
        <w:rPr>
          <w:spacing w:val="-12"/>
          <w:w w:val="105"/>
          <w:sz w:val="16"/>
        </w:rPr>
        <w:t> </w:t>
      </w:r>
      <w:r>
        <w:rPr>
          <w:w w:val="105"/>
          <w:sz w:val="16"/>
        </w:rPr>
        <w:t>the costs of remedy are included in the 2016 valuation process. Following these directions, the scheme actuary has completed the cost control</w:t>
      </w:r>
      <w:r>
        <w:rPr>
          <w:spacing w:val="-11"/>
          <w:w w:val="105"/>
          <w:sz w:val="16"/>
        </w:rPr>
        <w:t> </w:t>
      </w:r>
      <w:r>
        <w:rPr>
          <w:w w:val="105"/>
          <w:sz w:val="16"/>
        </w:rPr>
        <w:t>element</w:t>
      </w:r>
      <w:r>
        <w:rPr>
          <w:spacing w:val="-11"/>
          <w:w w:val="105"/>
          <w:sz w:val="16"/>
        </w:rPr>
        <w:t> </w:t>
      </w:r>
      <w:r>
        <w:rPr>
          <w:w w:val="105"/>
          <w:sz w:val="16"/>
        </w:rPr>
        <w:t>of</w:t>
      </w:r>
      <w:r>
        <w:rPr>
          <w:spacing w:val="-8"/>
          <w:w w:val="105"/>
          <w:sz w:val="16"/>
        </w:rPr>
        <w:t> </w:t>
      </w:r>
      <w:r>
        <w:rPr>
          <w:w w:val="105"/>
          <w:sz w:val="16"/>
        </w:rPr>
        <w:t>the</w:t>
      </w:r>
      <w:r>
        <w:rPr>
          <w:spacing w:val="-11"/>
          <w:w w:val="105"/>
          <w:sz w:val="16"/>
        </w:rPr>
        <w:t> </w:t>
      </w:r>
      <w:r>
        <w:rPr>
          <w:w w:val="105"/>
          <w:sz w:val="16"/>
        </w:rPr>
        <w:t>2016</w:t>
      </w:r>
      <w:r>
        <w:rPr>
          <w:spacing w:val="-10"/>
          <w:w w:val="105"/>
          <w:sz w:val="16"/>
        </w:rPr>
        <w:t> </w:t>
      </w:r>
      <w:r>
        <w:rPr>
          <w:w w:val="105"/>
          <w:sz w:val="16"/>
        </w:rPr>
        <w:t>valuation</w:t>
      </w:r>
      <w:r>
        <w:rPr>
          <w:spacing w:val="-14"/>
          <w:w w:val="105"/>
          <w:sz w:val="16"/>
        </w:rPr>
        <w:t> </w:t>
      </w:r>
      <w:r>
        <w:rPr>
          <w:w w:val="105"/>
          <w:sz w:val="16"/>
        </w:rPr>
        <w:t>for</w:t>
      </w:r>
      <w:r>
        <w:rPr>
          <w:spacing w:val="-9"/>
          <w:w w:val="105"/>
          <w:sz w:val="16"/>
        </w:rPr>
        <w:t> </w:t>
      </w:r>
      <w:r>
        <w:rPr>
          <w:w w:val="105"/>
          <w:sz w:val="16"/>
        </w:rPr>
        <w:t>the</w:t>
      </w:r>
      <w:r>
        <w:rPr>
          <w:spacing w:val="-14"/>
          <w:w w:val="105"/>
          <w:sz w:val="16"/>
        </w:rPr>
        <w:t> </w:t>
      </w:r>
      <w:r>
        <w:rPr>
          <w:w w:val="105"/>
          <w:sz w:val="16"/>
        </w:rPr>
        <w:t>NHS</w:t>
      </w:r>
      <w:r>
        <w:rPr>
          <w:spacing w:val="-8"/>
          <w:w w:val="105"/>
          <w:sz w:val="16"/>
        </w:rPr>
        <w:t> </w:t>
      </w:r>
      <w:r>
        <w:rPr>
          <w:w w:val="105"/>
          <w:sz w:val="16"/>
        </w:rPr>
        <w:t>Pension</w:t>
      </w:r>
      <w:r>
        <w:rPr>
          <w:spacing w:val="-13"/>
          <w:w w:val="105"/>
          <w:sz w:val="16"/>
        </w:rPr>
        <w:t> </w:t>
      </w:r>
      <w:r>
        <w:rPr>
          <w:w w:val="105"/>
          <w:sz w:val="16"/>
        </w:rPr>
        <w:t>Scheme,</w:t>
      </w:r>
      <w:r>
        <w:rPr>
          <w:spacing w:val="-11"/>
          <w:w w:val="105"/>
          <w:sz w:val="16"/>
        </w:rPr>
        <w:t> </w:t>
      </w:r>
      <w:r>
        <w:rPr>
          <w:w w:val="105"/>
          <w:sz w:val="16"/>
        </w:rPr>
        <w:t>which</w:t>
      </w:r>
      <w:r>
        <w:rPr>
          <w:spacing w:val="-13"/>
          <w:w w:val="105"/>
          <w:sz w:val="16"/>
        </w:rPr>
        <w:t> </w:t>
      </w:r>
      <w:r>
        <w:rPr>
          <w:w w:val="105"/>
          <w:sz w:val="16"/>
        </w:rPr>
        <w:t>concludes</w:t>
      </w:r>
      <w:r>
        <w:rPr>
          <w:spacing w:val="-11"/>
          <w:w w:val="105"/>
          <w:sz w:val="16"/>
        </w:rPr>
        <w:t> </w:t>
      </w:r>
      <w:r>
        <w:rPr>
          <w:w w:val="105"/>
          <w:sz w:val="16"/>
        </w:rPr>
        <w:t>no</w:t>
      </w:r>
      <w:r>
        <w:rPr>
          <w:spacing w:val="-14"/>
          <w:w w:val="105"/>
          <w:sz w:val="16"/>
        </w:rPr>
        <w:t> </w:t>
      </w:r>
      <w:r>
        <w:rPr>
          <w:w w:val="105"/>
          <w:sz w:val="16"/>
        </w:rPr>
        <w:t>changes</w:t>
      </w:r>
      <w:r>
        <w:rPr>
          <w:spacing w:val="-10"/>
          <w:w w:val="105"/>
          <w:sz w:val="16"/>
        </w:rPr>
        <w:t> </w:t>
      </w:r>
      <w:r>
        <w:rPr>
          <w:w w:val="105"/>
          <w:sz w:val="16"/>
        </w:rPr>
        <w:t>to</w:t>
      </w:r>
      <w:r>
        <w:rPr>
          <w:spacing w:val="-11"/>
          <w:w w:val="105"/>
          <w:sz w:val="16"/>
        </w:rPr>
        <w:t> </w:t>
      </w:r>
      <w:r>
        <w:rPr>
          <w:w w:val="105"/>
          <w:sz w:val="16"/>
        </w:rPr>
        <w:t>benefits</w:t>
      </w:r>
      <w:r>
        <w:rPr>
          <w:spacing w:val="-12"/>
          <w:w w:val="105"/>
          <w:sz w:val="16"/>
        </w:rPr>
        <w:t> </w:t>
      </w:r>
      <w:r>
        <w:rPr>
          <w:w w:val="105"/>
          <w:sz w:val="16"/>
        </w:rPr>
        <w:t>or</w:t>
      </w:r>
      <w:r>
        <w:rPr>
          <w:spacing w:val="-9"/>
          <w:w w:val="105"/>
          <w:sz w:val="16"/>
        </w:rPr>
        <w:t> </w:t>
      </w:r>
      <w:r>
        <w:rPr>
          <w:w w:val="105"/>
          <w:sz w:val="16"/>
        </w:rPr>
        <w:t>member</w:t>
      </w:r>
      <w:r>
        <w:rPr>
          <w:spacing w:val="-13"/>
          <w:w w:val="105"/>
          <w:sz w:val="16"/>
        </w:rPr>
        <w:t> </w:t>
      </w:r>
      <w:r>
        <w:rPr>
          <w:w w:val="105"/>
          <w:sz w:val="16"/>
        </w:rPr>
        <w:t>contributions are required. The 2016 valuation reports can be found on the NHS Pensions website at </w:t>
      </w:r>
      <w:r>
        <w:rPr>
          <w:color w:val="006FBE"/>
          <w:w w:val="105"/>
          <w:sz w:val="16"/>
        </w:rPr>
        <w:t>https:/</w:t>
      </w:r>
      <w:hyperlink r:id="rId56">
        <w:r>
          <w:rPr>
            <w:color w:val="006FBE"/>
            <w:w w:val="105"/>
            <w:sz w:val="16"/>
          </w:rPr>
          <w:t>/www.nhsbsa.nhs.uk/nhs-pension-</w:t>
        </w:r>
      </w:hyperlink>
      <w:r>
        <w:rPr>
          <w:color w:val="006FBE"/>
          <w:w w:val="105"/>
          <w:sz w:val="16"/>
        </w:rPr>
        <w:t> scheme-accounts-and-valuation-reports</w:t>
      </w:r>
      <w:r>
        <w:rPr>
          <w:w w:val="105"/>
          <w:sz w:val="16"/>
        </w:rPr>
        <w:t>.</w:t>
      </w:r>
    </w:p>
    <w:p>
      <w:pPr>
        <w:spacing w:after="0" w:line="271" w:lineRule="auto"/>
        <w:jc w:val="both"/>
        <w:rPr>
          <w:sz w:val="16"/>
        </w:rPr>
        <w:sectPr>
          <w:footerReference w:type="default" r:id="rId55"/>
          <w:pgSz w:w="11920" w:h="16850"/>
          <w:pgMar w:footer="471" w:header="0" w:top="1000" w:bottom="660" w:left="740" w:right="520"/>
        </w:sectPr>
      </w:pPr>
    </w:p>
    <w:tbl>
      <w:tblPr>
        <w:tblW w:w="0" w:type="auto"/>
        <w:jc w:val="left"/>
        <w:tblInd w:w="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66"/>
        <w:gridCol w:w="1125"/>
        <w:gridCol w:w="148"/>
        <w:gridCol w:w="1127"/>
      </w:tblGrid>
      <w:tr>
        <w:trPr>
          <w:trHeight w:val="451" w:hRule="atLeast"/>
        </w:trPr>
        <w:tc>
          <w:tcPr>
            <w:tcW w:w="4666" w:type="dxa"/>
          </w:tcPr>
          <w:p>
            <w:pPr>
              <w:pStyle w:val="TableParagraph"/>
              <w:spacing w:line="134" w:lineRule="exact"/>
              <w:ind w:left="302"/>
              <w:rPr>
                <w:sz w:val="12"/>
              </w:rPr>
            </w:pPr>
            <w:r>
              <w:rPr>
                <w:w w:val="105"/>
                <w:sz w:val="12"/>
              </w:rPr>
              <w:t>NHS North Lincolnshire CCG - Annual Accounts 2021-22</w:t>
            </w:r>
          </w:p>
          <w:p>
            <w:pPr>
              <w:pStyle w:val="TableParagraph"/>
              <w:spacing w:before="5"/>
              <w:rPr>
                <w:sz w:val="14"/>
              </w:rPr>
            </w:pPr>
          </w:p>
          <w:p>
            <w:pPr>
              <w:pStyle w:val="TableParagraph"/>
              <w:spacing w:line="130" w:lineRule="exact" w:before="1"/>
              <w:ind w:left="302"/>
              <w:rPr>
                <w:b/>
                <w:sz w:val="12"/>
              </w:rPr>
            </w:pPr>
            <w:r>
              <w:rPr>
                <w:b/>
                <w:w w:val="105"/>
                <w:sz w:val="12"/>
              </w:rPr>
              <w:t>5. Operating expenses</w:t>
            </w:r>
          </w:p>
        </w:tc>
        <w:tc>
          <w:tcPr>
            <w:tcW w:w="1125" w:type="dxa"/>
          </w:tcPr>
          <w:p>
            <w:pPr>
              <w:pStyle w:val="TableParagraph"/>
              <w:rPr>
                <w:rFonts w:ascii="Times New Roman"/>
                <w:sz w:val="12"/>
              </w:rPr>
            </w:pPr>
          </w:p>
        </w:tc>
        <w:tc>
          <w:tcPr>
            <w:tcW w:w="148" w:type="dxa"/>
          </w:tcPr>
          <w:p>
            <w:pPr>
              <w:pStyle w:val="TableParagraph"/>
              <w:rPr>
                <w:rFonts w:ascii="Times New Roman"/>
                <w:sz w:val="12"/>
              </w:rPr>
            </w:pPr>
          </w:p>
        </w:tc>
        <w:tc>
          <w:tcPr>
            <w:tcW w:w="1127" w:type="dxa"/>
          </w:tcPr>
          <w:p>
            <w:pPr>
              <w:pStyle w:val="TableParagraph"/>
              <w:rPr>
                <w:rFonts w:ascii="Times New Roman"/>
                <w:sz w:val="12"/>
              </w:rPr>
            </w:pPr>
          </w:p>
        </w:tc>
      </w:tr>
      <w:tr>
        <w:trPr>
          <w:trHeight w:val="157" w:hRule="atLeast"/>
        </w:trPr>
        <w:tc>
          <w:tcPr>
            <w:tcW w:w="4666" w:type="dxa"/>
          </w:tcPr>
          <w:p>
            <w:pPr>
              <w:pStyle w:val="TableParagraph"/>
              <w:rPr>
                <w:rFonts w:ascii="Times New Roman"/>
                <w:sz w:val="10"/>
              </w:rPr>
            </w:pPr>
          </w:p>
        </w:tc>
        <w:tc>
          <w:tcPr>
            <w:tcW w:w="1125" w:type="dxa"/>
          </w:tcPr>
          <w:p>
            <w:pPr>
              <w:pStyle w:val="TableParagraph"/>
              <w:spacing w:line="129" w:lineRule="exact" w:before="8"/>
              <w:ind w:left="340"/>
              <w:rPr>
                <w:b/>
                <w:sz w:val="12"/>
              </w:rPr>
            </w:pPr>
            <w:r>
              <w:rPr>
                <w:b/>
                <w:w w:val="105"/>
                <w:sz w:val="12"/>
              </w:rPr>
              <w:t>2021-22</w:t>
            </w:r>
          </w:p>
        </w:tc>
        <w:tc>
          <w:tcPr>
            <w:tcW w:w="148" w:type="dxa"/>
          </w:tcPr>
          <w:p>
            <w:pPr>
              <w:pStyle w:val="TableParagraph"/>
              <w:rPr>
                <w:rFonts w:ascii="Times New Roman"/>
                <w:sz w:val="10"/>
              </w:rPr>
            </w:pPr>
          </w:p>
        </w:tc>
        <w:tc>
          <w:tcPr>
            <w:tcW w:w="1127" w:type="dxa"/>
          </w:tcPr>
          <w:p>
            <w:pPr>
              <w:pStyle w:val="TableParagraph"/>
              <w:spacing w:line="129" w:lineRule="exact" w:before="8"/>
              <w:ind w:left="339"/>
              <w:rPr>
                <w:sz w:val="12"/>
              </w:rPr>
            </w:pPr>
            <w:r>
              <w:rPr>
                <w:w w:val="105"/>
                <w:sz w:val="12"/>
              </w:rPr>
              <w:t>2020-21</w:t>
            </w:r>
          </w:p>
        </w:tc>
      </w:tr>
      <w:tr>
        <w:trPr>
          <w:trHeight w:val="157" w:hRule="atLeast"/>
        </w:trPr>
        <w:tc>
          <w:tcPr>
            <w:tcW w:w="4666" w:type="dxa"/>
          </w:tcPr>
          <w:p>
            <w:pPr>
              <w:pStyle w:val="TableParagraph"/>
              <w:rPr>
                <w:rFonts w:ascii="Times New Roman"/>
                <w:sz w:val="10"/>
              </w:rPr>
            </w:pPr>
          </w:p>
        </w:tc>
        <w:tc>
          <w:tcPr>
            <w:tcW w:w="1125" w:type="dxa"/>
          </w:tcPr>
          <w:p>
            <w:pPr>
              <w:pStyle w:val="TableParagraph"/>
              <w:spacing w:line="130" w:lineRule="exact" w:before="7"/>
              <w:ind w:left="394" w:right="378"/>
              <w:jc w:val="center"/>
              <w:rPr>
                <w:b/>
                <w:sz w:val="12"/>
              </w:rPr>
            </w:pPr>
            <w:r>
              <w:rPr>
                <w:b/>
                <w:w w:val="105"/>
                <w:sz w:val="12"/>
              </w:rPr>
              <w:t>Total</w:t>
            </w:r>
          </w:p>
        </w:tc>
        <w:tc>
          <w:tcPr>
            <w:tcW w:w="148" w:type="dxa"/>
          </w:tcPr>
          <w:p>
            <w:pPr>
              <w:pStyle w:val="TableParagraph"/>
              <w:rPr>
                <w:rFonts w:ascii="Times New Roman"/>
                <w:sz w:val="10"/>
              </w:rPr>
            </w:pPr>
          </w:p>
        </w:tc>
        <w:tc>
          <w:tcPr>
            <w:tcW w:w="1127" w:type="dxa"/>
          </w:tcPr>
          <w:p>
            <w:pPr>
              <w:pStyle w:val="TableParagraph"/>
              <w:spacing w:line="130" w:lineRule="exact" w:before="7"/>
              <w:ind w:left="395" w:right="385"/>
              <w:jc w:val="center"/>
              <w:rPr>
                <w:sz w:val="12"/>
              </w:rPr>
            </w:pPr>
            <w:r>
              <w:rPr>
                <w:w w:val="105"/>
                <w:sz w:val="12"/>
              </w:rPr>
              <w:t>Total</w:t>
            </w:r>
          </w:p>
        </w:tc>
      </w:tr>
      <w:tr>
        <w:trPr>
          <w:trHeight w:val="232" w:hRule="atLeast"/>
        </w:trPr>
        <w:tc>
          <w:tcPr>
            <w:tcW w:w="4666" w:type="dxa"/>
          </w:tcPr>
          <w:p>
            <w:pPr>
              <w:pStyle w:val="TableParagraph"/>
              <w:rPr>
                <w:rFonts w:ascii="Times New Roman"/>
                <w:sz w:val="12"/>
              </w:rPr>
            </w:pPr>
          </w:p>
        </w:tc>
        <w:tc>
          <w:tcPr>
            <w:tcW w:w="1125" w:type="dxa"/>
          </w:tcPr>
          <w:p>
            <w:pPr>
              <w:pStyle w:val="TableParagraph"/>
              <w:spacing w:before="8"/>
              <w:ind w:left="394" w:right="379"/>
              <w:jc w:val="center"/>
              <w:rPr>
                <w:b/>
                <w:sz w:val="12"/>
              </w:rPr>
            </w:pPr>
            <w:r>
              <w:rPr>
                <w:b/>
                <w:w w:val="105"/>
                <w:sz w:val="12"/>
              </w:rPr>
              <w:t>£'000</w:t>
            </w:r>
          </w:p>
        </w:tc>
        <w:tc>
          <w:tcPr>
            <w:tcW w:w="148" w:type="dxa"/>
          </w:tcPr>
          <w:p>
            <w:pPr>
              <w:pStyle w:val="TableParagraph"/>
              <w:rPr>
                <w:rFonts w:ascii="Times New Roman"/>
                <w:sz w:val="12"/>
              </w:rPr>
            </w:pPr>
          </w:p>
        </w:tc>
        <w:tc>
          <w:tcPr>
            <w:tcW w:w="1127" w:type="dxa"/>
          </w:tcPr>
          <w:p>
            <w:pPr>
              <w:pStyle w:val="TableParagraph"/>
              <w:spacing w:before="8"/>
              <w:ind w:left="395" w:right="386"/>
              <w:jc w:val="center"/>
              <w:rPr>
                <w:sz w:val="12"/>
              </w:rPr>
            </w:pPr>
            <w:r>
              <w:rPr>
                <w:w w:val="105"/>
                <w:sz w:val="12"/>
              </w:rPr>
              <w:t>£'000</w:t>
            </w:r>
          </w:p>
        </w:tc>
      </w:tr>
      <w:tr>
        <w:trPr>
          <w:trHeight w:val="230" w:hRule="atLeast"/>
        </w:trPr>
        <w:tc>
          <w:tcPr>
            <w:tcW w:w="4666" w:type="dxa"/>
          </w:tcPr>
          <w:p>
            <w:pPr>
              <w:pStyle w:val="TableParagraph"/>
              <w:spacing w:line="128" w:lineRule="exact" w:before="82"/>
              <w:ind w:left="302"/>
              <w:rPr>
                <w:b/>
                <w:sz w:val="12"/>
              </w:rPr>
            </w:pPr>
            <w:r>
              <w:rPr>
                <w:b/>
                <w:w w:val="105"/>
                <w:sz w:val="12"/>
              </w:rPr>
              <w:t>Purchase of goods and services</w:t>
            </w:r>
          </w:p>
        </w:tc>
        <w:tc>
          <w:tcPr>
            <w:tcW w:w="1125" w:type="dxa"/>
          </w:tcPr>
          <w:p>
            <w:pPr>
              <w:pStyle w:val="TableParagraph"/>
              <w:rPr>
                <w:rFonts w:ascii="Times New Roman"/>
                <w:sz w:val="12"/>
              </w:rPr>
            </w:pPr>
          </w:p>
        </w:tc>
        <w:tc>
          <w:tcPr>
            <w:tcW w:w="148" w:type="dxa"/>
          </w:tcPr>
          <w:p>
            <w:pPr>
              <w:pStyle w:val="TableParagraph"/>
              <w:rPr>
                <w:rFonts w:ascii="Times New Roman"/>
                <w:sz w:val="12"/>
              </w:rPr>
            </w:pPr>
          </w:p>
        </w:tc>
        <w:tc>
          <w:tcPr>
            <w:tcW w:w="1127" w:type="dxa"/>
          </w:tcPr>
          <w:p>
            <w:pPr>
              <w:pStyle w:val="TableParagraph"/>
              <w:rPr>
                <w:rFonts w:ascii="Times New Roman"/>
                <w:sz w:val="12"/>
              </w:rPr>
            </w:pPr>
          </w:p>
        </w:tc>
      </w:tr>
      <w:tr>
        <w:trPr>
          <w:trHeight w:val="154" w:hRule="atLeast"/>
        </w:trPr>
        <w:tc>
          <w:tcPr>
            <w:tcW w:w="4666" w:type="dxa"/>
          </w:tcPr>
          <w:p>
            <w:pPr>
              <w:pStyle w:val="TableParagraph"/>
              <w:spacing w:line="129" w:lineRule="exact" w:before="6"/>
              <w:ind w:left="302"/>
              <w:rPr>
                <w:sz w:val="12"/>
              </w:rPr>
            </w:pPr>
            <w:r>
              <w:rPr>
                <w:w w:val="105"/>
                <w:sz w:val="12"/>
              </w:rPr>
              <w:t>Services from other CCGs and NHS England</w:t>
            </w:r>
          </w:p>
        </w:tc>
        <w:tc>
          <w:tcPr>
            <w:tcW w:w="1125" w:type="dxa"/>
          </w:tcPr>
          <w:p>
            <w:pPr>
              <w:pStyle w:val="TableParagraph"/>
              <w:spacing w:line="129" w:lineRule="exact" w:before="6"/>
              <w:ind w:right="23"/>
              <w:jc w:val="right"/>
              <w:rPr>
                <w:sz w:val="12"/>
              </w:rPr>
            </w:pPr>
            <w:r>
              <w:rPr>
                <w:sz w:val="12"/>
              </w:rPr>
              <w:t>64</w:t>
            </w:r>
          </w:p>
        </w:tc>
        <w:tc>
          <w:tcPr>
            <w:tcW w:w="148" w:type="dxa"/>
          </w:tcPr>
          <w:p>
            <w:pPr>
              <w:pStyle w:val="TableParagraph"/>
              <w:rPr>
                <w:rFonts w:ascii="Times New Roman"/>
                <w:sz w:val="8"/>
              </w:rPr>
            </w:pPr>
          </w:p>
        </w:tc>
        <w:tc>
          <w:tcPr>
            <w:tcW w:w="1127" w:type="dxa"/>
          </w:tcPr>
          <w:p>
            <w:pPr>
              <w:pStyle w:val="TableParagraph"/>
              <w:spacing w:line="129" w:lineRule="exact" w:before="6"/>
              <w:ind w:right="28"/>
              <w:jc w:val="right"/>
              <w:rPr>
                <w:sz w:val="12"/>
              </w:rPr>
            </w:pPr>
            <w:r>
              <w:rPr>
                <w:sz w:val="12"/>
              </w:rPr>
              <w:t>73</w:t>
            </w:r>
          </w:p>
        </w:tc>
      </w:tr>
      <w:tr>
        <w:trPr>
          <w:trHeight w:val="154" w:hRule="atLeast"/>
        </w:trPr>
        <w:tc>
          <w:tcPr>
            <w:tcW w:w="4666" w:type="dxa"/>
          </w:tcPr>
          <w:p>
            <w:pPr>
              <w:pStyle w:val="TableParagraph"/>
              <w:spacing w:line="128" w:lineRule="exact" w:before="7"/>
              <w:ind w:left="125"/>
              <w:rPr>
                <w:sz w:val="12"/>
              </w:rPr>
            </w:pPr>
            <w:r>
              <w:rPr>
                <w:b/>
                <w:w w:val="105"/>
                <w:sz w:val="12"/>
              </w:rPr>
              <w:t>1* </w:t>
            </w:r>
            <w:r>
              <w:rPr>
                <w:w w:val="105"/>
                <w:sz w:val="12"/>
              </w:rPr>
              <w:t>Services from foundation trusts</w:t>
            </w:r>
          </w:p>
        </w:tc>
        <w:tc>
          <w:tcPr>
            <w:tcW w:w="1125" w:type="dxa"/>
          </w:tcPr>
          <w:p>
            <w:pPr>
              <w:pStyle w:val="TableParagraph"/>
              <w:spacing w:line="128" w:lineRule="exact" w:before="7"/>
              <w:ind w:right="25"/>
              <w:jc w:val="right"/>
              <w:rPr>
                <w:sz w:val="12"/>
              </w:rPr>
            </w:pPr>
            <w:r>
              <w:rPr>
                <w:w w:val="105"/>
                <w:sz w:val="12"/>
              </w:rPr>
              <w:t>154,765</w:t>
            </w:r>
          </w:p>
        </w:tc>
        <w:tc>
          <w:tcPr>
            <w:tcW w:w="148" w:type="dxa"/>
          </w:tcPr>
          <w:p>
            <w:pPr>
              <w:pStyle w:val="TableParagraph"/>
              <w:rPr>
                <w:rFonts w:ascii="Times New Roman"/>
                <w:sz w:val="8"/>
              </w:rPr>
            </w:pPr>
          </w:p>
        </w:tc>
        <w:tc>
          <w:tcPr>
            <w:tcW w:w="1127" w:type="dxa"/>
          </w:tcPr>
          <w:p>
            <w:pPr>
              <w:pStyle w:val="TableParagraph"/>
              <w:spacing w:line="128" w:lineRule="exact" w:before="7"/>
              <w:ind w:right="31"/>
              <w:jc w:val="right"/>
              <w:rPr>
                <w:sz w:val="12"/>
              </w:rPr>
            </w:pPr>
            <w:r>
              <w:rPr>
                <w:w w:val="105"/>
                <w:sz w:val="12"/>
              </w:rPr>
              <w:t>149,951</w:t>
            </w:r>
          </w:p>
        </w:tc>
      </w:tr>
      <w:tr>
        <w:trPr>
          <w:trHeight w:val="156" w:hRule="atLeast"/>
        </w:trPr>
        <w:tc>
          <w:tcPr>
            <w:tcW w:w="4666" w:type="dxa"/>
          </w:tcPr>
          <w:p>
            <w:pPr>
              <w:pStyle w:val="TableParagraph"/>
              <w:spacing w:line="130" w:lineRule="exact" w:before="6"/>
              <w:ind w:left="302"/>
              <w:rPr>
                <w:sz w:val="12"/>
              </w:rPr>
            </w:pPr>
            <w:r>
              <w:rPr>
                <w:w w:val="105"/>
                <w:sz w:val="12"/>
              </w:rPr>
              <w:t>Services from other NHS trusts</w:t>
            </w:r>
          </w:p>
        </w:tc>
        <w:tc>
          <w:tcPr>
            <w:tcW w:w="1125" w:type="dxa"/>
          </w:tcPr>
          <w:p>
            <w:pPr>
              <w:pStyle w:val="TableParagraph"/>
              <w:spacing w:line="130" w:lineRule="exact" w:before="6"/>
              <w:ind w:right="28"/>
              <w:jc w:val="right"/>
              <w:rPr>
                <w:sz w:val="12"/>
              </w:rPr>
            </w:pPr>
            <w:r>
              <w:rPr>
                <w:w w:val="105"/>
                <w:sz w:val="12"/>
              </w:rPr>
              <w:t>28,139</w:t>
            </w:r>
          </w:p>
        </w:tc>
        <w:tc>
          <w:tcPr>
            <w:tcW w:w="148" w:type="dxa"/>
          </w:tcPr>
          <w:p>
            <w:pPr>
              <w:pStyle w:val="TableParagraph"/>
              <w:rPr>
                <w:rFonts w:ascii="Times New Roman"/>
                <w:sz w:val="10"/>
              </w:rPr>
            </w:pPr>
          </w:p>
        </w:tc>
        <w:tc>
          <w:tcPr>
            <w:tcW w:w="1127" w:type="dxa"/>
          </w:tcPr>
          <w:p>
            <w:pPr>
              <w:pStyle w:val="TableParagraph"/>
              <w:spacing w:line="130" w:lineRule="exact" w:before="6"/>
              <w:ind w:right="31"/>
              <w:jc w:val="right"/>
              <w:rPr>
                <w:sz w:val="12"/>
              </w:rPr>
            </w:pPr>
            <w:r>
              <w:rPr>
                <w:w w:val="105"/>
                <w:sz w:val="12"/>
              </w:rPr>
              <w:t>27,175</w:t>
            </w:r>
          </w:p>
        </w:tc>
      </w:tr>
      <w:tr>
        <w:trPr>
          <w:trHeight w:val="157" w:hRule="atLeast"/>
        </w:trPr>
        <w:tc>
          <w:tcPr>
            <w:tcW w:w="4666" w:type="dxa"/>
          </w:tcPr>
          <w:p>
            <w:pPr>
              <w:pStyle w:val="TableParagraph"/>
              <w:spacing w:line="129" w:lineRule="exact" w:before="8"/>
              <w:ind w:left="302"/>
              <w:rPr>
                <w:sz w:val="12"/>
              </w:rPr>
            </w:pPr>
            <w:r>
              <w:rPr>
                <w:w w:val="105"/>
                <w:sz w:val="12"/>
              </w:rPr>
              <w:t>Provider Sustainability Fund</w:t>
            </w:r>
          </w:p>
        </w:tc>
        <w:tc>
          <w:tcPr>
            <w:tcW w:w="1125" w:type="dxa"/>
          </w:tcPr>
          <w:p>
            <w:pPr>
              <w:pStyle w:val="TableParagraph"/>
              <w:spacing w:line="129" w:lineRule="exact" w:before="8"/>
              <w:ind w:right="27"/>
              <w:jc w:val="right"/>
              <w:rPr>
                <w:sz w:val="12"/>
              </w:rPr>
            </w:pPr>
            <w:r>
              <w:rPr>
                <w:w w:val="104"/>
                <w:sz w:val="12"/>
              </w:rPr>
              <w:t>-</w:t>
            </w:r>
          </w:p>
        </w:tc>
        <w:tc>
          <w:tcPr>
            <w:tcW w:w="148" w:type="dxa"/>
          </w:tcPr>
          <w:p>
            <w:pPr>
              <w:pStyle w:val="TableParagraph"/>
              <w:rPr>
                <w:rFonts w:ascii="Times New Roman"/>
                <w:sz w:val="10"/>
              </w:rPr>
            </w:pPr>
          </w:p>
        </w:tc>
        <w:tc>
          <w:tcPr>
            <w:tcW w:w="1127" w:type="dxa"/>
          </w:tcPr>
          <w:p>
            <w:pPr>
              <w:pStyle w:val="TableParagraph"/>
              <w:spacing w:line="129" w:lineRule="exact" w:before="8"/>
              <w:ind w:right="30"/>
              <w:jc w:val="right"/>
              <w:rPr>
                <w:sz w:val="12"/>
              </w:rPr>
            </w:pPr>
            <w:r>
              <w:rPr>
                <w:w w:val="104"/>
                <w:sz w:val="12"/>
              </w:rPr>
              <w:t>-</w:t>
            </w:r>
          </w:p>
        </w:tc>
      </w:tr>
      <w:tr>
        <w:trPr>
          <w:trHeight w:val="155" w:hRule="atLeast"/>
        </w:trPr>
        <w:tc>
          <w:tcPr>
            <w:tcW w:w="4666" w:type="dxa"/>
          </w:tcPr>
          <w:p>
            <w:pPr>
              <w:pStyle w:val="TableParagraph"/>
              <w:spacing w:line="129" w:lineRule="exact" w:before="7"/>
              <w:ind w:left="302"/>
              <w:rPr>
                <w:sz w:val="12"/>
              </w:rPr>
            </w:pPr>
            <w:r>
              <w:rPr>
                <w:w w:val="105"/>
                <w:sz w:val="12"/>
              </w:rPr>
              <w:t>Services from Other WGA bodies</w:t>
            </w:r>
          </w:p>
        </w:tc>
        <w:tc>
          <w:tcPr>
            <w:tcW w:w="1125" w:type="dxa"/>
          </w:tcPr>
          <w:p>
            <w:pPr>
              <w:pStyle w:val="TableParagraph"/>
              <w:spacing w:line="129" w:lineRule="exact" w:before="7"/>
              <w:ind w:right="27"/>
              <w:jc w:val="right"/>
              <w:rPr>
                <w:sz w:val="12"/>
              </w:rPr>
            </w:pPr>
            <w:r>
              <w:rPr>
                <w:w w:val="104"/>
                <w:sz w:val="12"/>
              </w:rPr>
              <w:t>-</w:t>
            </w:r>
          </w:p>
        </w:tc>
        <w:tc>
          <w:tcPr>
            <w:tcW w:w="148" w:type="dxa"/>
          </w:tcPr>
          <w:p>
            <w:pPr>
              <w:pStyle w:val="TableParagraph"/>
              <w:rPr>
                <w:rFonts w:ascii="Times New Roman"/>
                <w:sz w:val="10"/>
              </w:rPr>
            </w:pPr>
          </w:p>
        </w:tc>
        <w:tc>
          <w:tcPr>
            <w:tcW w:w="1127" w:type="dxa"/>
          </w:tcPr>
          <w:p>
            <w:pPr>
              <w:pStyle w:val="TableParagraph"/>
              <w:spacing w:line="129" w:lineRule="exact" w:before="7"/>
              <w:ind w:right="30"/>
              <w:jc w:val="right"/>
              <w:rPr>
                <w:sz w:val="12"/>
              </w:rPr>
            </w:pPr>
            <w:r>
              <w:rPr>
                <w:w w:val="104"/>
                <w:sz w:val="12"/>
              </w:rPr>
              <w:t>-</w:t>
            </w:r>
          </w:p>
        </w:tc>
      </w:tr>
      <w:tr>
        <w:trPr>
          <w:trHeight w:val="156" w:hRule="atLeast"/>
        </w:trPr>
        <w:tc>
          <w:tcPr>
            <w:tcW w:w="4666" w:type="dxa"/>
          </w:tcPr>
          <w:p>
            <w:pPr>
              <w:pStyle w:val="TableParagraph"/>
              <w:spacing w:line="129" w:lineRule="exact" w:before="7"/>
              <w:ind w:left="125"/>
              <w:rPr>
                <w:sz w:val="12"/>
              </w:rPr>
            </w:pPr>
            <w:r>
              <w:rPr>
                <w:b/>
                <w:w w:val="105"/>
                <w:sz w:val="12"/>
              </w:rPr>
              <w:t>2* </w:t>
            </w:r>
            <w:r>
              <w:rPr>
                <w:w w:val="105"/>
                <w:sz w:val="12"/>
              </w:rPr>
              <w:t>Purchase of healthcare from non-NHS bodies</w:t>
            </w:r>
          </w:p>
        </w:tc>
        <w:tc>
          <w:tcPr>
            <w:tcW w:w="1125" w:type="dxa"/>
          </w:tcPr>
          <w:p>
            <w:pPr>
              <w:pStyle w:val="TableParagraph"/>
              <w:spacing w:line="129" w:lineRule="exact" w:before="7"/>
              <w:ind w:right="28"/>
              <w:jc w:val="right"/>
              <w:rPr>
                <w:sz w:val="12"/>
              </w:rPr>
            </w:pPr>
            <w:r>
              <w:rPr>
                <w:w w:val="105"/>
                <w:sz w:val="12"/>
              </w:rPr>
              <w:t>50,287</w:t>
            </w:r>
          </w:p>
        </w:tc>
        <w:tc>
          <w:tcPr>
            <w:tcW w:w="148" w:type="dxa"/>
          </w:tcPr>
          <w:p>
            <w:pPr>
              <w:pStyle w:val="TableParagraph"/>
              <w:rPr>
                <w:rFonts w:ascii="Times New Roman"/>
                <w:sz w:val="10"/>
              </w:rPr>
            </w:pPr>
          </w:p>
        </w:tc>
        <w:tc>
          <w:tcPr>
            <w:tcW w:w="1127" w:type="dxa"/>
          </w:tcPr>
          <w:p>
            <w:pPr>
              <w:pStyle w:val="TableParagraph"/>
              <w:spacing w:line="129" w:lineRule="exact" w:before="7"/>
              <w:ind w:right="31"/>
              <w:jc w:val="right"/>
              <w:rPr>
                <w:sz w:val="12"/>
              </w:rPr>
            </w:pPr>
            <w:r>
              <w:rPr>
                <w:w w:val="105"/>
                <w:sz w:val="12"/>
              </w:rPr>
              <w:t>39,603</w:t>
            </w:r>
          </w:p>
        </w:tc>
      </w:tr>
      <w:tr>
        <w:trPr>
          <w:trHeight w:val="155" w:hRule="atLeast"/>
        </w:trPr>
        <w:tc>
          <w:tcPr>
            <w:tcW w:w="4666" w:type="dxa"/>
          </w:tcPr>
          <w:p>
            <w:pPr>
              <w:pStyle w:val="TableParagraph"/>
              <w:spacing w:line="129" w:lineRule="exact" w:before="7"/>
              <w:ind w:left="302"/>
              <w:rPr>
                <w:sz w:val="12"/>
              </w:rPr>
            </w:pPr>
            <w:r>
              <w:rPr>
                <w:w w:val="105"/>
                <w:sz w:val="12"/>
              </w:rPr>
              <w:t>Purchase of social care</w:t>
            </w:r>
          </w:p>
        </w:tc>
        <w:tc>
          <w:tcPr>
            <w:tcW w:w="1125" w:type="dxa"/>
          </w:tcPr>
          <w:p>
            <w:pPr>
              <w:pStyle w:val="TableParagraph"/>
              <w:spacing w:line="129" w:lineRule="exact" w:before="7"/>
              <w:ind w:right="23"/>
              <w:jc w:val="right"/>
              <w:rPr>
                <w:sz w:val="12"/>
              </w:rPr>
            </w:pPr>
            <w:r>
              <w:rPr>
                <w:w w:val="105"/>
                <w:sz w:val="12"/>
              </w:rPr>
              <w:t>7,674</w:t>
            </w:r>
          </w:p>
        </w:tc>
        <w:tc>
          <w:tcPr>
            <w:tcW w:w="148" w:type="dxa"/>
          </w:tcPr>
          <w:p>
            <w:pPr>
              <w:pStyle w:val="TableParagraph"/>
              <w:rPr>
                <w:rFonts w:ascii="Times New Roman"/>
                <w:sz w:val="10"/>
              </w:rPr>
            </w:pPr>
          </w:p>
        </w:tc>
        <w:tc>
          <w:tcPr>
            <w:tcW w:w="1127" w:type="dxa"/>
          </w:tcPr>
          <w:p>
            <w:pPr>
              <w:pStyle w:val="TableParagraph"/>
              <w:spacing w:line="129" w:lineRule="exact" w:before="7"/>
              <w:ind w:right="28"/>
              <w:jc w:val="right"/>
              <w:rPr>
                <w:sz w:val="12"/>
              </w:rPr>
            </w:pPr>
            <w:r>
              <w:rPr>
                <w:w w:val="105"/>
                <w:sz w:val="12"/>
              </w:rPr>
              <w:t>7,285</w:t>
            </w:r>
          </w:p>
        </w:tc>
      </w:tr>
      <w:tr>
        <w:trPr>
          <w:trHeight w:val="156" w:hRule="atLeast"/>
        </w:trPr>
        <w:tc>
          <w:tcPr>
            <w:tcW w:w="4666" w:type="dxa"/>
          </w:tcPr>
          <w:p>
            <w:pPr>
              <w:pStyle w:val="TableParagraph"/>
              <w:spacing w:line="129" w:lineRule="exact" w:before="7"/>
              <w:ind w:left="302"/>
              <w:rPr>
                <w:sz w:val="12"/>
              </w:rPr>
            </w:pPr>
            <w:r>
              <w:rPr>
                <w:w w:val="105"/>
                <w:sz w:val="12"/>
              </w:rPr>
              <w:t>General Dental services and personal dental services</w:t>
            </w:r>
          </w:p>
        </w:tc>
        <w:tc>
          <w:tcPr>
            <w:tcW w:w="1125" w:type="dxa"/>
          </w:tcPr>
          <w:p>
            <w:pPr>
              <w:pStyle w:val="TableParagraph"/>
              <w:spacing w:line="129" w:lineRule="exact" w:before="7"/>
              <w:ind w:right="27"/>
              <w:jc w:val="right"/>
              <w:rPr>
                <w:sz w:val="12"/>
              </w:rPr>
            </w:pPr>
            <w:r>
              <w:rPr>
                <w:w w:val="104"/>
                <w:sz w:val="12"/>
              </w:rPr>
              <w:t>-</w:t>
            </w:r>
          </w:p>
        </w:tc>
        <w:tc>
          <w:tcPr>
            <w:tcW w:w="148" w:type="dxa"/>
          </w:tcPr>
          <w:p>
            <w:pPr>
              <w:pStyle w:val="TableParagraph"/>
              <w:rPr>
                <w:rFonts w:ascii="Times New Roman"/>
                <w:sz w:val="10"/>
              </w:rPr>
            </w:pPr>
          </w:p>
        </w:tc>
        <w:tc>
          <w:tcPr>
            <w:tcW w:w="1127" w:type="dxa"/>
          </w:tcPr>
          <w:p>
            <w:pPr>
              <w:pStyle w:val="TableParagraph"/>
              <w:spacing w:line="129" w:lineRule="exact" w:before="7"/>
              <w:ind w:right="30"/>
              <w:jc w:val="right"/>
              <w:rPr>
                <w:sz w:val="12"/>
              </w:rPr>
            </w:pPr>
            <w:r>
              <w:rPr>
                <w:w w:val="104"/>
                <w:sz w:val="12"/>
              </w:rPr>
              <w:t>-</w:t>
            </w:r>
          </w:p>
        </w:tc>
      </w:tr>
      <w:tr>
        <w:trPr>
          <w:trHeight w:val="155" w:hRule="atLeast"/>
        </w:trPr>
        <w:tc>
          <w:tcPr>
            <w:tcW w:w="4666" w:type="dxa"/>
          </w:tcPr>
          <w:p>
            <w:pPr>
              <w:pStyle w:val="TableParagraph"/>
              <w:spacing w:line="129" w:lineRule="exact" w:before="7"/>
              <w:ind w:left="302"/>
              <w:rPr>
                <w:sz w:val="12"/>
              </w:rPr>
            </w:pPr>
            <w:r>
              <w:rPr>
                <w:w w:val="105"/>
                <w:sz w:val="12"/>
              </w:rPr>
              <w:t>Prescribing costs</w:t>
            </w:r>
          </w:p>
        </w:tc>
        <w:tc>
          <w:tcPr>
            <w:tcW w:w="1125" w:type="dxa"/>
          </w:tcPr>
          <w:p>
            <w:pPr>
              <w:pStyle w:val="TableParagraph"/>
              <w:spacing w:line="129" w:lineRule="exact" w:before="7"/>
              <w:ind w:right="28"/>
              <w:jc w:val="right"/>
              <w:rPr>
                <w:sz w:val="12"/>
              </w:rPr>
            </w:pPr>
            <w:r>
              <w:rPr>
                <w:w w:val="105"/>
                <w:sz w:val="12"/>
              </w:rPr>
              <w:t>35,820</w:t>
            </w:r>
          </w:p>
        </w:tc>
        <w:tc>
          <w:tcPr>
            <w:tcW w:w="148" w:type="dxa"/>
          </w:tcPr>
          <w:p>
            <w:pPr>
              <w:pStyle w:val="TableParagraph"/>
              <w:rPr>
                <w:rFonts w:ascii="Times New Roman"/>
                <w:sz w:val="10"/>
              </w:rPr>
            </w:pPr>
          </w:p>
        </w:tc>
        <w:tc>
          <w:tcPr>
            <w:tcW w:w="1127" w:type="dxa"/>
          </w:tcPr>
          <w:p>
            <w:pPr>
              <w:pStyle w:val="TableParagraph"/>
              <w:spacing w:line="129" w:lineRule="exact" w:before="7"/>
              <w:ind w:right="31"/>
              <w:jc w:val="right"/>
              <w:rPr>
                <w:sz w:val="12"/>
              </w:rPr>
            </w:pPr>
            <w:r>
              <w:rPr>
                <w:w w:val="105"/>
                <w:sz w:val="12"/>
              </w:rPr>
              <w:t>35,071</w:t>
            </w:r>
          </w:p>
        </w:tc>
      </w:tr>
      <w:tr>
        <w:trPr>
          <w:trHeight w:val="154" w:hRule="atLeast"/>
        </w:trPr>
        <w:tc>
          <w:tcPr>
            <w:tcW w:w="4666" w:type="dxa"/>
          </w:tcPr>
          <w:p>
            <w:pPr>
              <w:pStyle w:val="TableParagraph"/>
              <w:spacing w:line="128" w:lineRule="exact" w:before="7"/>
              <w:ind w:left="302"/>
              <w:rPr>
                <w:sz w:val="12"/>
              </w:rPr>
            </w:pPr>
            <w:r>
              <w:rPr>
                <w:w w:val="105"/>
                <w:sz w:val="12"/>
              </w:rPr>
              <w:t>Pharmaceutical services</w:t>
            </w:r>
          </w:p>
        </w:tc>
        <w:tc>
          <w:tcPr>
            <w:tcW w:w="1125" w:type="dxa"/>
          </w:tcPr>
          <w:p>
            <w:pPr>
              <w:pStyle w:val="TableParagraph"/>
              <w:spacing w:line="128" w:lineRule="exact" w:before="7"/>
              <w:ind w:right="27"/>
              <w:jc w:val="right"/>
              <w:rPr>
                <w:sz w:val="12"/>
              </w:rPr>
            </w:pPr>
            <w:r>
              <w:rPr>
                <w:w w:val="104"/>
                <w:sz w:val="12"/>
              </w:rPr>
              <w:t>-</w:t>
            </w:r>
          </w:p>
        </w:tc>
        <w:tc>
          <w:tcPr>
            <w:tcW w:w="148" w:type="dxa"/>
          </w:tcPr>
          <w:p>
            <w:pPr>
              <w:pStyle w:val="TableParagraph"/>
              <w:rPr>
                <w:rFonts w:ascii="Times New Roman"/>
                <w:sz w:val="8"/>
              </w:rPr>
            </w:pPr>
          </w:p>
        </w:tc>
        <w:tc>
          <w:tcPr>
            <w:tcW w:w="1127" w:type="dxa"/>
          </w:tcPr>
          <w:p>
            <w:pPr>
              <w:pStyle w:val="TableParagraph"/>
              <w:spacing w:line="128" w:lineRule="exact" w:before="7"/>
              <w:ind w:right="30"/>
              <w:jc w:val="right"/>
              <w:rPr>
                <w:sz w:val="12"/>
              </w:rPr>
            </w:pPr>
            <w:r>
              <w:rPr>
                <w:w w:val="104"/>
                <w:sz w:val="12"/>
              </w:rPr>
              <w:t>-</w:t>
            </w:r>
          </w:p>
        </w:tc>
      </w:tr>
      <w:tr>
        <w:trPr>
          <w:trHeight w:val="154" w:hRule="atLeast"/>
        </w:trPr>
        <w:tc>
          <w:tcPr>
            <w:tcW w:w="4666" w:type="dxa"/>
          </w:tcPr>
          <w:p>
            <w:pPr>
              <w:pStyle w:val="TableParagraph"/>
              <w:spacing w:line="129" w:lineRule="exact" w:before="6"/>
              <w:ind w:left="302"/>
              <w:rPr>
                <w:sz w:val="12"/>
              </w:rPr>
            </w:pPr>
            <w:r>
              <w:rPr>
                <w:w w:val="105"/>
                <w:sz w:val="12"/>
              </w:rPr>
              <w:t>General Ophthalmic services</w:t>
            </w:r>
          </w:p>
        </w:tc>
        <w:tc>
          <w:tcPr>
            <w:tcW w:w="1125" w:type="dxa"/>
          </w:tcPr>
          <w:p>
            <w:pPr>
              <w:pStyle w:val="TableParagraph"/>
              <w:spacing w:line="129" w:lineRule="exact" w:before="6"/>
              <w:ind w:right="27"/>
              <w:jc w:val="right"/>
              <w:rPr>
                <w:sz w:val="12"/>
              </w:rPr>
            </w:pPr>
            <w:r>
              <w:rPr>
                <w:w w:val="104"/>
                <w:sz w:val="12"/>
              </w:rPr>
              <w:t>-</w:t>
            </w:r>
          </w:p>
        </w:tc>
        <w:tc>
          <w:tcPr>
            <w:tcW w:w="148" w:type="dxa"/>
          </w:tcPr>
          <w:p>
            <w:pPr>
              <w:pStyle w:val="TableParagraph"/>
              <w:rPr>
                <w:rFonts w:ascii="Times New Roman"/>
                <w:sz w:val="8"/>
              </w:rPr>
            </w:pPr>
          </w:p>
        </w:tc>
        <w:tc>
          <w:tcPr>
            <w:tcW w:w="1127" w:type="dxa"/>
          </w:tcPr>
          <w:p>
            <w:pPr>
              <w:pStyle w:val="TableParagraph"/>
              <w:spacing w:line="129" w:lineRule="exact" w:before="6"/>
              <w:ind w:right="30"/>
              <w:jc w:val="right"/>
              <w:rPr>
                <w:sz w:val="12"/>
              </w:rPr>
            </w:pPr>
            <w:r>
              <w:rPr>
                <w:w w:val="104"/>
                <w:sz w:val="12"/>
              </w:rPr>
              <w:t>-</w:t>
            </w:r>
          </w:p>
        </w:tc>
      </w:tr>
      <w:tr>
        <w:trPr>
          <w:trHeight w:val="156" w:hRule="atLeast"/>
        </w:trPr>
        <w:tc>
          <w:tcPr>
            <w:tcW w:w="4666" w:type="dxa"/>
          </w:tcPr>
          <w:p>
            <w:pPr>
              <w:pStyle w:val="TableParagraph"/>
              <w:spacing w:line="129" w:lineRule="exact" w:before="7"/>
              <w:ind w:left="302"/>
              <w:rPr>
                <w:sz w:val="12"/>
              </w:rPr>
            </w:pPr>
            <w:r>
              <w:rPr>
                <w:w w:val="105"/>
                <w:sz w:val="12"/>
              </w:rPr>
              <w:t>GPMS/APMS and PCTMS</w:t>
            </w:r>
          </w:p>
        </w:tc>
        <w:tc>
          <w:tcPr>
            <w:tcW w:w="1125" w:type="dxa"/>
          </w:tcPr>
          <w:p>
            <w:pPr>
              <w:pStyle w:val="TableParagraph"/>
              <w:spacing w:line="129" w:lineRule="exact" w:before="7"/>
              <w:ind w:right="28"/>
              <w:jc w:val="right"/>
              <w:rPr>
                <w:sz w:val="12"/>
              </w:rPr>
            </w:pPr>
            <w:r>
              <w:rPr>
                <w:w w:val="105"/>
                <w:sz w:val="12"/>
              </w:rPr>
              <w:t>30,583</w:t>
            </w:r>
          </w:p>
        </w:tc>
        <w:tc>
          <w:tcPr>
            <w:tcW w:w="148" w:type="dxa"/>
          </w:tcPr>
          <w:p>
            <w:pPr>
              <w:pStyle w:val="TableParagraph"/>
              <w:rPr>
                <w:rFonts w:ascii="Times New Roman"/>
                <w:sz w:val="10"/>
              </w:rPr>
            </w:pPr>
          </w:p>
        </w:tc>
        <w:tc>
          <w:tcPr>
            <w:tcW w:w="1127" w:type="dxa"/>
          </w:tcPr>
          <w:p>
            <w:pPr>
              <w:pStyle w:val="TableParagraph"/>
              <w:spacing w:line="129" w:lineRule="exact" w:before="7"/>
              <w:ind w:right="31"/>
              <w:jc w:val="right"/>
              <w:rPr>
                <w:sz w:val="12"/>
              </w:rPr>
            </w:pPr>
            <w:r>
              <w:rPr>
                <w:w w:val="105"/>
                <w:sz w:val="12"/>
              </w:rPr>
              <w:t>28,721</w:t>
            </w:r>
          </w:p>
        </w:tc>
      </w:tr>
      <w:tr>
        <w:trPr>
          <w:trHeight w:val="155" w:hRule="atLeast"/>
        </w:trPr>
        <w:tc>
          <w:tcPr>
            <w:tcW w:w="4666" w:type="dxa"/>
          </w:tcPr>
          <w:p>
            <w:pPr>
              <w:pStyle w:val="TableParagraph"/>
              <w:spacing w:line="129" w:lineRule="exact" w:before="7"/>
              <w:ind w:left="302"/>
              <w:rPr>
                <w:sz w:val="12"/>
              </w:rPr>
            </w:pPr>
            <w:r>
              <w:rPr>
                <w:w w:val="105"/>
                <w:sz w:val="12"/>
              </w:rPr>
              <w:t>Supplies and services – clinical</w:t>
            </w:r>
          </w:p>
        </w:tc>
        <w:tc>
          <w:tcPr>
            <w:tcW w:w="1125" w:type="dxa"/>
          </w:tcPr>
          <w:p>
            <w:pPr>
              <w:pStyle w:val="TableParagraph"/>
              <w:spacing w:line="129" w:lineRule="exact" w:before="7"/>
              <w:ind w:right="28"/>
              <w:jc w:val="right"/>
              <w:rPr>
                <w:sz w:val="12"/>
              </w:rPr>
            </w:pPr>
            <w:r>
              <w:rPr>
                <w:sz w:val="12"/>
              </w:rPr>
              <w:t>412</w:t>
            </w:r>
          </w:p>
        </w:tc>
        <w:tc>
          <w:tcPr>
            <w:tcW w:w="148" w:type="dxa"/>
          </w:tcPr>
          <w:p>
            <w:pPr>
              <w:pStyle w:val="TableParagraph"/>
              <w:rPr>
                <w:rFonts w:ascii="Times New Roman"/>
                <w:sz w:val="10"/>
              </w:rPr>
            </w:pPr>
          </w:p>
        </w:tc>
        <w:tc>
          <w:tcPr>
            <w:tcW w:w="1127" w:type="dxa"/>
          </w:tcPr>
          <w:p>
            <w:pPr>
              <w:pStyle w:val="TableParagraph"/>
              <w:spacing w:line="129" w:lineRule="exact" w:before="7"/>
              <w:ind w:right="31"/>
              <w:jc w:val="right"/>
              <w:rPr>
                <w:sz w:val="12"/>
              </w:rPr>
            </w:pPr>
            <w:r>
              <w:rPr>
                <w:sz w:val="12"/>
              </w:rPr>
              <w:t>314</w:t>
            </w:r>
          </w:p>
        </w:tc>
      </w:tr>
      <w:tr>
        <w:trPr>
          <w:trHeight w:val="154" w:hRule="atLeast"/>
        </w:trPr>
        <w:tc>
          <w:tcPr>
            <w:tcW w:w="4666" w:type="dxa"/>
          </w:tcPr>
          <w:p>
            <w:pPr>
              <w:pStyle w:val="TableParagraph"/>
              <w:spacing w:line="128" w:lineRule="exact" w:before="7"/>
              <w:ind w:left="125"/>
              <w:rPr>
                <w:sz w:val="12"/>
              </w:rPr>
            </w:pPr>
            <w:r>
              <w:rPr>
                <w:b/>
                <w:w w:val="105"/>
                <w:sz w:val="12"/>
              </w:rPr>
              <w:t>3* </w:t>
            </w:r>
            <w:r>
              <w:rPr>
                <w:w w:val="105"/>
                <w:sz w:val="12"/>
              </w:rPr>
              <w:t>Supplies and services – general</w:t>
            </w:r>
          </w:p>
        </w:tc>
        <w:tc>
          <w:tcPr>
            <w:tcW w:w="1125" w:type="dxa"/>
          </w:tcPr>
          <w:p>
            <w:pPr>
              <w:pStyle w:val="TableParagraph"/>
              <w:spacing w:line="128" w:lineRule="exact" w:before="7"/>
              <w:ind w:right="23"/>
              <w:jc w:val="right"/>
              <w:rPr>
                <w:sz w:val="12"/>
              </w:rPr>
            </w:pPr>
            <w:r>
              <w:rPr>
                <w:w w:val="105"/>
                <w:sz w:val="12"/>
              </w:rPr>
              <w:t>5,420</w:t>
            </w:r>
          </w:p>
        </w:tc>
        <w:tc>
          <w:tcPr>
            <w:tcW w:w="148" w:type="dxa"/>
          </w:tcPr>
          <w:p>
            <w:pPr>
              <w:pStyle w:val="TableParagraph"/>
              <w:rPr>
                <w:rFonts w:ascii="Times New Roman"/>
                <w:sz w:val="8"/>
              </w:rPr>
            </w:pPr>
          </w:p>
        </w:tc>
        <w:tc>
          <w:tcPr>
            <w:tcW w:w="1127" w:type="dxa"/>
          </w:tcPr>
          <w:p>
            <w:pPr>
              <w:pStyle w:val="TableParagraph"/>
              <w:spacing w:line="128" w:lineRule="exact" w:before="7"/>
              <w:ind w:right="28"/>
              <w:jc w:val="right"/>
              <w:rPr>
                <w:sz w:val="12"/>
              </w:rPr>
            </w:pPr>
            <w:r>
              <w:rPr>
                <w:w w:val="105"/>
                <w:sz w:val="12"/>
              </w:rPr>
              <w:t>3,102</w:t>
            </w:r>
          </w:p>
        </w:tc>
      </w:tr>
      <w:tr>
        <w:trPr>
          <w:trHeight w:val="154" w:hRule="atLeast"/>
        </w:trPr>
        <w:tc>
          <w:tcPr>
            <w:tcW w:w="4666" w:type="dxa"/>
          </w:tcPr>
          <w:p>
            <w:pPr>
              <w:pStyle w:val="TableParagraph"/>
              <w:spacing w:line="129" w:lineRule="exact" w:before="6"/>
              <w:ind w:left="302"/>
              <w:rPr>
                <w:sz w:val="12"/>
              </w:rPr>
            </w:pPr>
            <w:r>
              <w:rPr>
                <w:w w:val="105"/>
                <w:sz w:val="12"/>
              </w:rPr>
              <w:t>Consultancy services</w:t>
            </w:r>
          </w:p>
        </w:tc>
        <w:tc>
          <w:tcPr>
            <w:tcW w:w="1125" w:type="dxa"/>
          </w:tcPr>
          <w:p>
            <w:pPr>
              <w:pStyle w:val="TableParagraph"/>
              <w:spacing w:line="129" w:lineRule="exact" w:before="6"/>
              <w:ind w:right="23"/>
              <w:jc w:val="right"/>
              <w:rPr>
                <w:sz w:val="12"/>
              </w:rPr>
            </w:pPr>
            <w:r>
              <w:rPr>
                <w:w w:val="104"/>
                <w:sz w:val="12"/>
              </w:rPr>
              <w:t>2</w:t>
            </w:r>
          </w:p>
        </w:tc>
        <w:tc>
          <w:tcPr>
            <w:tcW w:w="148" w:type="dxa"/>
          </w:tcPr>
          <w:p>
            <w:pPr>
              <w:pStyle w:val="TableParagraph"/>
              <w:rPr>
                <w:rFonts w:ascii="Times New Roman"/>
                <w:sz w:val="8"/>
              </w:rPr>
            </w:pPr>
          </w:p>
        </w:tc>
        <w:tc>
          <w:tcPr>
            <w:tcW w:w="1127" w:type="dxa"/>
          </w:tcPr>
          <w:p>
            <w:pPr>
              <w:pStyle w:val="TableParagraph"/>
              <w:spacing w:line="129" w:lineRule="exact" w:before="6"/>
              <w:ind w:right="30"/>
              <w:jc w:val="right"/>
              <w:rPr>
                <w:sz w:val="12"/>
              </w:rPr>
            </w:pPr>
            <w:r>
              <w:rPr>
                <w:w w:val="104"/>
                <w:sz w:val="12"/>
              </w:rPr>
              <w:t>-</w:t>
            </w:r>
          </w:p>
        </w:tc>
      </w:tr>
      <w:tr>
        <w:trPr>
          <w:trHeight w:val="156" w:hRule="atLeast"/>
        </w:trPr>
        <w:tc>
          <w:tcPr>
            <w:tcW w:w="4666" w:type="dxa"/>
          </w:tcPr>
          <w:p>
            <w:pPr>
              <w:pStyle w:val="TableParagraph"/>
              <w:spacing w:line="129" w:lineRule="exact" w:before="7"/>
              <w:ind w:left="302"/>
              <w:rPr>
                <w:sz w:val="12"/>
              </w:rPr>
            </w:pPr>
            <w:r>
              <w:rPr>
                <w:w w:val="105"/>
                <w:sz w:val="12"/>
              </w:rPr>
              <w:t>Establishment</w:t>
            </w:r>
          </w:p>
        </w:tc>
        <w:tc>
          <w:tcPr>
            <w:tcW w:w="1125" w:type="dxa"/>
          </w:tcPr>
          <w:p>
            <w:pPr>
              <w:pStyle w:val="TableParagraph"/>
              <w:spacing w:line="129" w:lineRule="exact" w:before="7"/>
              <w:ind w:right="28"/>
              <w:jc w:val="right"/>
              <w:rPr>
                <w:sz w:val="12"/>
              </w:rPr>
            </w:pPr>
            <w:r>
              <w:rPr>
                <w:sz w:val="12"/>
              </w:rPr>
              <w:t>571</w:t>
            </w:r>
          </w:p>
        </w:tc>
        <w:tc>
          <w:tcPr>
            <w:tcW w:w="148" w:type="dxa"/>
          </w:tcPr>
          <w:p>
            <w:pPr>
              <w:pStyle w:val="TableParagraph"/>
              <w:rPr>
                <w:rFonts w:ascii="Times New Roman"/>
                <w:sz w:val="10"/>
              </w:rPr>
            </w:pPr>
          </w:p>
        </w:tc>
        <w:tc>
          <w:tcPr>
            <w:tcW w:w="1127" w:type="dxa"/>
          </w:tcPr>
          <w:p>
            <w:pPr>
              <w:pStyle w:val="TableParagraph"/>
              <w:spacing w:line="129" w:lineRule="exact" w:before="7"/>
              <w:ind w:right="31"/>
              <w:jc w:val="right"/>
              <w:rPr>
                <w:sz w:val="12"/>
              </w:rPr>
            </w:pPr>
            <w:r>
              <w:rPr>
                <w:sz w:val="12"/>
              </w:rPr>
              <w:t>651</w:t>
            </w:r>
          </w:p>
        </w:tc>
      </w:tr>
      <w:tr>
        <w:trPr>
          <w:trHeight w:val="155" w:hRule="atLeast"/>
        </w:trPr>
        <w:tc>
          <w:tcPr>
            <w:tcW w:w="4666" w:type="dxa"/>
          </w:tcPr>
          <w:p>
            <w:pPr>
              <w:pStyle w:val="TableParagraph"/>
              <w:spacing w:line="129" w:lineRule="exact" w:before="7"/>
              <w:ind w:left="302"/>
              <w:rPr>
                <w:sz w:val="12"/>
              </w:rPr>
            </w:pPr>
            <w:r>
              <w:rPr>
                <w:w w:val="105"/>
                <w:sz w:val="12"/>
              </w:rPr>
              <w:t>Transport</w:t>
            </w:r>
          </w:p>
        </w:tc>
        <w:tc>
          <w:tcPr>
            <w:tcW w:w="1125" w:type="dxa"/>
          </w:tcPr>
          <w:p>
            <w:pPr>
              <w:pStyle w:val="TableParagraph"/>
              <w:spacing w:line="129" w:lineRule="exact" w:before="7"/>
              <w:ind w:right="23"/>
              <w:jc w:val="right"/>
              <w:rPr>
                <w:sz w:val="12"/>
              </w:rPr>
            </w:pPr>
            <w:r>
              <w:rPr>
                <w:sz w:val="12"/>
              </w:rPr>
              <w:t>85</w:t>
            </w:r>
          </w:p>
        </w:tc>
        <w:tc>
          <w:tcPr>
            <w:tcW w:w="148" w:type="dxa"/>
          </w:tcPr>
          <w:p>
            <w:pPr>
              <w:pStyle w:val="TableParagraph"/>
              <w:rPr>
                <w:rFonts w:ascii="Times New Roman"/>
                <w:sz w:val="10"/>
              </w:rPr>
            </w:pPr>
          </w:p>
        </w:tc>
        <w:tc>
          <w:tcPr>
            <w:tcW w:w="1127" w:type="dxa"/>
          </w:tcPr>
          <w:p>
            <w:pPr>
              <w:pStyle w:val="TableParagraph"/>
              <w:spacing w:line="129" w:lineRule="exact" w:before="7"/>
              <w:ind w:right="28"/>
              <w:jc w:val="right"/>
              <w:rPr>
                <w:sz w:val="12"/>
              </w:rPr>
            </w:pPr>
            <w:r>
              <w:rPr>
                <w:sz w:val="12"/>
              </w:rPr>
              <w:t>82</w:t>
            </w:r>
          </w:p>
        </w:tc>
      </w:tr>
      <w:tr>
        <w:trPr>
          <w:trHeight w:val="152" w:hRule="atLeast"/>
        </w:trPr>
        <w:tc>
          <w:tcPr>
            <w:tcW w:w="4666" w:type="dxa"/>
          </w:tcPr>
          <w:p>
            <w:pPr>
              <w:pStyle w:val="TableParagraph"/>
              <w:spacing w:line="125" w:lineRule="exact" w:before="7"/>
              <w:ind w:left="302"/>
              <w:rPr>
                <w:sz w:val="12"/>
              </w:rPr>
            </w:pPr>
            <w:r>
              <w:rPr>
                <w:w w:val="105"/>
                <w:sz w:val="12"/>
              </w:rPr>
              <w:t>Premises</w:t>
            </w:r>
          </w:p>
        </w:tc>
        <w:tc>
          <w:tcPr>
            <w:tcW w:w="1125" w:type="dxa"/>
          </w:tcPr>
          <w:p>
            <w:pPr>
              <w:pStyle w:val="TableParagraph"/>
              <w:spacing w:line="125" w:lineRule="exact" w:before="7"/>
              <w:ind w:right="28"/>
              <w:jc w:val="right"/>
              <w:rPr>
                <w:sz w:val="12"/>
              </w:rPr>
            </w:pPr>
            <w:r>
              <w:rPr>
                <w:sz w:val="12"/>
              </w:rPr>
              <w:t>219</w:t>
            </w:r>
          </w:p>
        </w:tc>
        <w:tc>
          <w:tcPr>
            <w:tcW w:w="148" w:type="dxa"/>
          </w:tcPr>
          <w:p>
            <w:pPr>
              <w:pStyle w:val="TableParagraph"/>
              <w:rPr>
                <w:rFonts w:ascii="Times New Roman"/>
                <w:sz w:val="8"/>
              </w:rPr>
            </w:pPr>
          </w:p>
        </w:tc>
        <w:tc>
          <w:tcPr>
            <w:tcW w:w="1127" w:type="dxa"/>
          </w:tcPr>
          <w:p>
            <w:pPr>
              <w:pStyle w:val="TableParagraph"/>
              <w:spacing w:line="125" w:lineRule="exact" w:before="7"/>
              <w:ind w:right="31"/>
              <w:jc w:val="right"/>
              <w:rPr>
                <w:sz w:val="12"/>
              </w:rPr>
            </w:pPr>
            <w:r>
              <w:rPr>
                <w:sz w:val="12"/>
              </w:rPr>
              <w:t>332</w:t>
            </w:r>
          </w:p>
        </w:tc>
      </w:tr>
      <w:tr>
        <w:trPr>
          <w:trHeight w:val="152" w:hRule="atLeast"/>
        </w:trPr>
        <w:tc>
          <w:tcPr>
            <w:tcW w:w="4666" w:type="dxa"/>
          </w:tcPr>
          <w:p>
            <w:pPr>
              <w:pStyle w:val="TableParagraph"/>
              <w:spacing w:line="129" w:lineRule="exact" w:before="3"/>
              <w:ind w:left="125"/>
              <w:rPr>
                <w:sz w:val="12"/>
              </w:rPr>
            </w:pPr>
            <w:r>
              <w:rPr>
                <w:b/>
                <w:w w:val="105"/>
                <w:sz w:val="12"/>
              </w:rPr>
              <w:t>4* </w:t>
            </w:r>
            <w:r>
              <w:rPr>
                <w:w w:val="105"/>
                <w:sz w:val="12"/>
              </w:rPr>
              <w:t>Audit fees</w:t>
            </w:r>
          </w:p>
        </w:tc>
        <w:tc>
          <w:tcPr>
            <w:tcW w:w="1125" w:type="dxa"/>
          </w:tcPr>
          <w:p>
            <w:pPr>
              <w:pStyle w:val="TableParagraph"/>
              <w:spacing w:line="129" w:lineRule="exact" w:before="3"/>
              <w:ind w:right="23"/>
              <w:jc w:val="right"/>
              <w:rPr>
                <w:sz w:val="12"/>
              </w:rPr>
            </w:pPr>
            <w:r>
              <w:rPr>
                <w:sz w:val="12"/>
              </w:rPr>
              <w:t>47</w:t>
            </w:r>
          </w:p>
        </w:tc>
        <w:tc>
          <w:tcPr>
            <w:tcW w:w="148" w:type="dxa"/>
          </w:tcPr>
          <w:p>
            <w:pPr>
              <w:pStyle w:val="TableParagraph"/>
              <w:rPr>
                <w:rFonts w:ascii="Times New Roman"/>
                <w:sz w:val="8"/>
              </w:rPr>
            </w:pPr>
          </w:p>
        </w:tc>
        <w:tc>
          <w:tcPr>
            <w:tcW w:w="1127" w:type="dxa"/>
          </w:tcPr>
          <w:p>
            <w:pPr>
              <w:pStyle w:val="TableParagraph"/>
              <w:spacing w:line="129" w:lineRule="exact" w:before="3"/>
              <w:ind w:right="28"/>
              <w:jc w:val="right"/>
              <w:rPr>
                <w:sz w:val="12"/>
              </w:rPr>
            </w:pPr>
            <w:r>
              <w:rPr>
                <w:sz w:val="12"/>
              </w:rPr>
              <w:t>51</w:t>
            </w:r>
          </w:p>
        </w:tc>
      </w:tr>
      <w:tr>
        <w:trPr>
          <w:trHeight w:val="151" w:hRule="atLeast"/>
        </w:trPr>
        <w:tc>
          <w:tcPr>
            <w:tcW w:w="4666" w:type="dxa"/>
          </w:tcPr>
          <w:p>
            <w:pPr>
              <w:pStyle w:val="TableParagraph"/>
              <w:spacing w:line="124" w:lineRule="exact" w:before="7"/>
              <w:ind w:left="302"/>
              <w:rPr>
                <w:sz w:val="12"/>
              </w:rPr>
            </w:pPr>
            <w:r>
              <w:rPr>
                <w:w w:val="105"/>
                <w:sz w:val="12"/>
              </w:rPr>
              <w:t>Other non statutory audit expenditure</w:t>
            </w:r>
          </w:p>
        </w:tc>
        <w:tc>
          <w:tcPr>
            <w:tcW w:w="1125" w:type="dxa"/>
          </w:tcPr>
          <w:p>
            <w:pPr>
              <w:pStyle w:val="TableParagraph"/>
              <w:rPr>
                <w:rFonts w:ascii="Times New Roman"/>
                <w:sz w:val="8"/>
              </w:rPr>
            </w:pPr>
          </w:p>
        </w:tc>
        <w:tc>
          <w:tcPr>
            <w:tcW w:w="148" w:type="dxa"/>
          </w:tcPr>
          <w:p>
            <w:pPr>
              <w:pStyle w:val="TableParagraph"/>
              <w:rPr>
                <w:rFonts w:ascii="Times New Roman"/>
                <w:sz w:val="8"/>
              </w:rPr>
            </w:pPr>
          </w:p>
        </w:tc>
        <w:tc>
          <w:tcPr>
            <w:tcW w:w="1127" w:type="dxa"/>
          </w:tcPr>
          <w:p>
            <w:pPr>
              <w:pStyle w:val="TableParagraph"/>
              <w:rPr>
                <w:rFonts w:ascii="Times New Roman"/>
                <w:sz w:val="8"/>
              </w:rPr>
            </w:pPr>
          </w:p>
        </w:tc>
      </w:tr>
      <w:tr>
        <w:trPr>
          <w:trHeight w:val="158" w:hRule="atLeast"/>
        </w:trPr>
        <w:tc>
          <w:tcPr>
            <w:tcW w:w="4666" w:type="dxa"/>
          </w:tcPr>
          <w:p>
            <w:pPr>
              <w:pStyle w:val="TableParagraph"/>
              <w:numPr>
                <w:ilvl w:val="0"/>
                <w:numId w:val="26"/>
              </w:numPr>
              <w:tabs>
                <w:tab w:pos="706" w:val="left" w:leader="none"/>
                <w:tab w:pos="707" w:val="left" w:leader="none"/>
              </w:tabs>
              <w:spacing w:line="136" w:lineRule="exact" w:before="2" w:after="0"/>
              <w:ind w:left="706" w:right="0" w:hanging="405"/>
              <w:jc w:val="left"/>
              <w:rPr>
                <w:sz w:val="12"/>
              </w:rPr>
            </w:pPr>
            <w:r>
              <w:rPr>
                <w:w w:val="105"/>
                <w:sz w:val="12"/>
              </w:rPr>
              <w:t>Internal audit services</w:t>
            </w:r>
          </w:p>
        </w:tc>
        <w:tc>
          <w:tcPr>
            <w:tcW w:w="1125" w:type="dxa"/>
          </w:tcPr>
          <w:p>
            <w:pPr>
              <w:pStyle w:val="TableParagraph"/>
              <w:spacing w:line="136" w:lineRule="exact" w:before="2"/>
              <w:ind w:right="27"/>
              <w:jc w:val="right"/>
              <w:rPr>
                <w:sz w:val="12"/>
              </w:rPr>
            </w:pPr>
            <w:r>
              <w:rPr>
                <w:w w:val="104"/>
                <w:sz w:val="12"/>
              </w:rPr>
              <w:t>-</w:t>
            </w:r>
          </w:p>
        </w:tc>
        <w:tc>
          <w:tcPr>
            <w:tcW w:w="148" w:type="dxa"/>
          </w:tcPr>
          <w:p>
            <w:pPr>
              <w:pStyle w:val="TableParagraph"/>
              <w:rPr>
                <w:rFonts w:ascii="Times New Roman"/>
                <w:sz w:val="10"/>
              </w:rPr>
            </w:pPr>
          </w:p>
        </w:tc>
        <w:tc>
          <w:tcPr>
            <w:tcW w:w="1127" w:type="dxa"/>
          </w:tcPr>
          <w:p>
            <w:pPr>
              <w:pStyle w:val="TableParagraph"/>
              <w:spacing w:line="136" w:lineRule="exact" w:before="2"/>
              <w:ind w:right="32"/>
              <w:jc w:val="right"/>
              <w:rPr>
                <w:sz w:val="12"/>
              </w:rPr>
            </w:pPr>
            <w:r>
              <w:rPr>
                <w:w w:val="104"/>
                <w:sz w:val="12"/>
              </w:rPr>
              <w:t>-</w:t>
            </w:r>
          </w:p>
        </w:tc>
      </w:tr>
      <w:tr>
        <w:trPr>
          <w:trHeight w:val="163" w:hRule="atLeast"/>
        </w:trPr>
        <w:tc>
          <w:tcPr>
            <w:tcW w:w="4666" w:type="dxa"/>
          </w:tcPr>
          <w:p>
            <w:pPr>
              <w:pStyle w:val="TableParagraph"/>
              <w:numPr>
                <w:ilvl w:val="0"/>
                <w:numId w:val="27"/>
              </w:numPr>
              <w:tabs>
                <w:tab w:pos="706" w:val="left" w:leader="none"/>
                <w:tab w:pos="707" w:val="left" w:leader="none"/>
              </w:tabs>
              <w:spacing w:line="129" w:lineRule="exact" w:before="14" w:after="0"/>
              <w:ind w:left="706" w:right="0" w:hanging="405"/>
              <w:jc w:val="left"/>
              <w:rPr>
                <w:sz w:val="12"/>
              </w:rPr>
            </w:pPr>
            <w:r>
              <w:rPr>
                <w:w w:val="105"/>
                <w:sz w:val="12"/>
              </w:rPr>
              <w:t>Other</w:t>
            </w:r>
            <w:r>
              <w:rPr>
                <w:spacing w:val="2"/>
                <w:w w:val="105"/>
                <w:sz w:val="12"/>
              </w:rPr>
              <w:t> </w:t>
            </w:r>
            <w:r>
              <w:rPr>
                <w:w w:val="105"/>
                <w:sz w:val="12"/>
              </w:rPr>
              <w:t>services</w:t>
            </w:r>
          </w:p>
        </w:tc>
        <w:tc>
          <w:tcPr>
            <w:tcW w:w="1125" w:type="dxa"/>
          </w:tcPr>
          <w:p>
            <w:pPr>
              <w:pStyle w:val="TableParagraph"/>
              <w:spacing w:line="129" w:lineRule="exact" w:before="14"/>
              <w:ind w:right="27"/>
              <w:jc w:val="right"/>
              <w:rPr>
                <w:sz w:val="12"/>
              </w:rPr>
            </w:pPr>
            <w:r>
              <w:rPr>
                <w:w w:val="104"/>
                <w:sz w:val="12"/>
              </w:rPr>
              <w:t>-</w:t>
            </w:r>
          </w:p>
        </w:tc>
        <w:tc>
          <w:tcPr>
            <w:tcW w:w="148" w:type="dxa"/>
          </w:tcPr>
          <w:p>
            <w:pPr>
              <w:pStyle w:val="TableParagraph"/>
              <w:rPr>
                <w:rFonts w:ascii="Times New Roman"/>
                <w:sz w:val="10"/>
              </w:rPr>
            </w:pPr>
          </w:p>
        </w:tc>
        <w:tc>
          <w:tcPr>
            <w:tcW w:w="1127" w:type="dxa"/>
          </w:tcPr>
          <w:p>
            <w:pPr>
              <w:pStyle w:val="TableParagraph"/>
              <w:spacing w:line="129" w:lineRule="exact" w:before="14"/>
              <w:ind w:right="28"/>
              <w:jc w:val="right"/>
              <w:rPr>
                <w:sz w:val="12"/>
              </w:rPr>
            </w:pPr>
            <w:r>
              <w:rPr>
                <w:sz w:val="12"/>
              </w:rPr>
              <w:t>10</w:t>
            </w:r>
          </w:p>
        </w:tc>
      </w:tr>
      <w:tr>
        <w:trPr>
          <w:trHeight w:val="156" w:hRule="atLeast"/>
        </w:trPr>
        <w:tc>
          <w:tcPr>
            <w:tcW w:w="4666" w:type="dxa"/>
          </w:tcPr>
          <w:p>
            <w:pPr>
              <w:pStyle w:val="TableParagraph"/>
              <w:spacing w:line="129" w:lineRule="exact" w:before="7"/>
              <w:ind w:left="302"/>
              <w:rPr>
                <w:sz w:val="12"/>
              </w:rPr>
            </w:pPr>
            <w:r>
              <w:rPr>
                <w:w w:val="105"/>
                <w:sz w:val="12"/>
              </w:rPr>
              <w:t>Other professional fees</w:t>
            </w:r>
          </w:p>
        </w:tc>
        <w:tc>
          <w:tcPr>
            <w:tcW w:w="1125" w:type="dxa"/>
          </w:tcPr>
          <w:p>
            <w:pPr>
              <w:pStyle w:val="TableParagraph"/>
              <w:spacing w:line="129" w:lineRule="exact" w:before="7"/>
              <w:ind w:right="28"/>
              <w:jc w:val="right"/>
              <w:rPr>
                <w:sz w:val="12"/>
              </w:rPr>
            </w:pPr>
            <w:r>
              <w:rPr>
                <w:sz w:val="12"/>
              </w:rPr>
              <w:t>709</w:t>
            </w:r>
          </w:p>
        </w:tc>
        <w:tc>
          <w:tcPr>
            <w:tcW w:w="148" w:type="dxa"/>
          </w:tcPr>
          <w:p>
            <w:pPr>
              <w:pStyle w:val="TableParagraph"/>
              <w:rPr>
                <w:rFonts w:ascii="Times New Roman"/>
                <w:sz w:val="10"/>
              </w:rPr>
            </w:pPr>
          </w:p>
        </w:tc>
        <w:tc>
          <w:tcPr>
            <w:tcW w:w="1127" w:type="dxa"/>
          </w:tcPr>
          <w:p>
            <w:pPr>
              <w:pStyle w:val="TableParagraph"/>
              <w:spacing w:line="129" w:lineRule="exact" w:before="7"/>
              <w:ind w:right="31"/>
              <w:jc w:val="right"/>
              <w:rPr>
                <w:sz w:val="12"/>
              </w:rPr>
            </w:pPr>
            <w:r>
              <w:rPr>
                <w:sz w:val="12"/>
              </w:rPr>
              <w:t>631</w:t>
            </w:r>
          </w:p>
        </w:tc>
      </w:tr>
      <w:tr>
        <w:trPr>
          <w:trHeight w:val="154" w:hRule="atLeast"/>
        </w:trPr>
        <w:tc>
          <w:tcPr>
            <w:tcW w:w="4666" w:type="dxa"/>
          </w:tcPr>
          <w:p>
            <w:pPr>
              <w:pStyle w:val="TableParagraph"/>
              <w:spacing w:line="128" w:lineRule="exact" w:before="7"/>
              <w:ind w:left="302"/>
              <w:rPr>
                <w:sz w:val="12"/>
              </w:rPr>
            </w:pPr>
            <w:r>
              <w:rPr>
                <w:w w:val="105"/>
                <w:sz w:val="12"/>
              </w:rPr>
              <w:t>Legal fees</w:t>
            </w:r>
          </w:p>
        </w:tc>
        <w:tc>
          <w:tcPr>
            <w:tcW w:w="1125" w:type="dxa"/>
          </w:tcPr>
          <w:p>
            <w:pPr>
              <w:pStyle w:val="TableParagraph"/>
              <w:spacing w:line="128" w:lineRule="exact" w:before="7"/>
              <w:ind w:right="23"/>
              <w:jc w:val="right"/>
              <w:rPr>
                <w:sz w:val="12"/>
              </w:rPr>
            </w:pPr>
            <w:r>
              <w:rPr>
                <w:w w:val="104"/>
                <w:sz w:val="12"/>
              </w:rPr>
              <w:t>5</w:t>
            </w:r>
          </w:p>
        </w:tc>
        <w:tc>
          <w:tcPr>
            <w:tcW w:w="148" w:type="dxa"/>
          </w:tcPr>
          <w:p>
            <w:pPr>
              <w:pStyle w:val="TableParagraph"/>
              <w:rPr>
                <w:rFonts w:ascii="Times New Roman"/>
                <w:sz w:val="8"/>
              </w:rPr>
            </w:pPr>
          </w:p>
        </w:tc>
        <w:tc>
          <w:tcPr>
            <w:tcW w:w="1127" w:type="dxa"/>
          </w:tcPr>
          <w:p>
            <w:pPr>
              <w:pStyle w:val="TableParagraph"/>
              <w:spacing w:line="128" w:lineRule="exact" w:before="7"/>
              <w:ind w:right="31"/>
              <w:jc w:val="right"/>
              <w:rPr>
                <w:sz w:val="12"/>
              </w:rPr>
            </w:pPr>
            <w:r>
              <w:rPr>
                <w:sz w:val="12"/>
              </w:rPr>
              <w:t>117</w:t>
            </w:r>
          </w:p>
        </w:tc>
      </w:tr>
      <w:tr>
        <w:trPr>
          <w:trHeight w:val="154" w:hRule="atLeast"/>
        </w:trPr>
        <w:tc>
          <w:tcPr>
            <w:tcW w:w="4666" w:type="dxa"/>
          </w:tcPr>
          <w:p>
            <w:pPr>
              <w:pStyle w:val="TableParagraph"/>
              <w:spacing w:line="129" w:lineRule="exact" w:before="6"/>
              <w:ind w:left="302"/>
              <w:rPr>
                <w:sz w:val="12"/>
              </w:rPr>
            </w:pPr>
            <w:r>
              <w:rPr>
                <w:w w:val="105"/>
                <w:sz w:val="12"/>
              </w:rPr>
              <w:t>Education, training and conferences</w:t>
            </w:r>
          </w:p>
        </w:tc>
        <w:tc>
          <w:tcPr>
            <w:tcW w:w="1125" w:type="dxa"/>
          </w:tcPr>
          <w:p>
            <w:pPr>
              <w:pStyle w:val="TableParagraph"/>
              <w:spacing w:line="129" w:lineRule="exact" w:before="6"/>
              <w:ind w:right="23"/>
              <w:jc w:val="right"/>
              <w:rPr>
                <w:sz w:val="12"/>
              </w:rPr>
            </w:pPr>
            <w:r>
              <w:rPr>
                <w:sz w:val="12"/>
              </w:rPr>
              <w:t>39</w:t>
            </w:r>
          </w:p>
        </w:tc>
        <w:tc>
          <w:tcPr>
            <w:tcW w:w="148" w:type="dxa"/>
          </w:tcPr>
          <w:p>
            <w:pPr>
              <w:pStyle w:val="TableParagraph"/>
              <w:rPr>
                <w:rFonts w:ascii="Times New Roman"/>
                <w:sz w:val="8"/>
              </w:rPr>
            </w:pPr>
          </w:p>
        </w:tc>
        <w:tc>
          <w:tcPr>
            <w:tcW w:w="1127" w:type="dxa"/>
          </w:tcPr>
          <w:p>
            <w:pPr>
              <w:pStyle w:val="TableParagraph"/>
              <w:spacing w:line="129" w:lineRule="exact" w:before="6"/>
              <w:ind w:right="31"/>
              <w:jc w:val="right"/>
              <w:rPr>
                <w:sz w:val="12"/>
              </w:rPr>
            </w:pPr>
            <w:r>
              <w:rPr>
                <w:sz w:val="12"/>
              </w:rPr>
              <w:t>304</w:t>
            </w:r>
          </w:p>
        </w:tc>
      </w:tr>
      <w:tr>
        <w:trPr>
          <w:trHeight w:val="156" w:hRule="atLeast"/>
        </w:trPr>
        <w:tc>
          <w:tcPr>
            <w:tcW w:w="4666" w:type="dxa"/>
          </w:tcPr>
          <w:p>
            <w:pPr>
              <w:pStyle w:val="TableParagraph"/>
              <w:spacing w:line="129" w:lineRule="exact" w:before="7"/>
              <w:ind w:left="302"/>
              <w:rPr>
                <w:sz w:val="12"/>
              </w:rPr>
            </w:pPr>
            <w:r>
              <w:rPr>
                <w:w w:val="105"/>
                <w:sz w:val="12"/>
              </w:rPr>
              <w:t>Funding to group bodies</w:t>
            </w:r>
          </w:p>
        </w:tc>
        <w:tc>
          <w:tcPr>
            <w:tcW w:w="1125" w:type="dxa"/>
          </w:tcPr>
          <w:p>
            <w:pPr>
              <w:pStyle w:val="TableParagraph"/>
              <w:spacing w:line="129" w:lineRule="exact" w:before="7"/>
              <w:ind w:right="27"/>
              <w:jc w:val="right"/>
              <w:rPr>
                <w:sz w:val="12"/>
              </w:rPr>
            </w:pPr>
            <w:r>
              <w:rPr>
                <w:w w:val="104"/>
                <w:sz w:val="12"/>
              </w:rPr>
              <w:t>-</w:t>
            </w:r>
          </w:p>
        </w:tc>
        <w:tc>
          <w:tcPr>
            <w:tcW w:w="148" w:type="dxa"/>
          </w:tcPr>
          <w:p>
            <w:pPr>
              <w:pStyle w:val="TableParagraph"/>
              <w:rPr>
                <w:rFonts w:ascii="Times New Roman"/>
                <w:sz w:val="10"/>
              </w:rPr>
            </w:pPr>
          </w:p>
        </w:tc>
        <w:tc>
          <w:tcPr>
            <w:tcW w:w="1127" w:type="dxa"/>
          </w:tcPr>
          <w:p>
            <w:pPr>
              <w:pStyle w:val="TableParagraph"/>
              <w:spacing w:line="129" w:lineRule="exact" w:before="7"/>
              <w:ind w:right="32"/>
              <w:jc w:val="right"/>
              <w:rPr>
                <w:sz w:val="12"/>
              </w:rPr>
            </w:pPr>
            <w:r>
              <w:rPr>
                <w:w w:val="104"/>
                <w:sz w:val="12"/>
              </w:rPr>
              <w:t>-</w:t>
            </w:r>
          </w:p>
        </w:tc>
      </w:tr>
      <w:tr>
        <w:trPr>
          <w:trHeight w:val="155" w:hRule="atLeast"/>
        </w:trPr>
        <w:tc>
          <w:tcPr>
            <w:tcW w:w="4666" w:type="dxa"/>
          </w:tcPr>
          <w:p>
            <w:pPr>
              <w:pStyle w:val="TableParagraph"/>
              <w:spacing w:line="129" w:lineRule="exact" w:before="7"/>
              <w:ind w:left="302"/>
              <w:rPr>
                <w:sz w:val="12"/>
              </w:rPr>
            </w:pPr>
            <w:r>
              <w:rPr>
                <w:w w:val="105"/>
                <w:sz w:val="12"/>
              </w:rPr>
              <w:t>CHC Risk Pool contributions</w:t>
            </w:r>
          </w:p>
        </w:tc>
        <w:tc>
          <w:tcPr>
            <w:tcW w:w="1125" w:type="dxa"/>
          </w:tcPr>
          <w:p>
            <w:pPr>
              <w:pStyle w:val="TableParagraph"/>
              <w:spacing w:line="129" w:lineRule="exact" w:before="7"/>
              <w:ind w:right="27"/>
              <w:jc w:val="right"/>
              <w:rPr>
                <w:sz w:val="12"/>
              </w:rPr>
            </w:pPr>
            <w:r>
              <w:rPr>
                <w:w w:val="104"/>
                <w:sz w:val="12"/>
              </w:rPr>
              <w:t>-</w:t>
            </w:r>
          </w:p>
        </w:tc>
        <w:tc>
          <w:tcPr>
            <w:tcW w:w="148" w:type="dxa"/>
          </w:tcPr>
          <w:p>
            <w:pPr>
              <w:pStyle w:val="TableParagraph"/>
              <w:rPr>
                <w:rFonts w:ascii="Times New Roman"/>
                <w:sz w:val="10"/>
              </w:rPr>
            </w:pPr>
          </w:p>
        </w:tc>
        <w:tc>
          <w:tcPr>
            <w:tcW w:w="1127" w:type="dxa"/>
          </w:tcPr>
          <w:p>
            <w:pPr>
              <w:pStyle w:val="TableParagraph"/>
              <w:spacing w:line="129" w:lineRule="exact" w:before="7"/>
              <w:ind w:right="32"/>
              <w:jc w:val="right"/>
              <w:rPr>
                <w:sz w:val="12"/>
              </w:rPr>
            </w:pPr>
            <w:r>
              <w:rPr>
                <w:w w:val="104"/>
                <w:sz w:val="12"/>
              </w:rPr>
              <w:t>-</w:t>
            </w:r>
          </w:p>
        </w:tc>
      </w:tr>
      <w:tr>
        <w:trPr>
          <w:trHeight w:val="158" w:hRule="atLeast"/>
        </w:trPr>
        <w:tc>
          <w:tcPr>
            <w:tcW w:w="4666" w:type="dxa"/>
          </w:tcPr>
          <w:p>
            <w:pPr>
              <w:pStyle w:val="TableParagraph"/>
              <w:spacing w:line="131" w:lineRule="exact" w:before="7"/>
              <w:ind w:left="302"/>
              <w:rPr>
                <w:sz w:val="12"/>
              </w:rPr>
            </w:pPr>
            <w:r>
              <w:rPr>
                <w:w w:val="105"/>
                <w:sz w:val="12"/>
              </w:rPr>
              <w:t>Non cash apprenticeship training grants</w:t>
            </w:r>
          </w:p>
        </w:tc>
        <w:tc>
          <w:tcPr>
            <w:tcW w:w="1125" w:type="dxa"/>
          </w:tcPr>
          <w:p>
            <w:pPr>
              <w:pStyle w:val="TableParagraph"/>
              <w:tabs>
                <w:tab w:pos="1051" w:val="left" w:leader="none"/>
              </w:tabs>
              <w:spacing w:line="131" w:lineRule="exact" w:before="7"/>
              <w:jc w:val="right"/>
              <w:rPr>
                <w:sz w:val="12"/>
              </w:rPr>
            </w:pPr>
            <w:r>
              <w:rPr>
                <w:w w:val="104"/>
                <w:sz w:val="12"/>
                <w:u w:val="single"/>
              </w:rPr>
              <w:t> </w:t>
            </w:r>
            <w:r>
              <w:rPr>
                <w:sz w:val="12"/>
                <w:u w:val="single"/>
              </w:rPr>
              <w:tab/>
              <w:t>-</w:t>
            </w:r>
          </w:p>
        </w:tc>
        <w:tc>
          <w:tcPr>
            <w:tcW w:w="148" w:type="dxa"/>
          </w:tcPr>
          <w:p>
            <w:pPr>
              <w:pStyle w:val="TableParagraph"/>
              <w:rPr>
                <w:rFonts w:ascii="Times New Roman"/>
                <w:sz w:val="10"/>
              </w:rPr>
            </w:pPr>
          </w:p>
        </w:tc>
        <w:tc>
          <w:tcPr>
            <w:tcW w:w="1127" w:type="dxa"/>
          </w:tcPr>
          <w:p>
            <w:pPr>
              <w:pStyle w:val="TableParagraph"/>
              <w:tabs>
                <w:tab w:pos="1051" w:val="left" w:leader="none"/>
              </w:tabs>
              <w:spacing w:line="131" w:lineRule="exact" w:before="7"/>
              <w:ind w:right="1"/>
              <w:jc w:val="right"/>
              <w:rPr>
                <w:sz w:val="12"/>
              </w:rPr>
            </w:pPr>
            <w:r>
              <w:rPr>
                <w:w w:val="104"/>
                <w:sz w:val="12"/>
                <w:u w:val="single"/>
              </w:rPr>
              <w:t> </w:t>
            </w:r>
            <w:r>
              <w:rPr>
                <w:sz w:val="12"/>
                <w:u w:val="single"/>
              </w:rPr>
              <w:tab/>
              <w:t>-</w:t>
            </w:r>
          </w:p>
        </w:tc>
      </w:tr>
      <w:tr>
        <w:trPr>
          <w:trHeight w:val="232" w:hRule="atLeast"/>
        </w:trPr>
        <w:tc>
          <w:tcPr>
            <w:tcW w:w="4666" w:type="dxa"/>
          </w:tcPr>
          <w:p>
            <w:pPr>
              <w:pStyle w:val="TableParagraph"/>
              <w:spacing w:before="9"/>
              <w:ind w:left="338"/>
              <w:rPr>
                <w:b/>
                <w:sz w:val="12"/>
              </w:rPr>
            </w:pPr>
            <w:r>
              <w:rPr>
                <w:b/>
                <w:w w:val="105"/>
                <w:sz w:val="12"/>
              </w:rPr>
              <w:t>Total Purchase of goods and services</w:t>
            </w:r>
          </w:p>
        </w:tc>
        <w:tc>
          <w:tcPr>
            <w:tcW w:w="1125" w:type="dxa"/>
          </w:tcPr>
          <w:p>
            <w:pPr>
              <w:pStyle w:val="TableParagraph"/>
              <w:tabs>
                <w:tab w:pos="640" w:val="left" w:leader="none"/>
              </w:tabs>
              <w:spacing w:before="9"/>
              <w:ind w:right="-15"/>
              <w:jc w:val="right"/>
              <w:rPr>
                <w:b/>
                <w:sz w:val="12"/>
              </w:rPr>
            </w:pPr>
            <w:r>
              <w:rPr>
                <w:b/>
                <w:w w:val="104"/>
                <w:sz w:val="12"/>
                <w:u w:val="single"/>
              </w:rPr>
              <w:t> </w:t>
            </w:r>
            <w:r>
              <w:rPr>
                <w:b/>
                <w:sz w:val="12"/>
                <w:u w:val="single"/>
              </w:rPr>
              <w:tab/>
            </w:r>
            <w:r>
              <w:rPr>
                <w:b/>
                <w:spacing w:val="-1"/>
                <w:w w:val="105"/>
                <w:sz w:val="12"/>
                <w:u w:val="single"/>
              </w:rPr>
              <w:t>314,841</w:t>
            </w:r>
          </w:p>
        </w:tc>
        <w:tc>
          <w:tcPr>
            <w:tcW w:w="148" w:type="dxa"/>
          </w:tcPr>
          <w:p>
            <w:pPr>
              <w:pStyle w:val="TableParagraph"/>
              <w:rPr>
                <w:rFonts w:ascii="Times New Roman"/>
                <w:sz w:val="12"/>
              </w:rPr>
            </w:pPr>
          </w:p>
        </w:tc>
        <w:tc>
          <w:tcPr>
            <w:tcW w:w="1127" w:type="dxa"/>
          </w:tcPr>
          <w:p>
            <w:pPr>
              <w:pStyle w:val="TableParagraph"/>
              <w:tabs>
                <w:tab w:pos="640" w:val="left" w:leader="none"/>
              </w:tabs>
              <w:spacing w:before="9"/>
              <w:ind w:right="-15"/>
              <w:jc w:val="right"/>
              <w:rPr>
                <w:b/>
                <w:sz w:val="12"/>
              </w:rPr>
            </w:pPr>
            <w:r>
              <w:rPr>
                <w:b/>
                <w:w w:val="104"/>
                <w:sz w:val="12"/>
                <w:u w:val="single"/>
              </w:rPr>
              <w:t> </w:t>
            </w:r>
            <w:r>
              <w:rPr>
                <w:b/>
                <w:sz w:val="12"/>
                <w:u w:val="single"/>
              </w:rPr>
              <w:tab/>
            </w:r>
            <w:r>
              <w:rPr>
                <w:b/>
                <w:spacing w:val="-1"/>
                <w:w w:val="105"/>
                <w:sz w:val="12"/>
                <w:u w:val="single"/>
              </w:rPr>
              <w:t>293,473</w:t>
            </w:r>
          </w:p>
        </w:tc>
      </w:tr>
      <w:tr>
        <w:trPr>
          <w:trHeight w:val="230" w:hRule="atLeast"/>
        </w:trPr>
        <w:tc>
          <w:tcPr>
            <w:tcW w:w="4666" w:type="dxa"/>
          </w:tcPr>
          <w:p>
            <w:pPr>
              <w:pStyle w:val="TableParagraph"/>
              <w:spacing w:line="129" w:lineRule="exact" w:before="81"/>
              <w:ind w:left="302"/>
              <w:rPr>
                <w:b/>
                <w:sz w:val="12"/>
              </w:rPr>
            </w:pPr>
            <w:r>
              <w:rPr>
                <w:b/>
                <w:w w:val="105"/>
                <w:sz w:val="12"/>
              </w:rPr>
              <w:t>Depreciation and impairment charges</w:t>
            </w:r>
          </w:p>
        </w:tc>
        <w:tc>
          <w:tcPr>
            <w:tcW w:w="1125" w:type="dxa"/>
          </w:tcPr>
          <w:p>
            <w:pPr>
              <w:pStyle w:val="TableParagraph"/>
              <w:rPr>
                <w:rFonts w:ascii="Times New Roman"/>
                <w:sz w:val="12"/>
              </w:rPr>
            </w:pPr>
          </w:p>
        </w:tc>
        <w:tc>
          <w:tcPr>
            <w:tcW w:w="148" w:type="dxa"/>
          </w:tcPr>
          <w:p>
            <w:pPr>
              <w:pStyle w:val="TableParagraph"/>
              <w:rPr>
                <w:rFonts w:ascii="Times New Roman"/>
                <w:sz w:val="12"/>
              </w:rPr>
            </w:pPr>
          </w:p>
        </w:tc>
        <w:tc>
          <w:tcPr>
            <w:tcW w:w="1127" w:type="dxa"/>
          </w:tcPr>
          <w:p>
            <w:pPr>
              <w:pStyle w:val="TableParagraph"/>
              <w:rPr>
                <w:rFonts w:ascii="Times New Roman"/>
                <w:sz w:val="12"/>
              </w:rPr>
            </w:pPr>
          </w:p>
        </w:tc>
      </w:tr>
      <w:tr>
        <w:trPr>
          <w:trHeight w:val="155" w:hRule="atLeast"/>
        </w:trPr>
        <w:tc>
          <w:tcPr>
            <w:tcW w:w="4666" w:type="dxa"/>
          </w:tcPr>
          <w:p>
            <w:pPr>
              <w:pStyle w:val="TableParagraph"/>
              <w:spacing w:line="129" w:lineRule="exact" w:before="7"/>
              <w:ind w:left="302"/>
              <w:rPr>
                <w:sz w:val="12"/>
              </w:rPr>
            </w:pPr>
            <w:r>
              <w:rPr>
                <w:w w:val="105"/>
                <w:sz w:val="12"/>
              </w:rPr>
              <w:t>Depreciation</w:t>
            </w:r>
          </w:p>
        </w:tc>
        <w:tc>
          <w:tcPr>
            <w:tcW w:w="1125" w:type="dxa"/>
          </w:tcPr>
          <w:p>
            <w:pPr>
              <w:pStyle w:val="TableParagraph"/>
              <w:spacing w:line="129" w:lineRule="exact" w:before="7"/>
              <w:ind w:right="27"/>
              <w:jc w:val="right"/>
              <w:rPr>
                <w:sz w:val="12"/>
              </w:rPr>
            </w:pPr>
            <w:r>
              <w:rPr>
                <w:w w:val="104"/>
                <w:sz w:val="12"/>
              </w:rPr>
              <w:t>-</w:t>
            </w:r>
          </w:p>
        </w:tc>
        <w:tc>
          <w:tcPr>
            <w:tcW w:w="148" w:type="dxa"/>
          </w:tcPr>
          <w:p>
            <w:pPr>
              <w:pStyle w:val="TableParagraph"/>
              <w:rPr>
                <w:rFonts w:ascii="Times New Roman"/>
                <w:sz w:val="10"/>
              </w:rPr>
            </w:pPr>
          </w:p>
        </w:tc>
        <w:tc>
          <w:tcPr>
            <w:tcW w:w="1127" w:type="dxa"/>
          </w:tcPr>
          <w:p>
            <w:pPr>
              <w:pStyle w:val="TableParagraph"/>
              <w:spacing w:line="129" w:lineRule="exact" w:before="7"/>
              <w:ind w:right="32"/>
              <w:jc w:val="right"/>
              <w:rPr>
                <w:sz w:val="12"/>
              </w:rPr>
            </w:pPr>
            <w:r>
              <w:rPr>
                <w:w w:val="104"/>
                <w:sz w:val="12"/>
              </w:rPr>
              <w:t>-</w:t>
            </w:r>
          </w:p>
        </w:tc>
      </w:tr>
      <w:tr>
        <w:trPr>
          <w:trHeight w:val="155" w:hRule="atLeast"/>
        </w:trPr>
        <w:tc>
          <w:tcPr>
            <w:tcW w:w="4666" w:type="dxa"/>
          </w:tcPr>
          <w:p>
            <w:pPr>
              <w:pStyle w:val="TableParagraph"/>
              <w:spacing w:line="129" w:lineRule="exact" w:before="7"/>
              <w:ind w:left="302"/>
              <w:rPr>
                <w:sz w:val="12"/>
              </w:rPr>
            </w:pPr>
            <w:r>
              <w:rPr>
                <w:w w:val="105"/>
                <w:sz w:val="12"/>
              </w:rPr>
              <w:t>Amortisation</w:t>
            </w:r>
          </w:p>
        </w:tc>
        <w:tc>
          <w:tcPr>
            <w:tcW w:w="1125" w:type="dxa"/>
          </w:tcPr>
          <w:p>
            <w:pPr>
              <w:pStyle w:val="TableParagraph"/>
              <w:spacing w:line="129" w:lineRule="exact" w:before="7"/>
              <w:ind w:right="27"/>
              <w:jc w:val="right"/>
              <w:rPr>
                <w:sz w:val="12"/>
              </w:rPr>
            </w:pPr>
            <w:r>
              <w:rPr>
                <w:w w:val="104"/>
                <w:sz w:val="12"/>
              </w:rPr>
              <w:t>-</w:t>
            </w:r>
          </w:p>
        </w:tc>
        <w:tc>
          <w:tcPr>
            <w:tcW w:w="148" w:type="dxa"/>
          </w:tcPr>
          <w:p>
            <w:pPr>
              <w:pStyle w:val="TableParagraph"/>
              <w:rPr>
                <w:rFonts w:ascii="Times New Roman"/>
                <w:sz w:val="10"/>
              </w:rPr>
            </w:pPr>
          </w:p>
        </w:tc>
        <w:tc>
          <w:tcPr>
            <w:tcW w:w="1127" w:type="dxa"/>
          </w:tcPr>
          <w:p>
            <w:pPr>
              <w:pStyle w:val="TableParagraph"/>
              <w:spacing w:line="129" w:lineRule="exact" w:before="7"/>
              <w:ind w:right="32"/>
              <w:jc w:val="right"/>
              <w:rPr>
                <w:sz w:val="12"/>
              </w:rPr>
            </w:pPr>
            <w:r>
              <w:rPr>
                <w:w w:val="104"/>
                <w:sz w:val="12"/>
              </w:rPr>
              <w:t>-</w:t>
            </w:r>
          </w:p>
        </w:tc>
      </w:tr>
      <w:tr>
        <w:trPr>
          <w:trHeight w:val="156" w:hRule="atLeast"/>
        </w:trPr>
        <w:tc>
          <w:tcPr>
            <w:tcW w:w="4666" w:type="dxa"/>
          </w:tcPr>
          <w:p>
            <w:pPr>
              <w:pStyle w:val="TableParagraph"/>
              <w:spacing w:line="129" w:lineRule="exact" w:before="7"/>
              <w:ind w:left="302"/>
              <w:rPr>
                <w:sz w:val="12"/>
              </w:rPr>
            </w:pPr>
            <w:r>
              <w:rPr>
                <w:w w:val="105"/>
                <w:sz w:val="12"/>
              </w:rPr>
              <w:t>Impairments and reversals of property, plant and equipment</w:t>
            </w:r>
          </w:p>
        </w:tc>
        <w:tc>
          <w:tcPr>
            <w:tcW w:w="1125" w:type="dxa"/>
          </w:tcPr>
          <w:p>
            <w:pPr>
              <w:pStyle w:val="TableParagraph"/>
              <w:spacing w:line="129" w:lineRule="exact" w:before="7"/>
              <w:ind w:right="27"/>
              <w:jc w:val="right"/>
              <w:rPr>
                <w:sz w:val="12"/>
              </w:rPr>
            </w:pPr>
            <w:r>
              <w:rPr>
                <w:w w:val="104"/>
                <w:sz w:val="12"/>
              </w:rPr>
              <w:t>-</w:t>
            </w:r>
          </w:p>
        </w:tc>
        <w:tc>
          <w:tcPr>
            <w:tcW w:w="148" w:type="dxa"/>
          </w:tcPr>
          <w:p>
            <w:pPr>
              <w:pStyle w:val="TableParagraph"/>
              <w:rPr>
                <w:rFonts w:ascii="Times New Roman"/>
                <w:sz w:val="10"/>
              </w:rPr>
            </w:pPr>
          </w:p>
        </w:tc>
        <w:tc>
          <w:tcPr>
            <w:tcW w:w="1127" w:type="dxa"/>
          </w:tcPr>
          <w:p>
            <w:pPr>
              <w:pStyle w:val="TableParagraph"/>
              <w:spacing w:line="129" w:lineRule="exact" w:before="7"/>
              <w:ind w:right="32"/>
              <w:jc w:val="right"/>
              <w:rPr>
                <w:sz w:val="12"/>
              </w:rPr>
            </w:pPr>
            <w:r>
              <w:rPr>
                <w:w w:val="104"/>
                <w:sz w:val="12"/>
              </w:rPr>
              <w:t>-</w:t>
            </w:r>
          </w:p>
        </w:tc>
      </w:tr>
      <w:tr>
        <w:trPr>
          <w:trHeight w:val="154" w:hRule="atLeast"/>
        </w:trPr>
        <w:tc>
          <w:tcPr>
            <w:tcW w:w="4666" w:type="dxa"/>
          </w:tcPr>
          <w:p>
            <w:pPr>
              <w:pStyle w:val="TableParagraph"/>
              <w:spacing w:line="128" w:lineRule="exact" w:before="7"/>
              <w:ind w:left="302"/>
              <w:rPr>
                <w:sz w:val="12"/>
              </w:rPr>
            </w:pPr>
            <w:r>
              <w:rPr>
                <w:w w:val="105"/>
                <w:sz w:val="12"/>
              </w:rPr>
              <w:t>Impairments and reversals of intangible assets</w:t>
            </w:r>
          </w:p>
        </w:tc>
        <w:tc>
          <w:tcPr>
            <w:tcW w:w="1125" w:type="dxa"/>
          </w:tcPr>
          <w:p>
            <w:pPr>
              <w:pStyle w:val="TableParagraph"/>
              <w:spacing w:line="128" w:lineRule="exact" w:before="7"/>
              <w:ind w:right="27"/>
              <w:jc w:val="right"/>
              <w:rPr>
                <w:sz w:val="12"/>
              </w:rPr>
            </w:pPr>
            <w:r>
              <w:rPr>
                <w:w w:val="104"/>
                <w:sz w:val="12"/>
              </w:rPr>
              <w:t>-</w:t>
            </w:r>
          </w:p>
        </w:tc>
        <w:tc>
          <w:tcPr>
            <w:tcW w:w="148" w:type="dxa"/>
          </w:tcPr>
          <w:p>
            <w:pPr>
              <w:pStyle w:val="TableParagraph"/>
              <w:rPr>
                <w:rFonts w:ascii="Times New Roman"/>
                <w:sz w:val="8"/>
              </w:rPr>
            </w:pPr>
          </w:p>
        </w:tc>
        <w:tc>
          <w:tcPr>
            <w:tcW w:w="1127" w:type="dxa"/>
          </w:tcPr>
          <w:p>
            <w:pPr>
              <w:pStyle w:val="TableParagraph"/>
              <w:spacing w:line="128" w:lineRule="exact" w:before="7"/>
              <w:ind w:right="32"/>
              <w:jc w:val="right"/>
              <w:rPr>
                <w:sz w:val="12"/>
              </w:rPr>
            </w:pPr>
            <w:r>
              <w:rPr>
                <w:w w:val="104"/>
                <w:sz w:val="12"/>
              </w:rPr>
              <w:t>-</w:t>
            </w:r>
          </w:p>
        </w:tc>
      </w:tr>
      <w:tr>
        <w:trPr>
          <w:trHeight w:val="154" w:hRule="atLeast"/>
        </w:trPr>
        <w:tc>
          <w:tcPr>
            <w:tcW w:w="4666" w:type="dxa"/>
          </w:tcPr>
          <w:p>
            <w:pPr>
              <w:pStyle w:val="TableParagraph"/>
              <w:spacing w:line="129" w:lineRule="exact" w:before="6"/>
              <w:ind w:left="302"/>
              <w:rPr>
                <w:sz w:val="12"/>
              </w:rPr>
            </w:pPr>
            <w:r>
              <w:rPr>
                <w:w w:val="105"/>
                <w:sz w:val="12"/>
              </w:rPr>
              <w:t>Impairments and reversals of financial assets</w:t>
            </w:r>
          </w:p>
        </w:tc>
        <w:tc>
          <w:tcPr>
            <w:tcW w:w="1125" w:type="dxa"/>
          </w:tcPr>
          <w:p>
            <w:pPr>
              <w:pStyle w:val="TableParagraph"/>
              <w:spacing w:line="129" w:lineRule="exact" w:before="6"/>
              <w:ind w:right="27"/>
              <w:jc w:val="right"/>
              <w:rPr>
                <w:sz w:val="12"/>
              </w:rPr>
            </w:pPr>
            <w:r>
              <w:rPr>
                <w:w w:val="104"/>
                <w:sz w:val="12"/>
              </w:rPr>
              <w:t>-</w:t>
            </w:r>
          </w:p>
        </w:tc>
        <w:tc>
          <w:tcPr>
            <w:tcW w:w="148" w:type="dxa"/>
          </w:tcPr>
          <w:p>
            <w:pPr>
              <w:pStyle w:val="TableParagraph"/>
              <w:rPr>
                <w:rFonts w:ascii="Times New Roman"/>
                <w:sz w:val="8"/>
              </w:rPr>
            </w:pPr>
          </w:p>
        </w:tc>
        <w:tc>
          <w:tcPr>
            <w:tcW w:w="1127" w:type="dxa"/>
          </w:tcPr>
          <w:p>
            <w:pPr>
              <w:pStyle w:val="TableParagraph"/>
              <w:spacing w:line="129" w:lineRule="exact" w:before="6"/>
              <w:ind w:right="32"/>
              <w:jc w:val="right"/>
              <w:rPr>
                <w:sz w:val="12"/>
              </w:rPr>
            </w:pPr>
            <w:r>
              <w:rPr>
                <w:w w:val="104"/>
                <w:sz w:val="12"/>
              </w:rPr>
              <w:t>-</w:t>
            </w:r>
          </w:p>
        </w:tc>
      </w:tr>
      <w:tr>
        <w:trPr>
          <w:trHeight w:val="154" w:hRule="atLeast"/>
        </w:trPr>
        <w:tc>
          <w:tcPr>
            <w:tcW w:w="4666" w:type="dxa"/>
          </w:tcPr>
          <w:p>
            <w:pPr>
              <w:pStyle w:val="TableParagraph"/>
              <w:numPr>
                <w:ilvl w:val="0"/>
                <w:numId w:val="28"/>
              </w:numPr>
              <w:tabs>
                <w:tab w:pos="706" w:val="left" w:leader="none"/>
                <w:tab w:pos="707" w:val="left" w:leader="none"/>
              </w:tabs>
              <w:spacing w:line="128" w:lineRule="exact" w:before="7" w:after="0"/>
              <w:ind w:left="706" w:right="0" w:hanging="405"/>
              <w:jc w:val="left"/>
              <w:rPr>
                <w:sz w:val="12"/>
              </w:rPr>
            </w:pPr>
            <w:r>
              <w:rPr>
                <w:w w:val="105"/>
                <w:sz w:val="12"/>
              </w:rPr>
              <w:t>Assets carried at amortised</w:t>
            </w:r>
            <w:r>
              <w:rPr>
                <w:spacing w:val="3"/>
                <w:w w:val="105"/>
                <w:sz w:val="12"/>
              </w:rPr>
              <w:t> </w:t>
            </w:r>
            <w:r>
              <w:rPr>
                <w:w w:val="105"/>
                <w:sz w:val="12"/>
              </w:rPr>
              <w:t>cost</w:t>
            </w:r>
          </w:p>
        </w:tc>
        <w:tc>
          <w:tcPr>
            <w:tcW w:w="1125" w:type="dxa"/>
          </w:tcPr>
          <w:p>
            <w:pPr>
              <w:pStyle w:val="TableParagraph"/>
              <w:spacing w:line="128" w:lineRule="exact" w:before="7"/>
              <w:ind w:right="27"/>
              <w:jc w:val="right"/>
              <w:rPr>
                <w:sz w:val="12"/>
              </w:rPr>
            </w:pPr>
            <w:r>
              <w:rPr>
                <w:w w:val="104"/>
                <w:sz w:val="12"/>
              </w:rPr>
              <w:t>-</w:t>
            </w:r>
          </w:p>
        </w:tc>
        <w:tc>
          <w:tcPr>
            <w:tcW w:w="148" w:type="dxa"/>
          </w:tcPr>
          <w:p>
            <w:pPr>
              <w:pStyle w:val="TableParagraph"/>
              <w:rPr>
                <w:rFonts w:ascii="Times New Roman"/>
                <w:sz w:val="8"/>
              </w:rPr>
            </w:pPr>
          </w:p>
        </w:tc>
        <w:tc>
          <w:tcPr>
            <w:tcW w:w="1127" w:type="dxa"/>
          </w:tcPr>
          <w:p>
            <w:pPr>
              <w:pStyle w:val="TableParagraph"/>
              <w:spacing w:line="128" w:lineRule="exact" w:before="7"/>
              <w:ind w:right="32"/>
              <w:jc w:val="right"/>
              <w:rPr>
                <w:sz w:val="12"/>
              </w:rPr>
            </w:pPr>
            <w:r>
              <w:rPr>
                <w:w w:val="104"/>
                <w:sz w:val="12"/>
              </w:rPr>
              <w:t>-</w:t>
            </w:r>
          </w:p>
        </w:tc>
      </w:tr>
      <w:tr>
        <w:trPr>
          <w:trHeight w:val="154" w:hRule="atLeast"/>
        </w:trPr>
        <w:tc>
          <w:tcPr>
            <w:tcW w:w="4666" w:type="dxa"/>
          </w:tcPr>
          <w:p>
            <w:pPr>
              <w:pStyle w:val="TableParagraph"/>
              <w:numPr>
                <w:ilvl w:val="0"/>
                <w:numId w:val="29"/>
              </w:numPr>
              <w:tabs>
                <w:tab w:pos="706" w:val="left" w:leader="none"/>
                <w:tab w:pos="707" w:val="left" w:leader="none"/>
              </w:tabs>
              <w:spacing w:line="129" w:lineRule="exact" w:before="6" w:after="0"/>
              <w:ind w:left="706" w:right="0" w:hanging="405"/>
              <w:jc w:val="left"/>
              <w:rPr>
                <w:sz w:val="12"/>
              </w:rPr>
            </w:pPr>
            <w:r>
              <w:rPr>
                <w:w w:val="105"/>
                <w:sz w:val="12"/>
              </w:rPr>
              <w:t>Assets carried at</w:t>
            </w:r>
            <w:r>
              <w:rPr>
                <w:spacing w:val="4"/>
                <w:w w:val="105"/>
                <w:sz w:val="12"/>
              </w:rPr>
              <w:t> </w:t>
            </w:r>
            <w:r>
              <w:rPr>
                <w:w w:val="105"/>
                <w:sz w:val="12"/>
              </w:rPr>
              <w:t>cost</w:t>
            </w:r>
          </w:p>
        </w:tc>
        <w:tc>
          <w:tcPr>
            <w:tcW w:w="1125" w:type="dxa"/>
          </w:tcPr>
          <w:p>
            <w:pPr>
              <w:pStyle w:val="TableParagraph"/>
              <w:spacing w:line="129" w:lineRule="exact" w:before="6"/>
              <w:ind w:right="27"/>
              <w:jc w:val="right"/>
              <w:rPr>
                <w:sz w:val="12"/>
              </w:rPr>
            </w:pPr>
            <w:r>
              <w:rPr>
                <w:w w:val="104"/>
                <w:sz w:val="12"/>
              </w:rPr>
              <w:t>-</w:t>
            </w:r>
          </w:p>
        </w:tc>
        <w:tc>
          <w:tcPr>
            <w:tcW w:w="148" w:type="dxa"/>
          </w:tcPr>
          <w:p>
            <w:pPr>
              <w:pStyle w:val="TableParagraph"/>
              <w:rPr>
                <w:rFonts w:ascii="Times New Roman"/>
                <w:sz w:val="8"/>
              </w:rPr>
            </w:pPr>
          </w:p>
        </w:tc>
        <w:tc>
          <w:tcPr>
            <w:tcW w:w="1127" w:type="dxa"/>
          </w:tcPr>
          <w:p>
            <w:pPr>
              <w:pStyle w:val="TableParagraph"/>
              <w:spacing w:line="129" w:lineRule="exact" w:before="6"/>
              <w:ind w:right="32"/>
              <w:jc w:val="right"/>
              <w:rPr>
                <w:sz w:val="12"/>
              </w:rPr>
            </w:pPr>
            <w:r>
              <w:rPr>
                <w:w w:val="104"/>
                <w:sz w:val="12"/>
              </w:rPr>
              <w:t>-</w:t>
            </w:r>
          </w:p>
        </w:tc>
      </w:tr>
      <w:tr>
        <w:trPr>
          <w:trHeight w:val="156" w:hRule="atLeast"/>
        </w:trPr>
        <w:tc>
          <w:tcPr>
            <w:tcW w:w="4666" w:type="dxa"/>
          </w:tcPr>
          <w:p>
            <w:pPr>
              <w:pStyle w:val="TableParagraph"/>
              <w:numPr>
                <w:ilvl w:val="0"/>
                <w:numId w:val="30"/>
              </w:numPr>
              <w:tabs>
                <w:tab w:pos="706" w:val="left" w:leader="none"/>
                <w:tab w:pos="707" w:val="left" w:leader="none"/>
              </w:tabs>
              <w:spacing w:line="129" w:lineRule="exact" w:before="7" w:after="0"/>
              <w:ind w:left="706" w:right="0" w:hanging="405"/>
              <w:jc w:val="left"/>
              <w:rPr>
                <w:sz w:val="12"/>
              </w:rPr>
            </w:pPr>
            <w:r>
              <w:rPr>
                <w:w w:val="105"/>
                <w:sz w:val="12"/>
              </w:rPr>
              <w:t>Available for sale financial</w:t>
            </w:r>
            <w:r>
              <w:rPr>
                <w:spacing w:val="-5"/>
                <w:w w:val="105"/>
                <w:sz w:val="12"/>
              </w:rPr>
              <w:t> </w:t>
            </w:r>
            <w:r>
              <w:rPr>
                <w:w w:val="105"/>
                <w:sz w:val="12"/>
              </w:rPr>
              <w:t>assets</w:t>
            </w:r>
          </w:p>
        </w:tc>
        <w:tc>
          <w:tcPr>
            <w:tcW w:w="1125" w:type="dxa"/>
          </w:tcPr>
          <w:p>
            <w:pPr>
              <w:pStyle w:val="TableParagraph"/>
              <w:spacing w:line="129" w:lineRule="exact" w:before="7"/>
              <w:ind w:right="27"/>
              <w:jc w:val="right"/>
              <w:rPr>
                <w:sz w:val="12"/>
              </w:rPr>
            </w:pPr>
            <w:r>
              <w:rPr>
                <w:w w:val="104"/>
                <w:sz w:val="12"/>
              </w:rPr>
              <w:t>-</w:t>
            </w:r>
          </w:p>
        </w:tc>
        <w:tc>
          <w:tcPr>
            <w:tcW w:w="148" w:type="dxa"/>
          </w:tcPr>
          <w:p>
            <w:pPr>
              <w:pStyle w:val="TableParagraph"/>
              <w:rPr>
                <w:rFonts w:ascii="Times New Roman"/>
                <w:sz w:val="10"/>
              </w:rPr>
            </w:pPr>
          </w:p>
        </w:tc>
        <w:tc>
          <w:tcPr>
            <w:tcW w:w="1127" w:type="dxa"/>
          </w:tcPr>
          <w:p>
            <w:pPr>
              <w:pStyle w:val="TableParagraph"/>
              <w:spacing w:line="129" w:lineRule="exact" w:before="7"/>
              <w:ind w:right="32"/>
              <w:jc w:val="right"/>
              <w:rPr>
                <w:sz w:val="12"/>
              </w:rPr>
            </w:pPr>
            <w:r>
              <w:rPr>
                <w:w w:val="104"/>
                <w:sz w:val="12"/>
              </w:rPr>
              <w:t>-</w:t>
            </w:r>
          </w:p>
        </w:tc>
      </w:tr>
      <w:tr>
        <w:trPr>
          <w:trHeight w:val="155" w:hRule="atLeast"/>
        </w:trPr>
        <w:tc>
          <w:tcPr>
            <w:tcW w:w="4666" w:type="dxa"/>
          </w:tcPr>
          <w:p>
            <w:pPr>
              <w:pStyle w:val="TableParagraph"/>
              <w:spacing w:line="129" w:lineRule="exact" w:before="7"/>
              <w:ind w:left="302"/>
              <w:rPr>
                <w:sz w:val="12"/>
              </w:rPr>
            </w:pPr>
            <w:r>
              <w:rPr>
                <w:w w:val="105"/>
                <w:sz w:val="12"/>
              </w:rPr>
              <w:t>Impairments and reversals of non-current assets held for sale</w:t>
            </w:r>
          </w:p>
        </w:tc>
        <w:tc>
          <w:tcPr>
            <w:tcW w:w="1125" w:type="dxa"/>
          </w:tcPr>
          <w:p>
            <w:pPr>
              <w:pStyle w:val="TableParagraph"/>
              <w:spacing w:line="129" w:lineRule="exact" w:before="7"/>
              <w:ind w:right="27"/>
              <w:jc w:val="right"/>
              <w:rPr>
                <w:sz w:val="12"/>
              </w:rPr>
            </w:pPr>
            <w:r>
              <w:rPr>
                <w:w w:val="104"/>
                <w:sz w:val="12"/>
              </w:rPr>
              <w:t>-</w:t>
            </w:r>
          </w:p>
        </w:tc>
        <w:tc>
          <w:tcPr>
            <w:tcW w:w="148" w:type="dxa"/>
          </w:tcPr>
          <w:p>
            <w:pPr>
              <w:pStyle w:val="TableParagraph"/>
              <w:rPr>
                <w:rFonts w:ascii="Times New Roman"/>
                <w:sz w:val="10"/>
              </w:rPr>
            </w:pPr>
          </w:p>
        </w:tc>
        <w:tc>
          <w:tcPr>
            <w:tcW w:w="1127" w:type="dxa"/>
          </w:tcPr>
          <w:p>
            <w:pPr>
              <w:pStyle w:val="TableParagraph"/>
              <w:spacing w:line="129" w:lineRule="exact" w:before="7"/>
              <w:ind w:right="32"/>
              <w:jc w:val="right"/>
              <w:rPr>
                <w:sz w:val="12"/>
              </w:rPr>
            </w:pPr>
            <w:r>
              <w:rPr>
                <w:w w:val="104"/>
                <w:sz w:val="12"/>
              </w:rPr>
              <w:t>-</w:t>
            </w:r>
          </w:p>
        </w:tc>
      </w:tr>
      <w:tr>
        <w:trPr>
          <w:trHeight w:val="158" w:hRule="atLeast"/>
        </w:trPr>
        <w:tc>
          <w:tcPr>
            <w:tcW w:w="4666" w:type="dxa"/>
          </w:tcPr>
          <w:p>
            <w:pPr>
              <w:pStyle w:val="TableParagraph"/>
              <w:spacing w:line="131" w:lineRule="exact" w:before="7"/>
              <w:ind w:left="302"/>
              <w:rPr>
                <w:sz w:val="12"/>
              </w:rPr>
            </w:pPr>
            <w:r>
              <w:rPr>
                <w:w w:val="105"/>
                <w:sz w:val="12"/>
              </w:rPr>
              <w:t>Impairments and reversals of investment properties</w:t>
            </w:r>
          </w:p>
        </w:tc>
        <w:tc>
          <w:tcPr>
            <w:tcW w:w="1125" w:type="dxa"/>
          </w:tcPr>
          <w:p>
            <w:pPr>
              <w:pStyle w:val="TableParagraph"/>
              <w:tabs>
                <w:tab w:pos="1051" w:val="left" w:leader="none"/>
              </w:tabs>
              <w:spacing w:line="131" w:lineRule="exact" w:before="7"/>
              <w:jc w:val="right"/>
              <w:rPr>
                <w:sz w:val="12"/>
              </w:rPr>
            </w:pPr>
            <w:r>
              <w:rPr>
                <w:w w:val="104"/>
                <w:sz w:val="12"/>
                <w:u w:val="single"/>
              </w:rPr>
              <w:t> </w:t>
            </w:r>
            <w:r>
              <w:rPr>
                <w:sz w:val="12"/>
                <w:u w:val="single"/>
              </w:rPr>
              <w:tab/>
              <w:t>-</w:t>
            </w:r>
          </w:p>
        </w:tc>
        <w:tc>
          <w:tcPr>
            <w:tcW w:w="148" w:type="dxa"/>
          </w:tcPr>
          <w:p>
            <w:pPr>
              <w:pStyle w:val="TableParagraph"/>
              <w:rPr>
                <w:rFonts w:ascii="Times New Roman"/>
                <w:sz w:val="10"/>
              </w:rPr>
            </w:pPr>
          </w:p>
        </w:tc>
        <w:tc>
          <w:tcPr>
            <w:tcW w:w="1127" w:type="dxa"/>
          </w:tcPr>
          <w:p>
            <w:pPr>
              <w:pStyle w:val="TableParagraph"/>
              <w:tabs>
                <w:tab w:pos="1051" w:val="left" w:leader="none"/>
              </w:tabs>
              <w:spacing w:line="131" w:lineRule="exact" w:before="7"/>
              <w:ind w:right="1"/>
              <w:jc w:val="right"/>
              <w:rPr>
                <w:sz w:val="12"/>
              </w:rPr>
            </w:pPr>
            <w:r>
              <w:rPr>
                <w:w w:val="104"/>
                <w:sz w:val="12"/>
                <w:u w:val="single"/>
              </w:rPr>
              <w:t> </w:t>
            </w:r>
            <w:r>
              <w:rPr>
                <w:sz w:val="12"/>
                <w:u w:val="single"/>
              </w:rPr>
              <w:tab/>
              <w:t>-</w:t>
            </w:r>
          </w:p>
        </w:tc>
      </w:tr>
      <w:tr>
        <w:trPr>
          <w:trHeight w:val="232" w:hRule="atLeast"/>
        </w:trPr>
        <w:tc>
          <w:tcPr>
            <w:tcW w:w="4666" w:type="dxa"/>
          </w:tcPr>
          <w:p>
            <w:pPr>
              <w:pStyle w:val="TableParagraph"/>
              <w:spacing w:before="9"/>
              <w:ind w:left="302"/>
              <w:rPr>
                <w:b/>
                <w:sz w:val="12"/>
              </w:rPr>
            </w:pPr>
            <w:r>
              <w:rPr>
                <w:b/>
                <w:w w:val="105"/>
                <w:sz w:val="12"/>
              </w:rPr>
              <w:t>Total Depreciation and impairment charges</w:t>
            </w:r>
          </w:p>
        </w:tc>
        <w:tc>
          <w:tcPr>
            <w:tcW w:w="1125" w:type="dxa"/>
          </w:tcPr>
          <w:p>
            <w:pPr>
              <w:pStyle w:val="TableParagraph"/>
              <w:tabs>
                <w:tab w:pos="1051" w:val="left" w:leader="none"/>
              </w:tabs>
              <w:spacing w:before="9"/>
              <w:jc w:val="right"/>
              <w:rPr>
                <w:b/>
                <w:sz w:val="12"/>
              </w:rPr>
            </w:pPr>
            <w:r>
              <w:rPr>
                <w:b/>
                <w:w w:val="104"/>
                <w:sz w:val="12"/>
                <w:u w:val="single"/>
              </w:rPr>
              <w:t> </w:t>
            </w:r>
            <w:r>
              <w:rPr>
                <w:b/>
                <w:sz w:val="12"/>
                <w:u w:val="single"/>
              </w:rPr>
              <w:tab/>
              <w:t>-</w:t>
            </w:r>
          </w:p>
        </w:tc>
        <w:tc>
          <w:tcPr>
            <w:tcW w:w="148" w:type="dxa"/>
          </w:tcPr>
          <w:p>
            <w:pPr>
              <w:pStyle w:val="TableParagraph"/>
              <w:rPr>
                <w:rFonts w:ascii="Times New Roman"/>
                <w:sz w:val="12"/>
              </w:rPr>
            </w:pPr>
          </w:p>
        </w:tc>
        <w:tc>
          <w:tcPr>
            <w:tcW w:w="1127" w:type="dxa"/>
          </w:tcPr>
          <w:p>
            <w:pPr>
              <w:pStyle w:val="TableParagraph"/>
              <w:tabs>
                <w:tab w:pos="1051" w:val="left" w:leader="none"/>
              </w:tabs>
              <w:spacing w:before="9"/>
              <w:ind w:right="1"/>
              <w:jc w:val="right"/>
              <w:rPr>
                <w:b/>
                <w:sz w:val="12"/>
              </w:rPr>
            </w:pPr>
            <w:r>
              <w:rPr>
                <w:b/>
                <w:w w:val="104"/>
                <w:sz w:val="12"/>
                <w:u w:val="single"/>
              </w:rPr>
              <w:t> </w:t>
            </w:r>
            <w:r>
              <w:rPr>
                <w:b/>
                <w:sz w:val="12"/>
                <w:u w:val="single"/>
              </w:rPr>
              <w:tab/>
              <w:t>-</w:t>
            </w:r>
          </w:p>
        </w:tc>
      </w:tr>
      <w:tr>
        <w:trPr>
          <w:trHeight w:val="230" w:hRule="atLeast"/>
        </w:trPr>
        <w:tc>
          <w:tcPr>
            <w:tcW w:w="4666" w:type="dxa"/>
          </w:tcPr>
          <w:p>
            <w:pPr>
              <w:pStyle w:val="TableParagraph"/>
              <w:spacing w:line="129" w:lineRule="exact" w:before="81"/>
              <w:ind w:left="302"/>
              <w:rPr>
                <w:b/>
                <w:sz w:val="12"/>
              </w:rPr>
            </w:pPr>
            <w:r>
              <w:rPr>
                <w:b/>
                <w:w w:val="105"/>
                <w:sz w:val="12"/>
              </w:rPr>
              <w:t>Provision expense</w:t>
            </w:r>
          </w:p>
        </w:tc>
        <w:tc>
          <w:tcPr>
            <w:tcW w:w="1125" w:type="dxa"/>
          </w:tcPr>
          <w:p>
            <w:pPr>
              <w:pStyle w:val="TableParagraph"/>
              <w:rPr>
                <w:rFonts w:ascii="Times New Roman"/>
                <w:sz w:val="12"/>
              </w:rPr>
            </w:pPr>
          </w:p>
        </w:tc>
        <w:tc>
          <w:tcPr>
            <w:tcW w:w="148" w:type="dxa"/>
          </w:tcPr>
          <w:p>
            <w:pPr>
              <w:pStyle w:val="TableParagraph"/>
              <w:rPr>
                <w:rFonts w:ascii="Times New Roman"/>
                <w:sz w:val="12"/>
              </w:rPr>
            </w:pPr>
          </w:p>
        </w:tc>
        <w:tc>
          <w:tcPr>
            <w:tcW w:w="1127" w:type="dxa"/>
          </w:tcPr>
          <w:p>
            <w:pPr>
              <w:pStyle w:val="TableParagraph"/>
              <w:rPr>
                <w:rFonts w:ascii="Times New Roman"/>
                <w:sz w:val="12"/>
              </w:rPr>
            </w:pPr>
          </w:p>
        </w:tc>
      </w:tr>
      <w:tr>
        <w:trPr>
          <w:trHeight w:val="155" w:hRule="atLeast"/>
        </w:trPr>
        <w:tc>
          <w:tcPr>
            <w:tcW w:w="4666" w:type="dxa"/>
          </w:tcPr>
          <w:p>
            <w:pPr>
              <w:pStyle w:val="TableParagraph"/>
              <w:spacing w:line="129" w:lineRule="exact" w:before="7"/>
              <w:ind w:left="302"/>
              <w:rPr>
                <w:sz w:val="12"/>
              </w:rPr>
            </w:pPr>
            <w:r>
              <w:rPr>
                <w:w w:val="105"/>
                <w:sz w:val="12"/>
              </w:rPr>
              <w:t>Change in discount rate</w:t>
            </w:r>
          </w:p>
        </w:tc>
        <w:tc>
          <w:tcPr>
            <w:tcW w:w="1125" w:type="dxa"/>
          </w:tcPr>
          <w:p>
            <w:pPr>
              <w:pStyle w:val="TableParagraph"/>
              <w:spacing w:line="129" w:lineRule="exact" w:before="7"/>
              <w:ind w:right="27"/>
              <w:jc w:val="right"/>
              <w:rPr>
                <w:sz w:val="12"/>
              </w:rPr>
            </w:pPr>
            <w:r>
              <w:rPr>
                <w:w w:val="104"/>
                <w:sz w:val="12"/>
              </w:rPr>
              <w:t>-</w:t>
            </w:r>
          </w:p>
        </w:tc>
        <w:tc>
          <w:tcPr>
            <w:tcW w:w="148" w:type="dxa"/>
          </w:tcPr>
          <w:p>
            <w:pPr>
              <w:pStyle w:val="TableParagraph"/>
              <w:rPr>
                <w:rFonts w:ascii="Times New Roman"/>
                <w:sz w:val="10"/>
              </w:rPr>
            </w:pPr>
          </w:p>
        </w:tc>
        <w:tc>
          <w:tcPr>
            <w:tcW w:w="1127" w:type="dxa"/>
          </w:tcPr>
          <w:p>
            <w:pPr>
              <w:pStyle w:val="TableParagraph"/>
              <w:spacing w:line="129" w:lineRule="exact" w:before="7"/>
              <w:ind w:right="32"/>
              <w:jc w:val="right"/>
              <w:rPr>
                <w:sz w:val="12"/>
              </w:rPr>
            </w:pPr>
            <w:r>
              <w:rPr>
                <w:w w:val="104"/>
                <w:sz w:val="12"/>
              </w:rPr>
              <w:t>-</w:t>
            </w:r>
          </w:p>
        </w:tc>
      </w:tr>
      <w:tr>
        <w:trPr>
          <w:trHeight w:val="158" w:hRule="atLeast"/>
        </w:trPr>
        <w:tc>
          <w:tcPr>
            <w:tcW w:w="4666" w:type="dxa"/>
          </w:tcPr>
          <w:p>
            <w:pPr>
              <w:pStyle w:val="TableParagraph"/>
              <w:spacing w:line="131" w:lineRule="exact" w:before="7"/>
              <w:ind w:left="302"/>
              <w:rPr>
                <w:sz w:val="12"/>
              </w:rPr>
            </w:pPr>
            <w:r>
              <w:rPr>
                <w:w w:val="105"/>
                <w:sz w:val="12"/>
              </w:rPr>
              <w:t>Provisions</w:t>
            </w:r>
          </w:p>
        </w:tc>
        <w:tc>
          <w:tcPr>
            <w:tcW w:w="1125" w:type="dxa"/>
          </w:tcPr>
          <w:p>
            <w:pPr>
              <w:pStyle w:val="TableParagraph"/>
              <w:tabs>
                <w:tab w:pos="1051" w:val="left" w:leader="none"/>
              </w:tabs>
              <w:spacing w:line="131" w:lineRule="exact" w:before="7"/>
              <w:jc w:val="right"/>
              <w:rPr>
                <w:sz w:val="12"/>
              </w:rPr>
            </w:pPr>
            <w:r>
              <w:rPr>
                <w:w w:val="104"/>
                <w:sz w:val="12"/>
                <w:u w:val="single"/>
              </w:rPr>
              <w:t> </w:t>
            </w:r>
            <w:r>
              <w:rPr>
                <w:sz w:val="12"/>
                <w:u w:val="single"/>
              </w:rPr>
              <w:tab/>
              <w:t>-</w:t>
            </w:r>
          </w:p>
        </w:tc>
        <w:tc>
          <w:tcPr>
            <w:tcW w:w="148" w:type="dxa"/>
          </w:tcPr>
          <w:p>
            <w:pPr>
              <w:pStyle w:val="TableParagraph"/>
              <w:rPr>
                <w:rFonts w:ascii="Times New Roman"/>
                <w:sz w:val="10"/>
              </w:rPr>
            </w:pPr>
          </w:p>
        </w:tc>
        <w:tc>
          <w:tcPr>
            <w:tcW w:w="1127" w:type="dxa"/>
          </w:tcPr>
          <w:p>
            <w:pPr>
              <w:pStyle w:val="TableParagraph"/>
              <w:tabs>
                <w:tab w:pos="1051" w:val="left" w:leader="none"/>
              </w:tabs>
              <w:spacing w:line="131" w:lineRule="exact" w:before="7"/>
              <w:ind w:right="1"/>
              <w:jc w:val="right"/>
              <w:rPr>
                <w:sz w:val="12"/>
              </w:rPr>
            </w:pPr>
            <w:r>
              <w:rPr>
                <w:w w:val="104"/>
                <w:sz w:val="12"/>
                <w:u w:val="single"/>
              </w:rPr>
              <w:t> </w:t>
            </w:r>
            <w:r>
              <w:rPr>
                <w:sz w:val="12"/>
                <w:u w:val="single"/>
              </w:rPr>
              <w:tab/>
              <w:t>-</w:t>
            </w:r>
          </w:p>
        </w:tc>
      </w:tr>
      <w:tr>
        <w:trPr>
          <w:trHeight w:val="233" w:hRule="atLeast"/>
        </w:trPr>
        <w:tc>
          <w:tcPr>
            <w:tcW w:w="4666" w:type="dxa"/>
          </w:tcPr>
          <w:p>
            <w:pPr>
              <w:pStyle w:val="TableParagraph"/>
              <w:spacing w:before="9"/>
              <w:ind w:left="302"/>
              <w:rPr>
                <w:b/>
                <w:sz w:val="12"/>
              </w:rPr>
            </w:pPr>
            <w:r>
              <w:rPr>
                <w:b/>
                <w:w w:val="105"/>
                <w:sz w:val="12"/>
              </w:rPr>
              <w:t>Total Provision expense</w:t>
            </w:r>
          </w:p>
        </w:tc>
        <w:tc>
          <w:tcPr>
            <w:tcW w:w="1125" w:type="dxa"/>
          </w:tcPr>
          <w:p>
            <w:pPr>
              <w:pStyle w:val="TableParagraph"/>
              <w:tabs>
                <w:tab w:pos="1051" w:val="left" w:leader="none"/>
              </w:tabs>
              <w:spacing w:before="9"/>
              <w:jc w:val="right"/>
              <w:rPr>
                <w:b/>
                <w:sz w:val="12"/>
              </w:rPr>
            </w:pPr>
            <w:r>
              <w:rPr>
                <w:b/>
                <w:w w:val="104"/>
                <w:sz w:val="12"/>
                <w:u w:val="single"/>
              </w:rPr>
              <w:t> </w:t>
            </w:r>
            <w:r>
              <w:rPr>
                <w:b/>
                <w:sz w:val="12"/>
                <w:u w:val="single"/>
              </w:rPr>
              <w:tab/>
              <w:t>-</w:t>
            </w:r>
          </w:p>
        </w:tc>
        <w:tc>
          <w:tcPr>
            <w:tcW w:w="148" w:type="dxa"/>
          </w:tcPr>
          <w:p>
            <w:pPr>
              <w:pStyle w:val="TableParagraph"/>
              <w:rPr>
                <w:rFonts w:ascii="Times New Roman"/>
                <w:sz w:val="12"/>
              </w:rPr>
            </w:pPr>
          </w:p>
        </w:tc>
        <w:tc>
          <w:tcPr>
            <w:tcW w:w="1127" w:type="dxa"/>
          </w:tcPr>
          <w:p>
            <w:pPr>
              <w:pStyle w:val="TableParagraph"/>
              <w:tabs>
                <w:tab w:pos="1051" w:val="left" w:leader="none"/>
              </w:tabs>
              <w:spacing w:before="9"/>
              <w:ind w:right="1"/>
              <w:jc w:val="right"/>
              <w:rPr>
                <w:b/>
                <w:sz w:val="12"/>
              </w:rPr>
            </w:pPr>
            <w:r>
              <w:rPr>
                <w:b/>
                <w:w w:val="104"/>
                <w:sz w:val="12"/>
                <w:u w:val="single"/>
              </w:rPr>
              <w:t> </w:t>
            </w:r>
            <w:r>
              <w:rPr>
                <w:b/>
                <w:sz w:val="12"/>
                <w:u w:val="single"/>
              </w:rPr>
              <w:tab/>
              <w:t>-</w:t>
            </w:r>
          </w:p>
        </w:tc>
      </w:tr>
      <w:tr>
        <w:trPr>
          <w:trHeight w:val="230" w:hRule="atLeast"/>
        </w:trPr>
        <w:tc>
          <w:tcPr>
            <w:tcW w:w="4666" w:type="dxa"/>
          </w:tcPr>
          <w:p>
            <w:pPr>
              <w:pStyle w:val="TableParagraph"/>
              <w:spacing w:line="128" w:lineRule="exact" w:before="82"/>
              <w:ind w:left="302"/>
              <w:rPr>
                <w:b/>
                <w:sz w:val="12"/>
              </w:rPr>
            </w:pPr>
            <w:r>
              <w:rPr>
                <w:b/>
                <w:w w:val="105"/>
                <w:sz w:val="12"/>
              </w:rPr>
              <w:t>Other Operating Expenditure</w:t>
            </w:r>
          </w:p>
        </w:tc>
        <w:tc>
          <w:tcPr>
            <w:tcW w:w="1125" w:type="dxa"/>
          </w:tcPr>
          <w:p>
            <w:pPr>
              <w:pStyle w:val="TableParagraph"/>
              <w:rPr>
                <w:rFonts w:ascii="Times New Roman"/>
                <w:sz w:val="12"/>
              </w:rPr>
            </w:pPr>
          </w:p>
        </w:tc>
        <w:tc>
          <w:tcPr>
            <w:tcW w:w="148" w:type="dxa"/>
          </w:tcPr>
          <w:p>
            <w:pPr>
              <w:pStyle w:val="TableParagraph"/>
              <w:rPr>
                <w:rFonts w:ascii="Times New Roman"/>
                <w:sz w:val="12"/>
              </w:rPr>
            </w:pPr>
          </w:p>
        </w:tc>
        <w:tc>
          <w:tcPr>
            <w:tcW w:w="1127" w:type="dxa"/>
          </w:tcPr>
          <w:p>
            <w:pPr>
              <w:pStyle w:val="TableParagraph"/>
              <w:rPr>
                <w:rFonts w:ascii="Times New Roman"/>
                <w:sz w:val="12"/>
              </w:rPr>
            </w:pPr>
          </w:p>
        </w:tc>
      </w:tr>
      <w:tr>
        <w:trPr>
          <w:trHeight w:val="154" w:hRule="atLeast"/>
        </w:trPr>
        <w:tc>
          <w:tcPr>
            <w:tcW w:w="4666" w:type="dxa"/>
          </w:tcPr>
          <w:p>
            <w:pPr>
              <w:pStyle w:val="TableParagraph"/>
              <w:spacing w:line="129" w:lineRule="exact" w:before="6"/>
              <w:ind w:left="302"/>
              <w:rPr>
                <w:sz w:val="12"/>
              </w:rPr>
            </w:pPr>
            <w:r>
              <w:rPr>
                <w:w w:val="105"/>
                <w:sz w:val="12"/>
              </w:rPr>
              <w:t>Chair and Non Executive Members</w:t>
            </w:r>
          </w:p>
        </w:tc>
        <w:tc>
          <w:tcPr>
            <w:tcW w:w="1125" w:type="dxa"/>
          </w:tcPr>
          <w:p>
            <w:pPr>
              <w:pStyle w:val="TableParagraph"/>
              <w:spacing w:line="129" w:lineRule="exact" w:before="6"/>
              <w:ind w:right="28"/>
              <w:jc w:val="right"/>
              <w:rPr>
                <w:sz w:val="12"/>
              </w:rPr>
            </w:pPr>
            <w:r>
              <w:rPr>
                <w:sz w:val="12"/>
              </w:rPr>
              <w:t>499</w:t>
            </w:r>
          </w:p>
        </w:tc>
        <w:tc>
          <w:tcPr>
            <w:tcW w:w="148" w:type="dxa"/>
          </w:tcPr>
          <w:p>
            <w:pPr>
              <w:pStyle w:val="TableParagraph"/>
              <w:rPr>
                <w:rFonts w:ascii="Times New Roman"/>
                <w:sz w:val="8"/>
              </w:rPr>
            </w:pPr>
          </w:p>
        </w:tc>
        <w:tc>
          <w:tcPr>
            <w:tcW w:w="1127" w:type="dxa"/>
          </w:tcPr>
          <w:p>
            <w:pPr>
              <w:pStyle w:val="TableParagraph"/>
              <w:spacing w:line="129" w:lineRule="exact" w:before="6"/>
              <w:ind w:right="31"/>
              <w:jc w:val="right"/>
              <w:rPr>
                <w:sz w:val="12"/>
              </w:rPr>
            </w:pPr>
            <w:r>
              <w:rPr>
                <w:sz w:val="12"/>
              </w:rPr>
              <w:t>531</w:t>
            </w:r>
          </w:p>
        </w:tc>
      </w:tr>
      <w:tr>
        <w:trPr>
          <w:trHeight w:val="156" w:hRule="atLeast"/>
        </w:trPr>
        <w:tc>
          <w:tcPr>
            <w:tcW w:w="4666" w:type="dxa"/>
          </w:tcPr>
          <w:p>
            <w:pPr>
              <w:pStyle w:val="TableParagraph"/>
              <w:spacing w:line="129" w:lineRule="exact" w:before="7"/>
              <w:ind w:left="302"/>
              <w:rPr>
                <w:sz w:val="12"/>
              </w:rPr>
            </w:pPr>
            <w:r>
              <w:rPr>
                <w:w w:val="105"/>
                <w:sz w:val="12"/>
              </w:rPr>
              <w:t>Grants to Other bodies</w:t>
            </w:r>
          </w:p>
        </w:tc>
        <w:tc>
          <w:tcPr>
            <w:tcW w:w="1125" w:type="dxa"/>
          </w:tcPr>
          <w:p>
            <w:pPr>
              <w:pStyle w:val="TableParagraph"/>
              <w:spacing w:line="129" w:lineRule="exact" w:before="7"/>
              <w:ind w:right="27"/>
              <w:jc w:val="right"/>
              <w:rPr>
                <w:sz w:val="12"/>
              </w:rPr>
            </w:pPr>
            <w:r>
              <w:rPr>
                <w:w w:val="104"/>
                <w:sz w:val="12"/>
              </w:rPr>
              <w:t>-</w:t>
            </w:r>
          </w:p>
        </w:tc>
        <w:tc>
          <w:tcPr>
            <w:tcW w:w="148" w:type="dxa"/>
          </w:tcPr>
          <w:p>
            <w:pPr>
              <w:pStyle w:val="TableParagraph"/>
              <w:rPr>
                <w:rFonts w:ascii="Times New Roman"/>
                <w:sz w:val="10"/>
              </w:rPr>
            </w:pPr>
          </w:p>
        </w:tc>
        <w:tc>
          <w:tcPr>
            <w:tcW w:w="1127" w:type="dxa"/>
          </w:tcPr>
          <w:p>
            <w:pPr>
              <w:pStyle w:val="TableParagraph"/>
              <w:spacing w:line="129" w:lineRule="exact" w:before="7"/>
              <w:ind w:right="32"/>
              <w:jc w:val="right"/>
              <w:rPr>
                <w:sz w:val="12"/>
              </w:rPr>
            </w:pPr>
            <w:r>
              <w:rPr>
                <w:w w:val="104"/>
                <w:sz w:val="12"/>
              </w:rPr>
              <w:t>-</w:t>
            </w:r>
          </w:p>
        </w:tc>
      </w:tr>
      <w:tr>
        <w:trPr>
          <w:trHeight w:val="154" w:hRule="atLeast"/>
        </w:trPr>
        <w:tc>
          <w:tcPr>
            <w:tcW w:w="4666" w:type="dxa"/>
          </w:tcPr>
          <w:p>
            <w:pPr>
              <w:pStyle w:val="TableParagraph"/>
              <w:spacing w:line="128" w:lineRule="exact" w:before="7"/>
              <w:ind w:left="302"/>
              <w:rPr>
                <w:sz w:val="12"/>
              </w:rPr>
            </w:pPr>
            <w:r>
              <w:rPr>
                <w:w w:val="105"/>
                <w:sz w:val="12"/>
              </w:rPr>
              <w:t>Clinical negligence</w:t>
            </w:r>
          </w:p>
        </w:tc>
        <w:tc>
          <w:tcPr>
            <w:tcW w:w="1125" w:type="dxa"/>
          </w:tcPr>
          <w:p>
            <w:pPr>
              <w:pStyle w:val="TableParagraph"/>
              <w:spacing w:line="128" w:lineRule="exact" w:before="7"/>
              <w:ind w:right="27"/>
              <w:jc w:val="right"/>
              <w:rPr>
                <w:sz w:val="12"/>
              </w:rPr>
            </w:pPr>
            <w:r>
              <w:rPr>
                <w:w w:val="104"/>
                <w:sz w:val="12"/>
              </w:rPr>
              <w:t>-</w:t>
            </w:r>
          </w:p>
        </w:tc>
        <w:tc>
          <w:tcPr>
            <w:tcW w:w="148" w:type="dxa"/>
          </w:tcPr>
          <w:p>
            <w:pPr>
              <w:pStyle w:val="TableParagraph"/>
              <w:rPr>
                <w:rFonts w:ascii="Times New Roman"/>
                <w:sz w:val="8"/>
              </w:rPr>
            </w:pPr>
          </w:p>
        </w:tc>
        <w:tc>
          <w:tcPr>
            <w:tcW w:w="1127" w:type="dxa"/>
          </w:tcPr>
          <w:p>
            <w:pPr>
              <w:pStyle w:val="TableParagraph"/>
              <w:spacing w:line="128" w:lineRule="exact" w:before="7"/>
              <w:ind w:right="32"/>
              <w:jc w:val="right"/>
              <w:rPr>
                <w:sz w:val="12"/>
              </w:rPr>
            </w:pPr>
            <w:r>
              <w:rPr>
                <w:w w:val="104"/>
                <w:sz w:val="12"/>
              </w:rPr>
              <w:t>-</w:t>
            </w:r>
          </w:p>
        </w:tc>
      </w:tr>
      <w:tr>
        <w:trPr>
          <w:trHeight w:val="154" w:hRule="atLeast"/>
        </w:trPr>
        <w:tc>
          <w:tcPr>
            <w:tcW w:w="4666" w:type="dxa"/>
          </w:tcPr>
          <w:p>
            <w:pPr>
              <w:pStyle w:val="TableParagraph"/>
              <w:spacing w:line="129" w:lineRule="exact" w:before="6"/>
              <w:ind w:left="302"/>
              <w:rPr>
                <w:sz w:val="12"/>
              </w:rPr>
            </w:pPr>
            <w:r>
              <w:rPr>
                <w:w w:val="105"/>
                <w:sz w:val="12"/>
              </w:rPr>
              <w:t>Research and development (excluding staff costs)</w:t>
            </w:r>
          </w:p>
        </w:tc>
        <w:tc>
          <w:tcPr>
            <w:tcW w:w="1125" w:type="dxa"/>
          </w:tcPr>
          <w:p>
            <w:pPr>
              <w:pStyle w:val="TableParagraph"/>
              <w:spacing w:line="129" w:lineRule="exact" w:before="6"/>
              <w:ind w:right="27"/>
              <w:jc w:val="right"/>
              <w:rPr>
                <w:sz w:val="12"/>
              </w:rPr>
            </w:pPr>
            <w:r>
              <w:rPr>
                <w:w w:val="104"/>
                <w:sz w:val="12"/>
              </w:rPr>
              <w:t>-</w:t>
            </w:r>
          </w:p>
        </w:tc>
        <w:tc>
          <w:tcPr>
            <w:tcW w:w="148" w:type="dxa"/>
          </w:tcPr>
          <w:p>
            <w:pPr>
              <w:pStyle w:val="TableParagraph"/>
              <w:rPr>
                <w:rFonts w:ascii="Times New Roman"/>
                <w:sz w:val="8"/>
              </w:rPr>
            </w:pPr>
          </w:p>
        </w:tc>
        <w:tc>
          <w:tcPr>
            <w:tcW w:w="1127" w:type="dxa"/>
          </w:tcPr>
          <w:p>
            <w:pPr>
              <w:pStyle w:val="TableParagraph"/>
              <w:spacing w:line="129" w:lineRule="exact" w:before="6"/>
              <w:ind w:right="32"/>
              <w:jc w:val="right"/>
              <w:rPr>
                <w:sz w:val="12"/>
              </w:rPr>
            </w:pPr>
            <w:r>
              <w:rPr>
                <w:w w:val="104"/>
                <w:sz w:val="12"/>
              </w:rPr>
              <w:t>-</w:t>
            </w:r>
          </w:p>
        </w:tc>
      </w:tr>
      <w:tr>
        <w:trPr>
          <w:trHeight w:val="155" w:hRule="atLeast"/>
        </w:trPr>
        <w:tc>
          <w:tcPr>
            <w:tcW w:w="4666" w:type="dxa"/>
          </w:tcPr>
          <w:p>
            <w:pPr>
              <w:pStyle w:val="TableParagraph"/>
              <w:spacing w:line="129" w:lineRule="exact" w:before="7"/>
              <w:ind w:left="302"/>
              <w:rPr>
                <w:sz w:val="12"/>
              </w:rPr>
            </w:pPr>
            <w:r>
              <w:rPr>
                <w:w w:val="105"/>
                <w:sz w:val="12"/>
              </w:rPr>
              <w:t>Expected credit loss on receivables</w:t>
            </w:r>
          </w:p>
        </w:tc>
        <w:tc>
          <w:tcPr>
            <w:tcW w:w="1125" w:type="dxa"/>
          </w:tcPr>
          <w:p>
            <w:pPr>
              <w:pStyle w:val="TableParagraph"/>
              <w:spacing w:line="129" w:lineRule="exact" w:before="7"/>
              <w:ind w:right="27"/>
              <w:jc w:val="right"/>
              <w:rPr>
                <w:sz w:val="12"/>
              </w:rPr>
            </w:pPr>
            <w:r>
              <w:rPr>
                <w:w w:val="104"/>
                <w:sz w:val="12"/>
              </w:rPr>
              <w:t>-</w:t>
            </w:r>
          </w:p>
        </w:tc>
        <w:tc>
          <w:tcPr>
            <w:tcW w:w="148" w:type="dxa"/>
          </w:tcPr>
          <w:p>
            <w:pPr>
              <w:pStyle w:val="TableParagraph"/>
              <w:rPr>
                <w:rFonts w:ascii="Times New Roman"/>
                <w:sz w:val="10"/>
              </w:rPr>
            </w:pPr>
          </w:p>
        </w:tc>
        <w:tc>
          <w:tcPr>
            <w:tcW w:w="1127" w:type="dxa"/>
          </w:tcPr>
          <w:p>
            <w:pPr>
              <w:pStyle w:val="TableParagraph"/>
              <w:spacing w:line="129" w:lineRule="exact" w:before="7"/>
              <w:ind w:right="32"/>
              <w:jc w:val="right"/>
              <w:rPr>
                <w:sz w:val="12"/>
              </w:rPr>
            </w:pPr>
            <w:r>
              <w:rPr>
                <w:w w:val="104"/>
                <w:sz w:val="12"/>
              </w:rPr>
              <w:t>-</w:t>
            </w:r>
          </w:p>
        </w:tc>
      </w:tr>
      <w:tr>
        <w:trPr>
          <w:trHeight w:val="154" w:hRule="atLeast"/>
        </w:trPr>
        <w:tc>
          <w:tcPr>
            <w:tcW w:w="4666" w:type="dxa"/>
          </w:tcPr>
          <w:p>
            <w:pPr>
              <w:pStyle w:val="TableParagraph"/>
              <w:spacing w:line="128" w:lineRule="exact" w:before="7"/>
              <w:ind w:left="302"/>
              <w:rPr>
                <w:sz w:val="12"/>
              </w:rPr>
            </w:pPr>
            <w:r>
              <w:rPr>
                <w:w w:val="105"/>
                <w:sz w:val="12"/>
              </w:rPr>
              <w:t>Expected credit loss on other financial assets (stage 1 and 2 only)</w:t>
            </w:r>
          </w:p>
        </w:tc>
        <w:tc>
          <w:tcPr>
            <w:tcW w:w="1125" w:type="dxa"/>
          </w:tcPr>
          <w:p>
            <w:pPr>
              <w:pStyle w:val="TableParagraph"/>
              <w:spacing w:line="128" w:lineRule="exact" w:before="7"/>
              <w:ind w:right="27"/>
              <w:jc w:val="right"/>
              <w:rPr>
                <w:sz w:val="12"/>
              </w:rPr>
            </w:pPr>
            <w:r>
              <w:rPr>
                <w:w w:val="104"/>
                <w:sz w:val="12"/>
              </w:rPr>
              <w:t>-</w:t>
            </w:r>
          </w:p>
        </w:tc>
        <w:tc>
          <w:tcPr>
            <w:tcW w:w="148" w:type="dxa"/>
          </w:tcPr>
          <w:p>
            <w:pPr>
              <w:pStyle w:val="TableParagraph"/>
              <w:rPr>
                <w:rFonts w:ascii="Times New Roman"/>
                <w:sz w:val="8"/>
              </w:rPr>
            </w:pPr>
          </w:p>
        </w:tc>
        <w:tc>
          <w:tcPr>
            <w:tcW w:w="1127" w:type="dxa"/>
          </w:tcPr>
          <w:p>
            <w:pPr>
              <w:pStyle w:val="TableParagraph"/>
              <w:spacing w:line="128" w:lineRule="exact" w:before="7"/>
              <w:ind w:right="32"/>
              <w:jc w:val="right"/>
              <w:rPr>
                <w:sz w:val="12"/>
              </w:rPr>
            </w:pPr>
            <w:r>
              <w:rPr>
                <w:w w:val="104"/>
                <w:sz w:val="12"/>
              </w:rPr>
              <w:t>-</w:t>
            </w:r>
          </w:p>
        </w:tc>
      </w:tr>
      <w:tr>
        <w:trPr>
          <w:trHeight w:val="154" w:hRule="atLeast"/>
        </w:trPr>
        <w:tc>
          <w:tcPr>
            <w:tcW w:w="4666" w:type="dxa"/>
          </w:tcPr>
          <w:p>
            <w:pPr>
              <w:pStyle w:val="TableParagraph"/>
              <w:spacing w:line="129" w:lineRule="exact" w:before="6"/>
              <w:ind w:left="302"/>
              <w:rPr>
                <w:sz w:val="12"/>
              </w:rPr>
            </w:pPr>
            <w:r>
              <w:rPr>
                <w:w w:val="105"/>
                <w:sz w:val="12"/>
              </w:rPr>
              <w:t>Inventories written down</w:t>
            </w:r>
          </w:p>
        </w:tc>
        <w:tc>
          <w:tcPr>
            <w:tcW w:w="1125" w:type="dxa"/>
          </w:tcPr>
          <w:p>
            <w:pPr>
              <w:pStyle w:val="TableParagraph"/>
              <w:spacing w:line="129" w:lineRule="exact" w:before="6"/>
              <w:ind w:right="27"/>
              <w:jc w:val="right"/>
              <w:rPr>
                <w:sz w:val="12"/>
              </w:rPr>
            </w:pPr>
            <w:r>
              <w:rPr>
                <w:w w:val="104"/>
                <w:sz w:val="12"/>
              </w:rPr>
              <w:t>-</w:t>
            </w:r>
          </w:p>
        </w:tc>
        <w:tc>
          <w:tcPr>
            <w:tcW w:w="148" w:type="dxa"/>
          </w:tcPr>
          <w:p>
            <w:pPr>
              <w:pStyle w:val="TableParagraph"/>
              <w:rPr>
                <w:rFonts w:ascii="Times New Roman"/>
                <w:sz w:val="8"/>
              </w:rPr>
            </w:pPr>
          </w:p>
        </w:tc>
        <w:tc>
          <w:tcPr>
            <w:tcW w:w="1127" w:type="dxa"/>
          </w:tcPr>
          <w:p>
            <w:pPr>
              <w:pStyle w:val="TableParagraph"/>
              <w:spacing w:line="129" w:lineRule="exact" w:before="6"/>
              <w:ind w:right="32"/>
              <w:jc w:val="right"/>
              <w:rPr>
                <w:sz w:val="12"/>
              </w:rPr>
            </w:pPr>
            <w:r>
              <w:rPr>
                <w:w w:val="104"/>
                <w:sz w:val="12"/>
              </w:rPr>
              <w:t>-</w:t>
            </w:r>
          </w:p>
        </w:tc>
      </w:tr>
      <w:tr>
        <w:trPr>
          <w:trHeight w:val="154" w:hRule="atLeast"/>
        </w:trPr>
        <w:tc>
          <w:tcPr>
            <w:tcW w:w="4666" w:type="dxa"/>
          </w:tcPr>
          <w:p>
            <w:pPr>
              <w:pStyle w:val="TableParagraph"/>
              <w:spacing w:line="128" w:lineRule="exact" w:before="7"/>
              <w:ind w:left="302"/>
              <w:rPr>
                <w:sz w:val="12"/>
              </w:rPr>
            </w:pPr>
            <w:r>
              <w:rPr>
                <w:w w:val="105"/>
                <w:sz w:val="12"/>
              </w:rPr>
              <w:t>Inventories consumed</w:t>
            </w:r>
          </w:p>
        </w:tc>
        <w:tc>
          <w:tcPr>
            <w:tcW w:w="1125" w:type="dxa"/>
          </w:tcPr>
          <w:p>
            <w:pPr>
              <w:pStyle w:val="TableParagraph"/>
              <w:spacing w:line="128" w:lineRule="exact" w:before="7"/>
              <w:ind w:right="27"/>
              <w:jc w:val="right"/>
              <w:rPr>
                <w:sz w:val="12"/>
              </w:rPr>
            </w:pPr>
            <w:r>
              <w:rPr>
                <w:w w:val="104"/>
                <w:sz w:val="12"/>
              </w:rPr>
              <w:t>-</w:t>
            </w:r>
          </w:p>
        </w:tc>
        <w:tc>
          <w:tcPr>
            <w:tcW w:w="148" w:type="dxa"/>
          </w:tcPr>
          <w:p>
            <w:pPr>
              <w:pStyle w:val="TableParagraph"/>
              <w:rPr>
                <w:rFonts w:ascii="Times New Roman"/>
                <w:sz w:val="8"/>
              </w:rPr>
            </w:pPr>
          </w:p>
        </w:tc>
        <w:tc>
          <w:tcPr>
            <w:tcW w:w="1127" w:type="dxa"/>
          </w:tcPr>
          <w:p>
            <w:pPr>
              <w:pStyle w:val="TableParagraph"/>
              <w:spacing w:line="128" w:lineRule="exact" w:before="7"/>
              <w:ind w:right="32"/>
              <w:jc w:val="right"/>
              <w:rPr>
                <w:sz w:val="12"/>
              </w:rPr>
            </w:pPr>
            <w:r>
              <w:rPr>
                <w:w w:val="104"/>
                <w:sz w:val="12"/>
              </w:rPr>
              <w:t>-</w:t>
            </w:r>
          </w:p>
        </w:tc>
      </w:tr>
      <w:tr>
        <w:trPr>
          <w:trHeight w:val="157" w:hRule="atLeast"/>
        </w:trPr>
        <w:tc>
          <w:tcPr>
            <w:tcW w:w="4666" w:type="dxa"/>
          </w:tcPr>
          <w:p>
            <w:pPr>
              <w:pStyle w:val="TableParagraph"/>
              <w:spacing w:line="131" w:lineRule="exact" w:before="6"/>
              <w:ind w:left="125"/>
              <w:rPr>
                <w:sz w:val="12"/>
              </w:rPr>
            </w:pPr>
            <w:r>
              <w:rPr>
                <w:b/>
                <w:w w:val="105"/>
                <w:sz w:val="12"/>
              </w:rPr>
              <w:t>5* </w:t>
            </w:r>
            <w:r>
              <w:rPr>
                <w:w w:val="105"/>
                <w:sz w:val="12"/>
              </w:rPr>
              <w:t>Other expenditure</w:t>
            </w:r>
          </w:p>
        </w:tc>
        <w:tc>
          <w:tcPr>
            <w:tcW w:w="1125" w:type="dxa"/>
          </w:tcPr>
          <w:p>
            <w:pPr>
              <w:pStyle w:val="TableParagraph"/>
              <w:tabs>
                <w:tab w:pos="952" w:val="left" w:leader="none"/>
              </w:tabs>
              <w:spacing w:line="131" w:lineRule="exact" w:before="6"/>
              <w:ind w:right="-15"/>
              <w:jc w:val="right"/>
              <w:rPr>
                <w:sz w:val="12"/>
              </w:rPr>
            </w:pPr>
            <w:r>
              <w:rPr>
                <w:w w:val="104"/>
                <w:sz w:val="12"/>
                <w:u w:val="single"/>
              </w:rPr>
              <w:t> </w:t>
            </w:r>
            <w:r>
              <w:rPr>
                <w:sz w:val="12"/>
                <w:u w:val="single"/>
              </w:rPr>
              <w:tab/>
            </w:r>
            <w:r>
              <w:rPr>
                <w:spacing w:val="-1"/>
                <w:sz w:val="12"/>
                <w:u w:val="single"/>
              </w:rPr>
              <w:t>20</w:t>
            </w:r>
          </w:p>
        </w:tc>
        <w:tc>
          <w:tcPr>
            <w:tcW w:w="148" w:type="dxa"/>
          </w:tcPr>
          <w:p>
            <w:pPr>
              <w:pStyle w:val="TableParagraph"/>
              <w:rPr>
                <w:rFonts w:ascii="Times New Roman"/>
                <w:sz w:val="10"/>
              </w:rPr>
            </w:pPr>
          </w:p>
        </w:tc>
        <w:tc>
          <w:tcPr>
            <w:tcW w:w="1127" w:type="dxa"/>
          </w:tcPr>
          <w:p>
            <w:pPr>
              <w:pStyle w:val="TableParagraph"/>
              <w:tabs>
                <w:tab w:pos="885" w:val="left" w:leader="none"/>
              </w:tabs>
              <w:spacing w:line="131" w:lineRule="exact" w:before="6"/>
              <w:ind w:right="-15"/>
              <w:jc w:val="right"/>
              <w:rPr>
                <w:sz w:val="12"/>
              </w:rPr>
            </w:pPr>
            <w:r>
              <w:rPr>
                <w:w w:val="104"/>
                <w:sz w:val="12"/>
                <w:u w:val="single"/>
              </w:rPr>
              <w:t> </w:t>
            </w:r>
            <w:r>
              <w:rPr>
                <w:sz w:val="12"/>
                <w:u w:val="single"/>
              </w:rPr>
              <w:tab/>
            </w:r>
            <w:r>
              <w:rPr>
                <w:spacing w:val="-3"/>
                <w:sz w:val="12"/>
                <w:u w:val="single"/>
              </w:rPr>
              <w:t>110</w:t>
            </w:r>
          </w:p>
        </w:tc>
      </w:tr>
      <w:tr>
        <w:trPr>
          <w:trHeight w:val="308" w:hRule="atLeast"/>
        </w:trPr>
        <w:tc>
          <w:tcPr>
            <w:tcW w:w="4666" w:type="dxa"/>
          </w:tcPr>
          <w:p>
            <w:pPr>
              <w:pStyle w:val="TableParagraph"/>
              <w:spacing w:before="9"/>
              <w:ind w:left="302"/>
              <w:rPr>
                <w:b/>
                <w:sz w:val="12"/>
              </w:rPr>
            </w:pPr>
            <w:r>
              <w:rPr>
                <w:b/>
                <w:w w:val="105"/>
                <w:sz w:val="12"/>
              </w:rPr>
              <w:t>Total Other Operating Expenditure</w:t>
            </w:r>
          </w:p>
        </w:tc>
        <w:tc>
          <w:tcPr>
            <w:tcW w:w="1125" w:type="dxa"/>
            <w:tcBorders>
              <w:bottom w:val="single" w:sz="6" w:space="0" w:color="000000"/>
            </w:tcBorders>
          </w:tcPr>
          <w:p>
            <w:pPr>
              <w:pStyle w:val="TableParagraph"/>
              <w:tabs>
                <w:tab w:pos="885" w:val="left" w:leader="none"/>
              </w:tabs>
              <w:spacing w:before="9"/>
              <w:ind w:right="-15"/>
              <w:jc w:val="right"/>
              <w:rPr>
                <w:b/>
                <w:sz w:val="12"/>
              </w:rPr>
            </w:pPr>
            <w:r>
              <w:rPr>
                <w:b/>
                <w:w w:val="104"/>
                <w:sz w:val="12"/>
                <w:u w:val="single"/>
              </w:rPr>
              <w:t> </w:t>
            </w:r>
            <w:r>
              <w:rPr>
                <w:b/>
                <w:sz w:val="12"/>
                <w:u w:val="single"/>
              </w:rPr>
              <w:tab/>
            </w:r>
            <w:r>
              <w:rPr>
                <w:b/>
                <w:spacing w:val="-2"/>
                <w:sz w:val="12"/>
                <w:u w:val="single"/>
              </w:rPr>
              <w:t>519</w:t>
            </w:r>
          </w:p>
        </w:tc>
        <w:tc>
          <w:tcPr>
            <w:tcW w:w="148" w:type="dxa"/>
          </w:tcPr>
          <w:p>
            <w:pPr>
              <w:pStyle w:val="TableParagraph"/>
              <w:rPr>
                <w:rFonts w:ascii="Times New Roman"/>
                <w:sz w:val="12"/>
              </w:rPr>
            </w:pPr>
          </w:p>
        </w:tc>
        <w:tc>
          <w:tcPr>
            <w:tcW w:w="1127" w:type="dxa"/>
            <w:tcBorders>
              <w:bottom w:val="single" w:sz="6" w:space="0" w:color="000000"/>
            </w:tcBorders>
          </w:tcPr>
          <w:p>
            <w:pPr>
              <w:pStyle w:val="TableParagraph"/>
              <w:tabs>
                <w:tab w:pos="885" w:val="left" w:leader="none"/>
              </w:tabs>
              <w:spacing w:before="9"/>
              <w:ind w:right="-15"/>
              <w:jc w:val="right"/>
              <w:rPr>
                <w:b/>
                <w:sz w:val="12"/>
              </w:rPr>
            </w:pPr>
            <w:r>
              <w:rPr>
                <w:b/>
                <w:w w:val="104"/>
                <w:sz w:val="12"/>
                <w:u w:val="single"/>
              </w:rPr>
              <w:t> </w:t>
            </w:r>
            <w:r>
              <w:rPr>
                <w:b/>
                <w:sz w:val="12"/>
                <w:u w:val="single"/>
              </w:rPr>
              <w:tab/>
            </w:r>
            <w:r>
              <w:rPr>
                <w:b/>
                <w:spacing w:val="-2"/>
                <w:sz w:val="12"/>
                <w:u w:val="single"/>
              </w:rPr>
              <w:t>641</w:t>
            </w:r>
          </w:p>
        </w:tc>
      </w:tr>
      <w:tr>
        <w:trPr>
          <w:trHeight w:val="126" w:hRule="atLeast"/>
        </w:trPr>
        <w:tc>
          <w:tcPr>
            <w:tcW w:w="4666" w:type="dxa"/>
          </w:tcPr>
          <w:p>
            <w:pPr>
              <w:pStyle w:val="TableParagraph"/>
              <w:spacing w:line="107" w:lineRule="exact"/>
              <w:ind w:left="125"/>
              <w:rPr>
                <w:b/>
                <w:sz w:val="12"/>
              </w:rPr>
            </w:pPr>
            <w:r>
              <w:rPr>
                <w:b/>
                <w:w w:val="105"/>
                <w:sz w:val="12"/>
              </w:rPr>
              <w:t>6* Total operating expenditure</w:t>
            </w:r>
          </w:p>
        </w:tc>
        <w:tc>
          <w:tcPr>
            <w:tcW w:w="1125" w:type="dxa"/>
            <w:tcBorders>
              <w:top w:val="single" w:sz="6" w:space="0" w:color="000000"/>
            </w:tcBorders>
          </w:tcPr>
          <w:p>
            <w:pPr>
              <w:pStyle w:val="TableParagraph"/>
              <w:tabs>
                <w:tab w:pos="640" w:val="left" w:leader="none"/>
              </w:tabs>
              <w:spacing w:line="101" w:lineRule="exact"/>
              <w:ind w:right="-15"/>
              <w:jc w:val="right"/>
              <w:rPr>
                <w:b/>
                <w:sz w:val="12"/>
              </w:rPr>
            </w:pPr>
            <w:r>
              <w:rPr>
                <w:b/>
                <w:w w:val="104"/>
                <w:sz w:val="12"/>
                <w:u w:val="single"/>
              </w:rPr>
              <w:t> </w:t>
            </w:r>
            <w:r>
              <w:rPr>
                <w:b/>
                <w:sz w:val="12"/>
                <w:u w:val="single"/>
              </w:rPr>
              <w:tab/>
            </w:r>
            <w:r>
              <w:rPr>
                <w:b/>
                <w:spacing w:val="-1"/>
                <w:w w:val="105"/>
                <w:sz w:val="12"/>
                <w:u w:val="single"/>
              </w:rPr>
              <w:t>315,360</w:t>
            </w:r>
          </w:p>
        </w:tc>
        <w:tc>
          <w:tcPr>
            <w:tcW w:w="148" w:type="dxa"/>
          </w:tcPr>
          <w:p>
            <w:pPr>
              <w:pStyle w:val="TableParagraph"/>
              <w:rPr>
                <w:rFonts w:ascii="Times New Roman"/>
                <w:sz w:val="6"/>
              </w:rPr>
            </w:pPr>
          </w:p>
        </w:tc>
        <w:tc>
          <w:tcPr>
            <w:tcW w:w="1127" w:type="dxa"/>
            <w:tcBorders>
              <w:top w:val="single" w:sz="6" w:space="0" w:color="000000"/>
            </w:tcBorders>
          </w:tcPr>
          <w:p>
            <w:pPr>
              <w:pStyle w:val="TableParagraph"/>
              <w:tabs>
                <w:tab w:pos="640" w:val="left" w:leader="none"/>
              </w:tabs>
              <w:spacing w:line="101" w:lineRule="exact"/>
              <w:ind w:right="-15"/>
              <w:jc w:val="right"/>
              <w:rPr>
                <w:b/>
                <w:sz w:val="12"/>
              </w:rPr>
            </w:pPr>
            <w:r>
              <w:rPr>
                <w:b/>
                <w:w w:val="104"/>
                <w:sz w:val="12"/>
                <w:u w:val="single"/>
              </w:rPr>
              <w:t> </w:t>
            </w:r>
            <w:r>
              <w:rPr>
                <w:b/>
                <w:sz w:val="12"/>
                <w:u w:val="single"/>
              </w:rPr>
              <w:tab/>
            </w:r>
            <w:r>
              <w:rPr>
                <w:b/>
                <w:spacing w:val="-1"/>
                <w:w w:val="105"/>
                <w:sz w:val="12"/>
                <w:u w:val="single"/>
              </w:rPr>
              <w:t>294,114</w:t>
            </w:r>
          </w:p>
        </w:tc>
      </w:tr>
    </w:tbl>
    <w:p>
      <w:pPr>
        <w:pStyle w:val="BodyText"/>
        <w:rPr>
          <w:sz w:val="21"/>
        </w:rPr>
      </w:pPr>
    </w:p>
    <w:p>
      <w:pPr>
        <w:spacing w:before="96"/>
        <w:ind w:left="654" w:right="0" w:firstLine="0"/>
        <w:jc w:val="left"/>
        <w:rPr>
          <w:b/>
          <w:sz w:val="12"/>
        </w:rPr>
      </w:pPr>
      <w:r>
        <w:rPr>
          <w:b/>
          <w:w w:val="105"/>
          <w:sz w:val="12"/>
        </w:rPr>
        <w:t>Explanatory Notes</w:t>
      </w:r>
    </w:p>
    <w:p>
      <w:pPr>
        <w:pStyle w:val="BodyText"/>
        <w:spacing w:before="9"/>
        <w:rPr>
          <w:b/>
          <w:sz w:val="15"/>
        </w:rPr>
      </w:pPr>
    </w:p>
    <w:p>
      <w:pPr>
        <w:spacing w:before="0"/>
        <w:ind w:left="463" w:right="4644" w:firstLine="0"/>
        <w:jc w:val="center"/>
        <w:rPr>
          <w:sz w:val="12"/>
        </w:rPr>
      </w:pPr>
      <w:r>
        <w:rPr>
          <w:b/>
          <w:w w:val="105"/>
          <w:sz w:val="12"/>
        </w:rPr>
        <w:t>1* </w:t>
      </w:r>
      <w:r>
        <w:rPr>
          <w:w w:val="105"/>
          <w:sz w:val="12"/>
        </w:rPr>
        <w:t>Services from foundation trusts expenditure has increased during 2021-22, mainly as a result of:</w:t>
      </w:r>
    </w:p>
    <w:p>
      <w:pPr>
        <w:pStyle w:val="ListParagraph"/>
        <w:numPr>
          <w:ilvl w:val="0"/>
          <w:numId w:val="31"/>
        </w:numPr>
        <w:tabs>
          <w:tab w:pos="734" w:val="left" w:leader="none"/>
        </w:tabs>
        <w:spacing w:line="240" w:lineRule="auto" w:before="16" w:after="0"/>
        <w:ind w:left="733" w:right="4280" w:hanging="734"/>
        <w:jc w:val="left"/>
        <w:rPr>
          <w:sz w:val="12"/>
        </w:rPr>
      </w:pPr>
      <w:r>
        <w:rPr>
          <w:w w:val="105"/>
          <w:sz w:val="12"/>
        </w:rPr>
        <w:t>Increased</w:t>
      </w:r>
      <w:r>
        <w:rPr>
          <w:spacing w:val="-5"/>
          <w:w w:val="105"/>
          <w:sz w:val="12"/>
        </w:rPr>
        <w:t> </w:t>
      </w:r>
      <w:r>
        <w:rPr>
          <w:w w:val="105"/>
          <w:sz w:val="12"/>
        </w:rPr>
        <w:t>expenditure</w:t>
      </w:r>
      <w:r>
        <w:rPr>
          <w:spacing w:val="-5"/>
          <w:w w:val="105"/>
          <w:sz w:val="12"/>
        </w:rPr>
        <w:t> </w:t>
      </w:r>
      <w:r>
        <w:rPr>
          <w:w w:val="105"/>
          <w:sz w:val="12"/>
        </w:rPr>
        <w:t>with</w:t>
      </w:r>
      <w:r>
        <w:rPr>
          <w:spacing w:val="-4"/>
          <w:w w:val="105"/>
          <w:sz w:val="12"/>
        </w:rPr>
        <w:t> </w:t>
      </w:r>
      <w:r>
        <w:rPr>
          <w:w w:val="105"/>
          <w:sz w:val="12"/>
        </w:rPr>
        <w:t>Northern</w:t>
      </w:r>
      <w:r>
        <w:rPr>
          <w:spacing w:val="-5"/>
          <w:w w:val="105"/>
          <w:sz w:val="12"/>
        </w:rPr>
        <w:t> </w:t>
      </w:r>
      <w:r>
        <w:rPr>
          <w:w w:val="105"/>
          <w:sz w:val="12"/>
        </w:rPr>
        <w:t>Lincolnshire</w:t>
      </w:r>
      <w:r>
        <w:rPr>
          <w:spacing w:val="-4"/>
          <w:w w:val="105"/>
          <w:sz w:val="12"/>
        </w:rPr>
        <w:t> </w:t>
      </w:r>
      <w:r>
        <w:rPr>
          <w:w w:val="105"/>
          <w:sz w:val="12"/>
        </w:rPr>
        <w:t>and</w:t>
      </w:r>
      <w:r>
        <w:rPr>
          <w:spacing w:val="-5"/>
          <w:w w:val="105"/>
          <w:sz w:val="12"/>
        </w:rPr>
        <w:t> </w:t>
      </w:r>
      <w:r>
        <w:rPr>
          <w:w w:val="105"/>
          <w:sz w:val="12"/>
        </w:rPr>
        <w:t>Goole</w:t>
      </w:r>
      <w:r>
        <w:rPr>
          <w:spacing w:val="-4"/>
          <w:w w:val="105"/>
          <w:sz w:val="12"/>
        </w:rPr>
        <w:t> </w:t>
      </w:r>
      <w:r>
        <w:rPr>
          <w:w w:val="105"/>
          <w:sz w:val="12"/>
        </w:rPr>
        <w:t>Hospitals</w:t>
      </w:r>
      <w:r>
        <w:rPr>
          <w:spacing w:val="-5"/>
          <w:w w:val="105"/>
          <w:sz w:val="12"/>
        </w:rPr>
        <w:t> </w:t>
      </w:r>
      <w:r>
        <w:rPr>
          <w:w w:val="105"/>
          <w:sz w:val="12"/>
        </w:rPr>
        <w:t>NHS</w:t>
      </w:r>
      <w:r>
        <w:rPr>
          <w:spacing w:val="-6"/>
          <w:w w:val="105"/>
          <w:sz w:val="12"/>
        </w:rPr>
        <w:t> </w:t>
      </w:r>
      <w:r>
        <w:rPr>
          <w:w w:val="105"/>
          <w:sz w:val="12"/>
        </w:rPr>
        <w:t>FT</w:t>
      </w:r>
      <w:r>
        <w:rPr>
          <w:spacing w:val="-5"/>
          <w:w w:val="105"/>
          <w:sz w:val="12"/>
        </w:rPr>
        <w:t> </w:t>
      </w:r>
      <w:r>
        <w:rPr>
          <w:w w:val="105"/>
          <w:sz w:val="12"/>
        </w:rPr>
        <w:t>of</w:t>
      </w:r>
      <w:r>
        <w:rPr>
          <w:spacing w:val="-14"/>
          <w:w w:val="105"/>
          <w:sz w:val="12"/>
        </w:rPr>
        <w:t> </w:t>
      </w:r>
      <w:r>
        <w:rPr>
          <w:w w:val="105"/>
          <w:sz w:val="12"/>
        </w:rPr>
        <w:t>£2.52m</w:t>
      </w:r>
    </w:p>
    <w:p>
      <w:pPr>
        <w:pStyle w:val="ListParagraph"/>
        <w:numPr>
          <w:ilvl w:val="0"/>
          <w:numId w:val="31"/>
        </w:numPr>
        <w:tabs>
          <w:tab w:pos="734" w:val="left" w:leader="none"/>
        </w:tabs>
        <w:spacing w:line="240" w:lineRule="auto" w:before="18" w:after="0"/>
        <w:ind w:left="733" w:right="3509" w:hanging="734"/>
        <w:jc w:val="left"/>
        <w:rPr>
          <w:sz w:val="12"/>
        </w:rPr>
      </w:pPr>
      <w:r>
        <w:rPr>
          <w:w w:val="105"/>
          <w:sz w:val="12"/>
        </w:rPr>
        <w:t>Increased</w:t>
      </w:r>
      <w:r>
        <w:rPr>
          <w:spacing w:val="-4"/>
          <w:w w:val="105"/>
          <w:sz w:val="12"/>
        </w:rPr>
        <w:t> </w:t>
      </w:r>
      <w:r>
        <w:rPr>
          <w:w w:val="105"/>
          <w:sz w:val="12"/>
        </w:rPr>
        <w:t>expenditure</w:t>
      </w:r>
      <w:r>
        <w:rPr>
          <w:spacing w:val="-4"/>
          <w:w w:val="105"/>
          <w:sz w:val="12"/>
        </w:rPr>
        <w:t> </w:t>
      </w:r>
      <w:r>
        <w:rPr>
          <w:w w:val="105"/>
          <w:sz w:val="12"/>
        </w:rPr>
        <w:t>with</w:t>
      </w:r>
      <w:r>
        <w:rPr>
          <w:spacing w:val="-4"/>
          <w:w w:val="105"/>
          <w:sz w:val="12"/>
        </w:rPr>
        <w:t> </w:t>
      </w:r>
      <w:r>
        <w:rPr>
          <w:w w:val="105"/>
          <w:sz w:val="12"/>
        </w:rPr>
        <w:t>Rotherham</w:t>
      </w:r>
      <w:r>
        <w:rPr>
          <w:spacing w:val="-5"/>
          <w:w w:val="105"/>
          <w:sz w:val="12"/>
        </w:rPr>
        <w:t> </w:t>
      </w:r>
      <w:r>
        <w:rPr>
          <w:w w:val="105"/>
          <w:sz w:val="12"/>
        </w:rPr>
        <w:t>Doncaster</w:t>
      </w:r>
      <w:r>
        <w:rPr>
          <w:spacing w:val="-3"/>
          <w:w w:val="105"/>
          <w:sz w:val="12"/>
        </w:rPr>
        <w:t> </w:t>
      </w:r>
      <w:r>
        <w:rPr>
          <w:w w:val="105"/>
          <w:sz w:val="12"/>
        </w:rPr>
        <w:t>and</w:t>
      </w:r>
      <w:r>
        <w:rPr>
          <w:spacing w:val="-4"/>
          <w:w w:val="105"/>
          <w:sz w:val="12"/>
        </w:rPr>
        <w:t> </w:t>
      </w:r>
      <w:r>
        <w:rPr>
          <w:w w:val="105"/>
          <w:sz w:val="12"/>
        </w:rPr>
        <w:t>South</w:t>
      </w:r>
      <w:r>
        <w:rPr>
          <w:spacing w:val="-4"/>
          <w:w w:val="105"/>
          <w:sz w:val="12"/>
        </w:rPr>
        <w:t> </w:t>
      </w:r>
      <w:r>
        <w:rPr>
          <w:w w:val="105"/>
          <w:sz w:val="12"/>
        </w:rPr>
        <w:t>Humber</w:t>
      </w:r>
      <w:r>
        <w:rPr>
          <w:spacing w:val="-2"/>
          <w:w w:val="105"/>
          <w:sz w:val="12"/>
        </w:rPr>
        <w:t> </w:t>
      </w:r>
      <w:r>
        <w:rPr>
          <w:w w:val="105"/>
          <w:sz w:val="12"/>
        </w:rPr>
        <w:t>Mental</w:t>
      </w:r>
      <w:r>
        <w:rPr>
          <w:spacing w:val="-3"/>
          <w:w w:val="105"/>
          <w:sz w:val="12"/>
        </w:rPr>
        <w:t> </w:t>
      </w:r>
      <w:r>
        <w:rPr>
          <w:w w:val="105"/>
          <w:sz w:val="12"/>
        </w:rPr>
        <w:t>Health</w:t>
      </w:r>
      <w:r>
        <w:rPr>
          <w:spacing w:val="-6"/>
          <w:w w:val="105"/>
          <w:sz w:val="12"/>
        </w:rPr>
        <w:t> </w:t>
      </w:r>
      <w:r>
        <w:rPr>
          <w:w w:val="105"/>
          <w:sz w:val="12"/>
        </w:rPr>
        <w:t>NHS</w:t>
      </w:r>
      <w:r>
        <w:rPr>
          <w:spacing w:val="-3"/>
          <w:w w:val="105"/>
          <w:sz w:val="12"/>
        </w:rPr>
        <w:t> </w:t>
      </w:r>
      <w:r>
        <w:rPr>
          <w:w w:val="105"/>
          <w:sz w:val="12"/>
        </w:rPr>
        <w:t>FT</w:t>
      </w:r>
      <w:r>
        <w:rPr>
          <w:spacing w:val="-4"/>
          <w:w w:val="105"/>
          <w:sz w:val="12"/>
        </w:rPr>
        <w:t> </w:t>
      </w:r>
      <w:r>
        <w:rPr>
          <w:w w:val="105"/>
          <w:sz w:val="12"/>
        </w:rPr>
        <w:t>of</w:t>
      </w:r>
      <w:r>
        <w:rPr>
          <w:spacing w:val="-16"/>
          <w:w w:val="105"/>
          <w:sz w:val="12"/>
        </w:rPr>
        <w:t> </w:t>
      </w:r>
      <w:r>
        <w:rPr>
          <w:w w:val="105"/>
          <w:sz w:val="12"/>
        </w:rPr>
        <w:t>£2.12m</w:t>
      </w:r>
    </w:p>
    <w:p>
      <w:pPr>
        <w:pStyle w:val="BodyText"/>
        <w:spacing w:before="10"/>
        <w:rPr>
          <w:sz w:val="14"/>
        </w:rPr>
      </w:pPr>
    </w:p>
    <w:p>
      <w:pPr>
        <w:spacing w:before="0"/>
        <w:ind w:left="476" w:right="0" w:firstLine="0"/>
        <w:jc w:val="left"/>
        <w:rPr>
          <w:sz w:val="12"/>
        </w:rPr>
      </w:pPr>
      <w:r>
        <w:rPr>
          <w:b/>
          <w:w w:val="105"/>
          <w:sz w:val="12"/>
        </w:rPr>
        <w:t>2* </w:t>
      </w:r>
      <w:r>
        <w:rPr>
          <w:w w:val="105"/>
          <w:sz w:val="12"/>
        </w:rPr>
        <w:t>Purchase of healthcare from non-NHS bodies expenditure has increased during 2021-22, mainly as a result of:</w:t>
      </w:r>
    </w:p>
    <w:p>
      <w:pPr>
        <w:pStyle w:val="ListParagraph"/>
        <w:numPr>
          <w:ilvl w:val="0"/>
          <w:numId w:val="31"/>
        </w:numPr>
        <w:tabs>
          <w:tab w:pos="734" w:val="left" w:leader="none"/>
        </w:tabs>
        <w:spacing w:line="240" w:lineRule="auto" w:before="16" w:after="0"/>
        <w:ind w:left="733" w:right="0" w:hanging="80"/>
        <w:jc w:val="left"/>
        <w:rPr>
          <w:sz w:val="12"/>
        </w:rPr>
      </w:pPr>
      <w:r>
        <w:rPr>
          <w:w w:val="105"/>
          <w:sz w:val="12"/>
        </w:rPr>
        <w:t>Increased expenditure on </w:t>
      </w:r>
      <w:r>
        <w:rPr>
          <w:spacing w:val="-3"/>
          <w:w w:val="105"/>
          <w:sz w:val="12"/>
        </w:rPr>
        <w:t>Continuing </w:t>
      </w:r>
      <w:r>
        <w:rPr>
          <w:w w:val="105"/>
          <w:sz w:val="12"/>
        </w:rPr>
        <w:t>Healthcare of</w:t>
      </w:r>
      <w:r>
        <w:rPr>
          <w:spacing w:val="-3"/>
          <w:w w:val="105"/>
          <w:sz w:val="12"/>
        </w:rPr>
        <w:t> </w:t>
      </w:r>
      <w:r>
        <w:rPr>
          <w:w w:val="105"/>
          <w:sz w:val="12"/>
        </w:rPr>
        <w:t>£3.16m</w:t>
      </w:r>
    </w:p>
    <w:p>
      <w:pPr>
        <w:pStyle w:val="ListParagraph"/>
        <w:numPr>
          <w:ilvl w:val="0"/>
          <w:numId w:val="31"/>
        </w:numPr>
        <w:tabs>
          <w:tab w:pos="734" w:val="left" w:leader="none"/>
        </w:tabs>
        <w:spacing w:line="271" w:lineRule="auto" w:before="18" w:after="0"/>
        <w:ind w:left="654" w:right="3260" w:firstLine="0"/>
        <w:jc w:val="left"/>
        <w:rPr>
          <w:sz w:val="12"/>
        </w:rPr>
      </w:pPr>
      <w:r>
        <w:rPr>
          <w:w w:val="105"/>
          <w:sz w:val="12"/>
        </w:rPr>
        <w:t>Increased expenditure with Independent Sector providers of Acute Services of £4.6m. During 2020-21 NHS activity was contracted and paid for by NHS</w:t>
      </w:r>
      <w:r>
        <w:rPr>
          <w:spacing w:val="-5"/>
          <w:w w:val="105"/>
          <w:sz w:val="12"/>
        </w:rPr>
        <w:t> </w:t>
      </w:r>
      <w:r>
        <w:rPr>
          <w:w w:val="105"/>
          <w:sz w:val="12"/>
        </w:rPr>
        <w:t>England</w:t>
      </w:r>
    </w:p>
    <w:p>
      <w:pPr>
        <w:pStyle w:val="ListParagraph"/>
        <w:numPr>
          <w:ilvl w:val="0"/>
          <w:numId w:val="31"/>
        </w:numPr>
        <w:tabs>
          <w:tab w:pos="734" w:val="left" w:leader="none"/>
        </w:tabs>
        <w:spacing w:line="240" w:lineRule="auto" w:before="0" w:after="0"/>
        <w:ind w:left="733" w:right="0" w:hanging="80"/>
        <w:jc w:val="left"/>
        <w:rPr>
          <w:sz w:val="12"/>
        </w:rPr>
      </w:pPr>
      <w:r>
        <w:rPr>
          <w:w w:val="105"/>
          <w:sz w:val="12"/>
        </w:rPr>
        <w:t>Increased expenditure on mental health and learning disability packages of care of</w:t>
      </w:r>
      <w:r>
        <w:rPr>
          <w:spacing w:val="-13"/>
          <w:w w:val="105"/>
          <w:sz w:val="12"/>
        </w:rPr>
        <w:t> </w:t>
      </w:r>
      <w:r>
        <w:rPr>
          <w:w w:val="105"/>
          <w:sz w:val="12"/>
        </w:rPr>
        <w:t>£1.96m</w:t>
      </w:r>
    </w:p>
    <w:p>
      <w:pPr>
        <w:pStyle w:val="BodyText"/>
        <w:spacing w:before="4"/>
        <w:rPr>
          <w:sz w:val="15"/>
        </w:rPr>
      </w:pPr>
    </w:p>
    <w:p>
      <w:pPr>
        <w:spacing w:before="0"/>
        <w:ind w:left="476" w:right="0" w:firstLine="0"/>
        <w:jc w:val="left"/>
        <w:rPr>
          <w:sz w:val="12"/>
        </w:rPr>
      </w:pPr>
      <w:r>
        <w:rPr>
          <w:b/>
          <w:w w:val="105"/>
          <w:sz w:val="12"/>
        </w:rPr>
        <w:t>3* </w:t>
      </w:r>
      <w:r>
        <w:rPr>
          <w:w w:val="105"/>
          <w:sz w:val="12"/>
        </w:rPr>
        <w:t>Supplies and Services - general has increased in 2021-22, mainly as a result of:</w:t>
      </w:r>
    </w:p>
    <w:p>
      <w:pPr>
        <w:pStyle w:val="ListParagraph"/>
        <w:numPr>
          <w:ilvl w:val="0"/>
          <w:numId w:val="31"/>
        </w:numPr>
        <w:tabs>
          <w:tab w:pos="734" w:val="left" w:leader="none"/>
        </w:tabs>
        <w:spacing w:line="240" w:lineRule="auto" w:before="16" w:after="0"/>
        <w:ind w:left="733" w:right="0" w:hanging="80"/>
        <w:jc w:val="left"/>
        <w:rPr>
          <w:sz w:val="12"/>
        </w:rPr>
      </w:pPr>
      <w:r>
        <w:rPr>
          <w:w w:val="105"/>
          <w:sz w:val="12"/>
        </w:rPr>
        <w:t>Living Wage for Care Homes</w:t>
      </w:r>
      <w:r>
        <w:rPr>
          <w:spacing w:val="5"/>
          <w:w w:val="105"/>
          <w:sz w:val="12"/>
        </w:rPr>
        <w:t> </w:t>
      </w:r>
      <w:r>
        <w:rPr>
          <w:w w:val="105"/>
          <w:sz w:val="12"/>
        </w:rPr>
        <w:t>£1.1m</w:t>
      </w:r>
    </w:p>
    <w:p>
      <w:pPr>
        <w:pStyle w:val="ListParagraph"/>
        <w:numPr>
          <w:ilvl w:val="0"/>
          <w:numId w:val="31"/>
        </w:numPr>
        <w:tabs>
          <w:tab w:pos="734" w:val="left" w:leader="none"/>
        </w:tabs>
        <w:spacing w:line="240" w:lineRule="auto" w:before="18" w:after="0"/>
        <w:ind w:left="733" w:right="0" w:hanging="80"/>
        <w:jc w:val="left"/>
        <w:rPr>
          <w:sz w:val="12"/>
        </w:rPr>
      </w:pPr>
      <w:r>
        <w:rPr>
          <w:w w:val="105"/>
          <w:sz w:val="12"/>
        </w:rPr>
        <w:t>Winter Access </w:t>
      </w:r>
      <w:r>
        <w:rPr>
          <w:spacing w:val="-3"/>
          <w:w w:val="105"/>
          <w:sz w:val="12"/>
        </w:rPr>
        <w:t>Funding</w:t>
      </w:r>
      <w:r>
        <w:rPr>
          <w:spacing w:val="4"/>
          <w:w w:val="105"/>
          <w:sz w:val="12"/>
        </w:rPr>
        <w:t> </w:t>
      </w:r>
      <w:r>
        <w:rPr>
          <w:w w:val="105"/>
          <w:sz w:val="12"/>
        </w:rPr>
        <w:t>£0.45m</w:t>
      </w:r>
    </w:p>
    <w:p>
      <w:pPr>
        <w:pStyle w:val="ListParagraph"/>
        <w:numPr>
          <w:ilvl w:val="0"/>
          <w:numId w:val="31"/>
        </w:numPr>
        <w:tabs>
          <w:tab w:pos="734" w:val="left" w:leader="none"/>
        </w:tabs>
        <w:spacing w:line="240" w:lineRule="auto" w:before="18" w:after="0"/>
        <w:ind w:left="733" w:right="0" w:hanging="80"/>
        <w:jc w:val="left"/>
        <w:rPr>
          <w:sz w:val="12"/>
        </w:rPr>
      </w:pPr>
      <w:r>
        <w:rPr>
          <w:w w:val="105"/>
          <w:sz w:val="12"/>
        </w:rPr>
        <w:t>Lindsey Lodge Expansion Project</w:t>
      </w:r>
      <w:r>
        <w:rPr>
          <w:spacing w:val="-6"/>
          <w:w w:val="105"/>
          <w:sz w:val="12"/>
        </w:rPr>
        <w:t> </w:t>
      </w:r>
      <w:r>
        <w:rPr>
          <w:w w:val="105"/>
          <w:sz w:val="12"/>
        </w:rPr>
        <w:t>£0.35m</w:t>
      </w:r>
    </w:p>
    <w:p>
      <w:pPr>
        <w:pStyle w:val="BodyText"/>
        <w:spacing w:before="2"/>
        <w:rPr>
          <w:sz w:val="16"/>
        </w:rPr>
      </w:pPr>
    </w:p>
    <w:p>
      <w:pPr>
        <w:spacing w:line="532" w:lineRule="auto" w:before="0"/>
        <w:ind w:left="476" w:right="3643" w:firstLine="0"/>
        <w:jc w:val="left"/>
        <w:rPr>
          <w:sz w:val="12"/>
        </w:rPr>
      </w:pPr>
      <w:r>
        <w:rPr>
          <w:b/>
          <w:w w:val="105"/>
          <w:sz w:val="12"/>
        </w:rPr>
        <w:t>4* </w:t>
      </w:r>
      <w:r>
        <w:rPr>
          <w:w w:val="105"/>
          <w:sz w:val="12"/>
        </w:rPr>
        <w:t>Audit fees include £47k of expenditure in relation to the external audit fee which is inclusive of £8k value added tax </w:t>
      </w:r>
      <w:r>
        <w:rPr>
          <w:b/>
          <w:w w:val="105"/>
          <w:sz w:val="12"/>
        </w:rPr>
        <w:t>5* </w:t>
      </w:r>
      <w:r>
        <w:rPr>
          <w:w w:val="105"/>
          <w:sz w:val="12"/>
        </w:rPr>
        <w:t>Other expenditure relates to one special payment made during 2021-22, as disclosed in note 18, two in 2020-21 </w:t>
      </w:r>
      <w:r>
        <w:rPr>
          <w:b/>
          <w:w w:val="105"/>
          <w:sz w:val="12"/>
        </w:rPr>
        <w:t>6* </w:t>
      </w:r>
      <w:r>
        <w:rPr>
          <w:w w:val="105"/>
          <w:sz w:val="12"/>
        </w:rPr>
        <w:t>The total operating expenditure for 2021-22 includes £4.28m in relation to Covid-19 (2020-21:</w:t>
      </w:r>
      <w:r>
        <w:rPr>
          <w:spacing w:val="-21"/>
          <w:w w:val="105"/>
          <w:sz w:val="12"/>
        </w:rPr>
        <w:t> </w:t>
      </w:r>
      <w:r>
        <w:rPr>
          <w:w w:val="105"/>
          <w:sz w:val="12"/>
        </w:rPr>
        <w:t>£6.47m)</w:t>
      </w:r>
    </w:p>
    <w:p>
      <w:pPr>
        <w:spacing w:after="0" w:line="532" w:lineRule="auto"/>
        <w:jc w:val="left"/>
        <w:rPr>
          <w:sz w:val="12"/>
        </w:rPr>
        <w:sectPr>
          <w:footerReference w:type="default" r:id="rId57"/>
          <w:pgSz w:w="11920" w:h="16850"/>
          <w:pgMar w:footer="429" w:header="0" w:top="1080" w:bottom="620" w:left="740" w:right="520"/>
          <w:pgNumType w:start="14"/>
        </w:sectPr>
      </w:pPr>
    </w:p>
    <w:tbl>
      <w:tblPr>
        <w:tblW w:w="0" w:type="auto"/>
        <w:jc w:val="left"/>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49"/>
        <w:gridCol w:w="1638"/>
        <w:gridCol w:w="1037"/>
        <w:gridCol w:w="1117"/>
        <w:gridCol w:w="1305"/>
      </w:tblGrid>
      <w:tr>
        <w:trPr>
          <w:trHeight w:val="615" w:hRule="atLeast"/>
        </w:trPr>
        <w:tc>
          <w:tcPr>
            <w:tcW w:w="4949" w:type="dxa"/>
          </w:tcPr>
          <w:p>
            <w:pPr>
              <w:pStyle w:val="TableParagraph"/>
              <w:spacing w:line="156" w:lineRule="exact"/>
              <w:ind w:left="200"/>
              <w:rPr>
                <w:sz w:val="14"/>
              </w:rPr>
            </w:pPr>
            <w:r>
              <w:rPr>
                <w:w w:val="105"/>
                <w:sz w:val="14"/>
              </w:rPr>
              <w:t>NHS North Lincolnshire CCG - Annual Accounts 2021-22</w:t>
            </w:r>
          </w:p>
          <w:p>
            <w:pPr>
              <w:pStyle w:val="TableParagraph"/>
              <w:spacing w:before="5"/>
              <w:rPr>
                <w:sz w:val="17"/>
              </w:rPr>
            </w:pPr>
          </w:p>
          <w:p>
            <w:pPr>
              <w:pStyle w:val="TableParagraph"/>
              <w:spacing w:before="1"/>
              <w:ind w:left="200"/>
              <w:rPr>
                <w:b/>
                <w:sz w:val="14"/>
              </w:rPr>
            </w:pPr>
            <w:r>
              <w:rPr>
                <w:b/>
                <w:w w:val="105"/>
                <w:sz w:val="14"/>
              </w:rPr>
              <w:t>6.1 Better Payment Practice Code</w:t>
            </w:r>
          </w:p>
        </w:tc>
        <w:tc>
          <w:tcPr>
            <w:tcW w:w="1638" w:type="dxa"/>
          </w:tcPr>
          <w:p>
            <w:pPr>
              <w:pStyle w:val="TableParagraph"/>
              <w:rPr>
                <w:rFonts w:ascii="Times New Roman"/>
                <w:sz w:val="14"/>
              </w:rPr>
            </w:pPr>
          </w:p>
        </w:tc>
        <w:tc>
          <w:tcPr>
            <w:tcW w:w="1037" w:type="dxa"/>
          </w:tcPr>
          <w:p>
            <w:pPr>
              <w:pStyle w:val="TableParagraph"/>
              <w:rPr>
                <w:rFonts w:ascii="Times New Roman"/>
                <w:sz w:val="14"/>
              </w:rPr>
            </w:pPr>
          </w:p>
        </w:tc>
        <w:tc>
          <w:tcPr>
            <w:tcW w:w="1117" w:type="dxa"/>
          </w:tcPr>
          <w:p>
            <w:pPr>
              <w:pStyle w:val="TableParagraph"/>
              <w:rPr>
                <w:rFonts w:ascii="Times New Roman"/>
                <w:sz w:val="14"/>
              </w:rPr>
            </w:pPr>
          </w:p>
        </w:tc>
        <w:tc>
          <w:tcPr>
            <w:tcW w:w="1305" w:type="dxa"/>
          </w:tcPr>
          <w:p>
            <w:pPr>
              <w:pStyle w:val="TableParagraph"/>
              <w:rPr>
                <w:rFonts w:ascii="Times New Roman"/>
                <w:sz w:val="14"/>
              </w:rPr>
            </w:pPr>
          </w:p>
        </w:tc>
      </w:tr>
      <w:tr>
        <w:trPr>
          <w:trHeight w:val="265" w:hRule="atLeast"/>
        </w:trPr>
        <w:tc>
          <w:tcPr>
            <w:tcW w:w="4949" w:type="dxa"/>
          </w:tcPr>
          <w:p>
            <w:pPr>
              <w:pStyle w:val="TableParagraph"/>
              <w:spacing w:line="153" w:lineRule="exact" w:before="92"/>
              <w:ind w:left="200"/>
              <w:rPr>
                <w:b/>
                <w:sz w:val="14"/>
              </w:rPr>
            </w:pPr>
            <w:r>
              <w:rPr>
                <w:b/>
                <w:w w:val="105"/>
                <w:sz w:val="14"/>
              </w:rPr>
              <w:t>Measure of compliance (95%)</w:t>
            </w:r>
          </w:p>
        </w:tc>
        <w:tc>
          <w:tcPr>
            <w:tcW w:w="1638" w:type="dxa"/>
          </w:tcPr>
          <w:p>
            <w:pPr>
              <w:pStyle w:val="TableParagraph"/>
              <w:spacing w:line="153" w:lineRule="exact" w:before="92"/>
              <w:ind w:left="763"/>
              <w:rPr>
                <w:b/>
                <w:sz w:val="14"/>
              </w:rPr>
            </w:pPr>
            <w:r>
              <w:rPr>
                <w:b/>
                <w:w w:val="105"/>
                <w:sz w:val="14"/>
              </w:rPr>
              <w:t>2021-22</w:t>
            </w:r>
          </w:p>
        </w:tc>
        <w:tc>
          <w:tcPr>
            <w:tcW w:w="1037" w:type="dxa"/>
          </w:tcPr>
          <w:p>
            <w:pPr>
              <w:pStyle w:val="TableParagraph"/>
              <w:spacing w:line="153" w:lineRule="exact" w:before="92"/>
              <w:ind w:left="174"/>
              <w:rPr>
                <w:b/>
                <w:sz w:val="14"/>
              </w:rPr>
            </w:pPr>
            <w:r>
              <w:rPr>
                <w:b/>
                <w:w w:val="105"/>
                <w:sz w:val="14"/>
              </w:rPr>
              <w:t>2021-22</w:t>
            </w:r>
          </w:p>
        </w:tc>
        <w:tc>
          <w:tcPr>
            <w:tcW w:w="1117" w:type="dxa"/>
          </w:tcPr>
          <w:p>
            <w:pPr>
              <w:pStyle w:val="TableParagraph"/>
              <w:spacing w:line="153" w:lineRule="exact" w:before="92"/>
              <w:ind w:left="174"/>
              <w:rPr>
                <w:sz w:val="14"/>
              </w:rPr>
            </w:pPr>
            <w:r>
              <w:rPr>
                <w:w w:val="105"/>
                <w:sz w:val="14"/>
              </w:rPr>
              <w:t>2020-21</w:t>
            </w:r>
          </w:p>
        </w:tc>
        <w:tc>
          <w:tcPr>
            <w:tcW w:w="1305" w:type="dxa"/>
          </w:tcPr>
          <w:p>
            <w:pPr>
              <w:pStyle w:val="TableParagraph"/>
              <w:spacing w:line="153" w:lineRule="exact" w:before="92"/>
              <w:ind w:left="254"/>
              <w:rPr>
                <w:sz w:val="14"/>
              </w:rPr>
            </w:pPr>
            <w:r>
              <w:rPr>
                <w:w w:val="105"/>
                <w:sz w:val="14"/>
              </w:rPr>
              <w:t>2020-21</w:t>
            </w:r>
          </w:p>
        </w:tc>
      </w:tr>
      <w:tr>
        <w:trPr>
          <w:trHeight w:val="180" w:hRule="atLeast"/>
        </w:trPr>
        <w:tc>
          <w:tcPr>
            <w:tcW w:w="4949" w:type="dxa"/>
          </w:tcPr>
          <w:p>
            <w:pPr>
              <w:pStyle w:val="TableParagraph"/>
              <w:rPr>
                <w:rFonts w:ascii="Times New Roman"/>
                <w:sz w:val="12"/>
              </w:rPr>
            </w:pPr>
          </w:p>
        </w:tc>
        <w:tc>
          <w:tcPr>
            <w:tcW w:w="1638" w:type="dxa"/>
          </w:tcPr>
          <w:p>
            <w:pPr>
              <w:pStyle w:val="TableParagraph"/>
              <w:spacing w:line="153" w:lineRule="exact" w:before="7"/>
              <w:ind w:left="756"/>
              <w:rPr>
                <w:b/>
                <w:sz w:val="14"/>
              </w:rPr>
            </w:pPr>
            <w:r>
              <w:rPr>
                <w:b/>
                <w:w w:val="105"/>
                <w:sz w:val="14"/>
              </w:rPr>
              <w:t>Number</w:t>
            </w:r>
          </w:p>
        </w:tc>
        <w:tc>
          <w:tcPr>
            <w:tcW w:w="1037" w:type="dxa"/>
          </w:tcPr>
          <w:p>
            <w:pPr>
              <w:pStyle w:val="TableParagraph"/>
              <w:spacing w:line="153" w:lineRule="exact" w:before="7"/>
              <w:ind w:left="261"/>
              <w:rPr>
                <w:b/>
                <w:sz w:val="14"/>
              </w:rPr>
            </w:pPr>
            <w:r>
              <w:rPr>
                <w:b/>
                <w:w w:val="105"/>
                <w:sz w:val="14"/>
              </w:rPr>
              <w:t>£'000</w:t>
            </w:r>
          </w:p>
        </w:tc>
        <w:tc>
          <w:tcPr>
            <w:tcW w:w="1117" w:type="dxa"/>
          </w:tcPr>
          <w:p>
            <w:pPr>
              <w:pStyle w:val="TableParagraph"/>
              <w:spacing w:line="153" w:lineRule="exact" w:before="7"/>
              <w:ind w:left="181"/>
              <w:rPr>
                <w:sz w:val="14"/>
              </w:rPr>
            </w:pPr>
            <w:r>
              <w:rPr>
                <w:w w:val="105"/>
                <w:sz w:val="14"/>
              </w:rPr>
              <w:t>Number</w:t>
            </w:r>
          </w:p>
        </w:tc>
        <w:tc>
          <w:tcPr>
            <w:tcW w:w="1305" w:type="dxa"/>
          </w:tcPr>
          <w:p>
            <w:pPr>
              <w:pStyle w:val="TableParagraph"/>
              <w:spacing w:line="153" w:lineRule="exact" w:before="7"/>
              <w:ind w:left="346"/>
              <w:rPr>
                <w:sz w:val="14"/>
              </w:rPr>
            </w:pPr>
            <w:r>
              <w:rPr>
                <w:w w:val="105"/>
                <w:sz w:val="14"/>
              </w:rPr>
              <w:t>£'000</w:t>
            </w:r>
          </w:p>
        </w:tc>
      </w:tr>
      <w:tr>
        <w:trPr>
          <w:trHeight w:val="180" w:hRule="atLeast"/>
        </w:trPr>
        <w:tc>
          <w:tcPr>
            <w:tcW w:w="4949" w:type="dxa"/>
          </w:tcPr>
          <w:p>
            <w:pPr>
              <w:pStyle w:val="TableParagraph"/>
              <w:spacing w:line="153" w:lineRule="exact" w:before="7"/>
              <w:ind w:left="200"/>
              <w:rPr>
                <w:b/>
                <w:sz w:val="14"/>
              </w:rPr>
            </w:pPr>
            <w:r>
              <w:rPr>
                <w:b/>
                <w:w w:val="105"/>
                <w:sz w:val="14"/>
              </w:rPr>
              <w:t>Non-NHS Payables</w:t>
            </w:r>
          </w:p>
        </w:tc>
        <w:tc>
          <w:tcPr>
            <w:tcW w:w="1638" w:type="dxa"/>
          </w:tcPr>
          <w:p>
            <w:pPr>
              <w:pStyle w:val="TableParagraph"/>
              <w:rPr>
                <w:rFonts w:ascii="Times New Roman"/>
                <w:sz w:val="12"/>
              </w:rPr>
            </w:pPr>
          </w:p>
        </w:tc>
        <w:tc>
          <w:tcPr>
            <w:tcW w:w="1037" w:type="dxa"/>
          </w:tcPr>
          <w:p>
            <w:pPr>
              <w:pStyle w:val="TableParagraph"/>
              <w:rPr>
                <w:rFonts w:ascii="Times New Roman"/>
                <w:sz w:val="12"/>
              </w:rPr>
            </w:pPr>
          </w:p>
        </w:tc>
        <w:tc>
          <w:tcPr>
            <w:tcW w:w="1117" w:type="dxa"/>
          </w:tcPr>
          <w:p>
            <w:pPr>
              <w:pStyle w:val="TableParagraph"/>
              <w:rPr>
                <w:rFonts w:ascii="Times New Roman"/>
                <w:sz w:val="12"/>
              </w:rPr>
            </w:pPr>
          </w:p>
        </w:tc>
        <w:tc>
          <w:tcPr>
            <w:tcW w:w="1305" w:type="dxa"/>
          </w:tcPr>
          <w:p>
            <w:pPr>
              <w:pStyle w:val="TableParagraph"/>
              <w:rPr>
                <w:rFonts w:ascii="Times New Roman"/>
                <w:sz w:val="12"/>
              </w:rPr>
            </w:pPr>
          </w:p>
        </w:tc>
      </w:tr>
      <w:tr>
        <w:trPr>
          <w:trHeight w:val="178" w:hRule="atLeast"/>
        </w:trPr>
        <w:tc>
          <w:tcPr>
            <w:tcW w:w="4949" w:type="dxa"/>
          </w:tcPr>
          <w:p>
            <w:pPr>
              <w:pStyle w:val="TableParagraph"/>
              <w:spacing w:line="152" w:lineRule="exact" w:before="7"/>
              <w:ind w:left="200"/>
              <w:rPr>
                <w:sz w:val="14"/>
              </w:rPr>
            </w:pPr>
            <w:r>
              <w:rPr>
                <w:w w:val="105"/>
                <w:sz w:val="14"/>
              </w:rPr>
              <w:t>Total Non-NHS Trade invoices paid in the Year</w:t>
            </w:r>
          </w:p>
        </w:tc>
        <w:tc>
          <w:tcPr>
            <w:tcW w:w="1638" w:type="dxa"/>
          </w:tcPr>
          <w:p>
            <w:pPr>
              <w:pStyle w:val="TableParagraph"/>
              <w:spacing w:line="152" w:lineRule="exact" w:before="7"/>
              <w:ind w:right="183"/>
              <w:jc w:val="right"/>
              <w:rPr>
                <w:sz w:val="14"/>
              </w:rPr>
            </w:pPr>
            <w:r>
              <w:rPr>
                <w:sz w:val="14"/>
              </w:rPr>
              <w:t>10,024</w:t>
            </w:r>
          </w:p>
        </w:tc>
        <w:tc>
          <w:tcPr>
            <w:tcW w:w="1037" w:type="dxa"/>
          </w:tcPr>
          <w:p>
            <w:pPr>
              <w:pStyle w:val="TableParagraph"/>
              <w:spacing w:line="152" w:lineRule="exact" w:before="7"/>
              <w:ind w:right="183"/>
              <w:jc w:val="right"/>
              <w:rPr>
                <w:sz w:val="14"/>
              </w:rPr>
            </w:pPr>
            <w:r>
              <w:rPr>
                <w:sz w:val="14"/>
              </w:rPr>
              <w:t>97,379</w:t>
            </w:r>
          </w:p>
        </w:tc>
        <w:tc>
          <w:tcPr>
            <w:tcW w:w="1117" w:type="dxa"/>
          </w:tcPr>
          <w:p>
            <w:pPr>
              <w:pStyle w:val="TableParagraph"/>
              <w:spacing w:line="152" w:lineRule="exact" w:before="7"/>
              <w:ind w:right="261"/>
              <w:jc w:val="right"/>
              <w:rPr>
                <w:sz w:val="14"/>
              </w:rPr>
            </w:pPr>
            <w:r>
              <w:rPr>
                <w:sz w:val="14"/>
              </w:rPr>
              <w:t>9,092</w:t>
            </w:r>
          </w:p>
        </w:tc>
        <w:tc>
          <w:tcPr>
            <w:tcW w:w="1305" w:type="dxa"/>
          </w:tcPr>
          <w:p>
            <w:pPr>
              <w:pStyle w:val="TableParagraph"/>
              <w:spacing w:line="152" w:lineRule="exact" w:before="7"/>
              <w:ind w:right="203"/>
              <w:jc w:val="right"/>
              <w:rPr>
                <w:sz w:val="14"/>
              </w:rPr>
            </w:pPr>
            <w:r>
              <w:rPr>
                <w:sz w:val="14"/>
              </w:rPr>
              <w:t>84,737</w:t>
            </w:r>
          </w:p>
        </w:tc>
      </w:tr>
      <w:tr>
        <w:trPr>
          <w:trHeight w:val="181" w:hRule="atLeast"/>
        </w:trPr>
        <w:tc>
          <w:tcPr>
            <w:tcW w:w="4949" w:type="dxa"/>
          </w:tcPr>
          <w:p>
            <w:pPr>
              <w:pStyle w:val="TableParagraph"/>
              <w:spacing w:line="155" w:lineRule="exact" w:before="5"/>
              <w:ind w:left="200"/>
              <w:rPr>
                <w:sz w:val="14"/>
              </w:rPr>
            </w:pPr>
            <w:r>
              <w:rPr>
                <w:w w:val="105"/>
                <w:sz w:val="14"/>
              </w:rPr>
              <w:t>Total Non-NHS Trade Invoices paid within target</w:t>
            </w:r>
          </w:p>
        </w:tc>
        <w:tc>
          <w:tcPr>
            <w:tcW w:w="1638" w:type="dxa"/>
          </w:tcPr>
          <w:p>
            <w:pPr>
              <w:pStyle w:val="TableParagraph"/>
              <w:spacing w:line="155" w:lineRule="exact" w:before="5"/>
              <w:ind w:right="181"/>
              <w:jc w:val="right"/>
              <w:rPr>
                <w:sz w:val="14"/>
              </w:rPr>
            </w:pPr>
            <w:r>
              <w:rPr>
                <w:sz w:val="14"/>
              </w:rPr>
              <w:t>9,690</w:t>
            </w:r>
          </w:p>
        </w:tc>
        <w:tc>
          <w:tcPr>
            <w:tcW w:w="1037" w:type="dxa"/>
          </w:tcPr>
          <w:p>
            <w:pPr>
              <w:pStyle w:val="TableParagraph"/>
              <w:spacing w:line="155" w:lineRule="exact" w:before="5"/>
              <w:ind w:right="183"/>
              <w:jc w:val="right"/>
              <w:rPr>
                <w:sz w:val="14"/>
              </w:rPr>
            </w:pPr>
            <w:r>
              <w:rPr>
                <w:sz w:val="14"/>
              </w:rPr>
              <w:t>93,902</w:t>
            </w:r>
          </w:p>
        </w:tc>
        <w:tc>
          <w:tcPr>
            <w:tcW w:w="1117" w:type="dxa"/>
          </w:tcPr>
          <w:p>
            <w:pPr>
              <w:pStyle w:val="TableParagraph"/>
              <w:spacing w:line="155" w:lineRule="exact" w:before="5"/>
              <w:ind w:right="263"/>
              <w:jc w:val="right"/>
              <w:rPr>
                <w:sz w:val="14"/>
              </w:rPr>
            </w:pPr>
            <w:r>
              <w:rPr>
                <w:sz w:val="14"/>
              </w:rPr>
              <w:t>9,005</w:t>
            </w:r>
          </w:p>
        </w:tc>
        <w:tc>
          <w:tcPr>
            <w:tcW w:w="1305" w:type="dxa"/>
          </w:tcPr>
          <w:p>
            <w:pPr>
              <w:pStyle w:val="TableParagraph"/>
              <w:spacing w:line="155" w:lineRule="exact" w:before="5"/>
              <w:ind w:right="207"/>
              <w:jc w:val="right"/>
              <w:rPr>
                <w:sz w:val="14"/>
              </w:rPr>
            </w:pPr>
            <w:r>
              <w:rPr>
                <w:sz w:val="14"/>
              </w:rPr>
              <w:t>83,386</w:t>
            </w:r>
          </w:p>
        </w:tc>
      </w:tr>
      <w:tr>
        <w:trPr>
          <w:trHeight w:val="275" w:hRule="atLeast"/>
        </w:trPr>
        <w:tc>
          <w:tcPr>
            <w:tcW w:w="4949" w:type="dxa"/>
          </w:tcPr>
          <w:p>
            <w:pPr>
              <w:pStyle w:val="TableParagraph"/>
              <w:spacing w:before="9"/>
              <w:ind w:left="200"/>
              <w:rPr>
                <w:b/>
                <w:sz w:val="14"/>
              </w:rPr>
            </w:pPr>
            <w:r>
              <w:rPr>
                <w:b/>
                <w:w w:val="105"/>
                <w:sz w:val="14"/>
              </w:rPr>
              <w:t>Percentage of Non-NHS Trade invoices paid within target</w:t>
            </w:r>
          </w:p>
        </w:tc>
        <w:tc>
          <w:tcPr>
            <w:tcW w:w="1638" w:type="dxa"/>
          </w:tcPr>
          <w:p>
            <w:pPr>
              <w:pStyle w:val="TableParagraph"/>
              <w:spacing w:before="9"/>
              <w:ind w:right="174"/>
              <w:jc w:val="right"/>
              <w:rPr>
                <w:b/>
                <w:sz w:val="14"/>
              </w:rPr>
            </w:pPr>
            <w:r>
              <w:rPr>
                <w:b/>
                <w:w w:val="95"/>
                <w:sz w:val="14"/>
              </w:rPr>
              <w:t>96.67%</w:t>
            </w:r>
          </w:p>
        </w:tc>
        <w:tc>
          <w:tcPr>
            <w:tcW w:w="1037" w:type="dxa"/>
          </w:tcPr>
          <w:p>
            <w:pPr>
              <w:pStyle w:val="TableParagraph"/>
              <w:spacing w:before="9"/>
              <w:ind w:right="174"/>
              <w:jc w:val="right"/>
              <w:rPr>
                <w:b/>
                <w:sz w:val="14"/>
              </w:rPr>
            </w:pPr>
            <w:r>
              <w:rPr>
                <w:b/>
                <w:w w:val="95"/>
                <w:sz w:val="14"/>
              </w:rPr>
              <w:t>96.43%</w:t>
            </w:r>
          </w:p>
        </w:tc>
        <w:tc>
          <w:tcPr>
            <w:tcW w:w="1117" w:type="dxa"/>
          </w:tcPr>
          <w:p>
            <w:pPr>
              <w:pStyle w:val="TableParagraph"/>
              <w:spacing w:before="9"/>
              <w:ind w:right="255"/>
              <w:jc w:val="right"/>
              <w:rPr>
                <w:b/>
                <w:sz w:val="14"/>
              </w:rPr>
            </w:pPr>
            <w:r>
              <w:rPr>
                <w:b/>
                <w:w w:val="95"/>
                <w:sz w:val="14"/>
              </w:rPr>
              <w:t>99.04%</w:t>
            </w:r>
          </w:p>
        </w:tc>
        <w:tc>
          <w:tcPr>
            <w:tcW w:w="1305" w:type="dxa"/>
          </w:tcPr>
          <w:p>
            <w:pPr>
              <w:pStyle w:val="TableParagraph"/>
              <w:spacing w:before="9"/>
              <w:ind w:right="199"/>
              <w:jc w:val="right"/>
              <w:rPr>
                <w:b/>
                <w:sz w:val="14"/>
              </w:rPr>
            </w:pPr>
            <w:r>
              <w:rPr>
                <w:b/>
                <w:w w:val="95"/>
                <w:sz w:val="14"/>
              </w:rPr>
              <w:t>98.41%</w:t>
            </w:r>
          </w:p>
        </w:tc>
      </w:tr>
      <w:tr>
        <w:trPr>
          <w:trHeight w:val="273" w:hRule="atLeast"/>
        </w:trPr>
        <w:tc>
          <w:tcPr>
            <w:tcW w:w="4949" w:type="dxa"/>
          </w:tcPr>
          <w:p>
            <w:pPr>
              <w:pStyle w:val="TableParagraph"/>
              <w:spacing w:line="153" w:lineRule="exact" w:before="100"/>
              <w:ind w:left="200"/>
              <w:rPr>
                <w:b/>
                <w:sz w:val="14"/>
              </w:rPr>
            </w:pPr>
            <w:r>
              <w:rPr>
                <w:b/>
                <w:w w:val="105"/>
                <w:sz w:val="14"/>
              </w:rPr>
              <w:t>NHS Payables</w:t>
            </w:r>
          </w:p>
        </w:tc>
        <w:tc>
          <w:tcPr>
            <w:tcW w:w="1638" w:type="dxa"/>
          </w:tcPr>
          <w:p>
            <w:pPr>
              <w:pStyle w:val="TableParagraph"/>
              <w:rPr>
                <w:rFonts w:ascii="Times New Roman"/>
                <w:sz w:val="14"/>
              </w:rPr>
            </w:pPr>
          </w:p>
        </w:tc>
        <w:tc>
          <w:tcPr>
            <w:tcW w:w="1037" w:type="dxa"/>
          </w:tcPr>
          <w:p>
            <w:pPr>
              <w:pStyle w:val="TableParagraph"/>
              <w:rPr>
                <w:rFonts w:ascii="Times New Roman"/>
                <w:sz w:val="14"/>
              </w:rPr>
            </w:pPr>
          </w:p>
        </w:tc>
        <w:tc>
          <w:tcPr>
            <w:tcW w:w="1117" w:type="dxa"/>
          </w:tcPr>
          <w:p>
            <w:pPr>
              <w:pStyle w:val="TableParagraph"/>
              <w:rPr>
                <w:rFonts w:ascii="Times New Roman"/>
                <w:sz w:val="14"/>
              </w:rPr>
            </w:pPr>
          </w:p>
        </w:tc>
        <w:tc>
          <w:tcPr>
            <w:tcW w:w="1305" w:type="dxa"/>
          </w:tcPr>
          <w:p>
            <w:pPr>
              <w:pStyle w:val="TableParagraph"/>
              <w:rPr>
                <w:rFonts w:ascii="Times New Roman"/>
                <w:sz w:val="14"/>
              </w:rPr>
            </w:pPr>
          </w:p>
        </w:tc>
      </w:tr>
      <w:tr>
        <w:trPr>
          <w:trHeight w:val="178" w:hRule="atLeast"/>
        </w:trPr>
        <w:tc>
          <w:tcPr>
            <w:tcW w:w="4949" w:type="dxa"/>
          </w:tcPr>
          <w:p>
            <w:pPr>
              <w:pStyle w:val="TableParagraph"/>
              <w:spacing w:line="152" w:lineRule="exact" w:before="7"/>
              <w:ind w:left="200"/>
              <w:rPr>
                <w:sz w:val="14"/>
              </w:rPr>
            </w:pPr>
            <w:r>
              <w:rPr>
                <w:w w:val="105"/>
                <w:sz w:val="14"/>
              </w:rPr>
              <w:t>Total NHS Trade Invoices Paid in the Year</w:t>
            </w:r>
          </w:p>
        </w:tc>
        <w:tc>
          <w:tcPr>
            <w:tcW w:w="1638" w:type="dxa"/>
          </w:tcPr>
          <w:p>
            <w:pPr>
              <w:pStyle w:val="TableParagraph"/>
              <w:spacing w:line="152" w:lineRule="exact" w:before="7"/>
              <w:ind w:right="183"/>
              <w:jc w:val="right"/>
              <w:rPr>
                <w:sz w:val="14"/>
              </w:rPr>
            </w:pPr>
            <w:r>
              <w:rPr>
                <w:w w:val="95"/>
                <w:sz w:val="14"/>
              </w:rPr>
              <w:t>408</w:t>
            </w:r>
          </w:p>
        </w:tc>
        <w:tc>
          <w:tcPr>
            <w:tcW w:w="1037" w:type="dxa"/>
          </w:tcPr>
          <w:p>
            <w:pPr>
              <w:pStyle w:val="TableParagraph"/>
              <w:spacing w:line="152" w:lineRule="exact" w:before="7"/>
              <w:ind w:right="182"/>
              <w:jc w:val="right"/>
              <w:rPr>
                <w:sz w:val="14"/>
              </w:rPr>
            </w:pPr>
            <w:r>
              <w:rPr>
                <w:sz w:val="14"/>
              </w:rPr>
              <w:t>185,417</w:t>
            </w:r>
          </w:p>
        </w:tc>
        <w:tc>
          <w:tcPr>
            <w:tcW w:w="1117" w:type="dxa"/>
          </w:tcPr>
          <w:p>
            <w:pPr>
              <w:pStyle w:val="TableParagraph"/>
              <w:spacing w:line="152" w:lineRule="exact" w:before="7"/>
              <w:ind w:right="263"/>
              <w:jc w:val="right"/>
              <w:rPr>
                <w:sz w:val="14"/>
              </w:rPr>
            </w:pPr>
            <w:r>
              <w:rPr>
                <w:w w:val="95"/>
                <w:sz w:val="14"/>
              </w:rPr>
              <w:t>771</w:t>
            </w:r>
          </w:p>
        </w:tc>
        <w:tc>
          <w:tcPr>
            <w:tcW w:w="1305" w:type="dxa"/>
          </w:tcPr>
          <w:p>
            <w:pPr>
              <w:pStyle w:val="TableParagraph"/>
              <w:spacing w:line="152" w:lineRule="exact" w:before="7"/>
              <w:ind w:right="207"/>
              <w:jc w:val="right"/>
              <w:rPr>
                <w:sz w:val="14"/>
              </w:rPr>
            </w:pPr>
            <w:r>
              <w:rPr>
                <w:sz w:val="14"/>
              </w:rPr>
              <w:t>180,448</w:t>
            </w:r>
          </w:p>
        </w:tc>
      </w:tr>
      <w:tr>
        <w:trPr>
          <w:trHeight w:val="175" w:hRule="atLeast"/>
        </w:trPr>
        <w:tc>
          <w:tcPr>
            <w:tcW w:w="4949" w:type="dxa"/>
          </w:tcPr>
          <w:p>
            <w:pPr>
              <w:pStyle w:val="TableParagraph"/>
              <w:spacing w:line="149" w:lineRule="exact" w:before="5"/>
              <w:ind w:left="200"/>
              <w:rPr>
                <w:sz w:val="14"/>
              </w:rPr>
            </w:pPr>
            <w:r>
              <w:rPr>
                <w:w w:val="105"/>
                <w:sz w:val="14"/>
              </w:rPr>
              <w:t>Total NHS Trade Invoices Paid within target</w:t>
            </w:r>
          </w:p>
        </w:tc>
        <w:tc>
          <w:tcPr>
            <w:tcW w:w="1638" w:type="dxa"/>
          </w:tcPr>
          <w:p>
            <w:pPr>
              <w:pStyle w:val="TableParagraph"/>
              <w:spacing w:line="149" w:lineRule="exact" w:before="5"/>
              <w:ind w:right="183"/>
              <w:jc w:val="right"/>
              <w:rPr>
                <w:sz w:val="14"/>
              </w:rPr>
            </w:pPr>
            <w:r>
              <w:rPr>
                <w:w w:val="95"/>
                <w:sz w:val="14"/>
              </w:rPr>
              <w:t>400</w:t>
            </w:r>
          </w:p>
        </w:tc>
        <w:tc>
          <w:tcPr>
            <w:tcW w:w="1037" w:type="dxa"/>
          </w:tcPr>
          <w:p>
            <w:pPr>
              <w:pStyle w:val="TableParagraph"/>
              <w:spacing w:line="149" w:lineRule="exact" w:before="5"/>
              <w:ind w:right="182"/>
              <w:jc w:val="right"/>
              <w:rPr>
                <w:sz w:val="14"/>
              </w:rPr>
            </w:pPr>
            <w:r>
              <w:rPr>
                <w:sz w:val="14"/>
              </w:rPr>
              <w:t>185,311</w:t>
            </w:r>
          </w:p>
        </w:tc>
        <w:tc>
          <w:tcPr>
            <w:tcW w:w="1117" w:type="dxa"/>
          </w:tcPr>
          <w:p>
            <w:pPr>
              <w:pStyle w:val="TableParagraph"/>
              <w:spacing w:line="149" w:lineRule="exact" w:before="5"/>
              <w:ind w:right="261"/>
              <w:jc w:val="right"/>
              <w:rPr>
                <w:sz w:val="14"/>
              </w:rPr>
            </w:pPr>
            <w:r>
              <w:rPr>
                <w:sz w:val="14"/>
              </w:rPr>
              <w:t>753</w:t>
            </w:r>
          </w:p>
        </w:tc>
        <w:tc>
          <w:tcPr>
            <w:tcW w:w="1305" w:type="dxa"/>
          </w:tcPr>
          <w:p>
            <w:pPr>
              <w:pStyle w:val="TableParagraph"/>
              <w:spacing w:line="149" w:lineRule="exact" w:before="5"/>
              <w:ind w:right="207"/>
              <w:jc w:val="right"/>
              <w:rPr>
                <w:sz w:val="14"/>
              </w:rPr>
            </w:pPr>
            <w:r>
              <w:rPr>
                <w:sz w:val="14"/>
              </w:rPr>
              <w:t>179,897</w:t>
            </w:r>
          </w:p>
        </w:tc>
      </w:tr>
      <w:tr>
        <w:trPr>
          <w:trHeight w:val="164" w:hRule="atLeast"/>
        </w:trPr>
        <w:tc>
          <w:tcPr>
            <w:tcW w:w="4949" w:type="dxa"/>
          </w:tcPr>
          <w:p>
            <w:pPr>
              <w:pStyle w:val="TableParagraph"/>
              <w:spacing w:line="141" w:lineRule="exact" w:before="3"/>
              <w:ind w:left="200"/>
              <w:rPr>
                <w:b/>
                <w:sz w:val="14"/>
              </w:rPr>
            </w:pPr>
            <w:r>
              <w:rPr>
                <w:b/>
                <w:w w:val="105"/>
                <w:sz w:val="14"/>
              </w:rPr>
              <w:t>Percentage of NHS Trade Invoices paid within target</w:t>
            </w:r>
          </w:p>
        </w:tc>
        <w:tc>
          <w:tcPr>
            <w:tcW w:w="1638" w:type="dxa"/>
          </w:tcPr>
          <w:p>
            <w:pPr>
              <w:pStyle w:val="TableParagraph"/>
              <w:spacing w:line="141" w:lineRule="exact" w:before="3"/>
              <w:ind w:right="174"/>
              <w:jc w:val="right"/>
              <w:rPr>
                <w:b/>
                <w:sz w:val="14"/>
              </w:rPr>
            </w:pPr>
            <w:r>
              <w:rPr>
                <w:b/>
                <w:w w:val="95"/>
                <w:sz w:val="14"/>
              </w:rPr>
              <w:t>98.04%</w:t>
            </w:r>
          </w:p>
        </w:tc>
        <w:tc>
          <w:tcPr>
            <w:tcW w:w="1037" w:type="dxa"/>
          </w:tcPr>
          <w:p>
            <w:pPr>
              <w:pStyle w:val="TableParagraph"/>
              <w:spacing w:line="141" w:lineRule="exact" w:before="3"/>
              <w:ind w:right="174"/>
              <w:jc w:val="right"/>
              <w:rPr>
                <w:b/>
                <w:sz w:val="14"/>
              </w:rPr>
            </w:pPr>
            <w:r>
              <w:rPr>
                <w:b/>
                <w:w w:val="95"/>
                <w:sz w:val="14"/>
              </w:rPr>
              <w:t>99.94%</w:t>
            </w:r>
          </w:p>
        </w:tc>
        <w:tc>
          <w:tcPr>
            <w:tcW w:w="1117" w:type="dxa"/>
          </w:tcPr>
          <w:p>
            <w:pPr>
              <w:pStyle w:val="TableParagraph"/>
              <w:spacing w:line="141" w:lineRule="exact" w:before="3"/>
              <w:ind w:right="255"/>
              <w:jc w:val="right"/>
              <w:rPr>
                <w:b/>
                <w:sz w:val="14"/>
              </w:rPr>
            </w:pPr>
            <w:r>
              <w:rPr>
                <w:b/>
                <w:w w:val="95"/>
                <w:sz w:val="14"/>
              </w:rPr>
              <w:t>97.67%</w:t>
            </w:r>
          </w:p>
        </w:tc>
        <w:tc>
          <w:tcPr>
            <w:tcW w:w="1305" w:type="dxa"/>
          </w:tcPr>
          <w:p>
            <w:pPr>
              <w:pStyle w:val="TableParagraph"/>
              <w:spacing w:line="141" w:lineRule="exact" w:before="3"/>
              <w:ind w:right="199"/>
              <w:jc w:val="right"/>
              <w:rPr>
                <w:b/>
                <w:sz w:val="14"/>
              </w:rPr>
            </w:pPr>
            <w:r>
              <w:rPr>
                <w:b/>
                <w:w w:val="95"/>
                <w:sz w:val="14"/>
              </w:rPr>
              <w:t>99.69%</w:t>
            </w:r>
          </w:p>
        </w:tc>
      </w:tr>
    </w:tbl>
    <w:p>
      <w:pPr>
        <w:pStyle w:val="BodyText"/>
        <w:rPr>
          <w:sz w:val="20"/>
        </w:rPr>
      </w:pPr>
    </w:p>
    <w:p>
      <w:pPr>
        <w:pStyle w:val="BodyText"/>
        <w:rPr>
          <w:sz w:val="20"/>
        </w:rPr>
      </w:pPr>
    </w:p>
    <w:p>
      <w:pPr>
        <w:pStyle w:val="BodyText"/>
        <w:rPr>
          <w:sz w:val="20"/>
        </w:rPr>
      </w:pPr>
    </w:p>
    <w:p>
      <w:pPr>
        <w:pStyle w:val="BodyText"/>
        <w:spacing w:before="11"/>
        <w:rPr>
          <w:sz w:val="17"/>
        </w:rPr>
      </w:pPr>
    </w:p>
    <w:p>
      <w:pPr>
        <w:tabs>
          <w:tab w:pos="6882" w:val="left" w:leader="none"/>
          <w:tab w:pos="8456" w:val="right" w:leader="none"/>
        </w:tabs>
        <w:spacing w:before="94"/>
        <w:ind w:left="320" w:right="0" w:firstLine="0"/>
        <w:jc w:val="left"/>
        <w:rPr>
          <w:sz w:val="14"/>
        </w:rPr>
      </w:pPr>
      <w:r>
        <w:rPr>
          <w:b/>
          <w:w w:val="105"/>
          <w:sz w:val="14"/>
        </w:rPr>
        <w:t>6.2</w:t>
      </w:r>
      <w:r>
        <w:rPr>
          <w:b/>
          <w:spacing w:val="-8"/>
          <w:w w:val="105"/>
          <w:sz w:val="14"/>
        </w:rPr>
        <w:t> </w:t>
      </w:r>
      <w:r>
        <w:rPr>
          <w:b/>
          <w:w w:val="105"/>
          <w:sz w:val="14"/>
        </w:rPr>
        <w:t>The</w:t>
      </w:r>
      <w:r>
        <w:rPr>
          <w:b/>
          <w:spacing w:val="-6"/>
          <w:w w:val="105"/>
          <w:sz w:val="14"/>
        </w:rPr>
        <w:t> </w:t>
      </w:r>
      <w:r>
        <w:rPr>
          <w:b/>
          <w:w w:val="105"/>
          <w:sz w:val="14"/>
        </w:rPr>
        <w:t>Late</w:t>
      </w:r>
      <w:r>
        <w:rPr>
          <w:b/>
          <w:spacing w:val="-8"/>
          <w:w w:val="105"/>
          <w:sz w:val="14"/>
        </w:rPr>
        <w:t> </w:t>
      </w:r>
      <w:r>
        <w:rPr>
          <w:b/>
          <w:w w:val="105"/>
          <w:sz w:val="14"/>
        </w:rPr>
        <w:t>Payment</w:t>
      </w:r>
      <w:r>
        <w:rPr>
          <w:b/>
          <w:spacing w:val="-5"/>
          <w:w w:val="105"/>
          <w:sz w:val="14"/>
        </w:rPr>
        <w:t> </w:t>
      </w:r>
      <w:r>
        <w:rPr>
          <w:b/>
          <w:w w:val="105"/>
          <w:sz w:val="14"/>
        </w:rPr>
        <w:t>of</w:t>
      </w:r>
      <w:r>
        <w:rPr>
          <w:b/>
          <w:spacing w:val="-9"/>
          <w:w w:val="105"/>
          <w:sz w:val="14"/>
        </w:rPr>
        <w:t> </w:t>
      </w:r>
      <w:r>
        <w:rPr>
          <w:b/>
          <w:w w:val="105"/>
          <w:sz w:val="14"/>
        </w:rPr>
        <w:t>Commercial</w:t>
      </w:r>
      <w:r>
        <w:rPr>
          <w:b/>
          <w:spacing w:val="-6"/>
          <w:w w:val="105"/>
          <w:sz w:val="14"/>
        </w:rPr>
        <w:t> </w:t>
      </w:r>
      <w:r>
        <w:rPr>
          <w:b/>
          <w:w w:val="105"/>
          <w:sz w:val="14"/>
        </w:rPr>
        <w:t>Debts</w:t>
      </w:r>
      <w:r>
        <w:rPr>
          <w:b/>
          <w:spacing w:val="-8"/>
          <w:w w:val="105"/>
          <w:sz w:val="14"/>
        </w:rPr>
        <w:t> </w:t>
      </w:r>
      <w:r>
        <w:rPr>
          <w:b/>
          <w:w w:val="105"/>
          <w:sz w:val="14"/>
        </w:rPr>
        <w:t>(Interest)</w:t>
      </w:r>
      <w:r>
        <w:rPr>
          <w:b/>
          <w:spacing w:val="-9"/>
          <w:w w:val="105"/>
          <w:sz w:val="14"/>
        </w:rPr>
        <w:t> </w:t>
      </w:r>
      <w:r>
        <w:rPr>
          <w:b/>
          <w:w w:val="105"/>
          <w:sz w:val="14"/>
        </w:rPr>
        <w:t>Act</w:t>
      </w:r>
      <w:r>
        <w:rPr>
          <w:b/>
          <w:spacing w:val="-7"/>
          <w:w w:val="105"/>
          <w:sz w:val="14"/>
        </w:rPr>
        <w:t> </w:t>
      </w:r>
      <w:r>
        <w:rPr>
          <w:b/>
          <w:w w:val="105"/>
          <w:sz w:val="14"/>
        </w:rPr>
        <w:t>1998</w:t>
        <w:tab/>
        <w:t>2021-22</w:t>
        <w:tab/>
      </w:r>
      <w:r>
        <w:rPr>
          <w:w w:val="105"/>
          <w:sz w:val="14"/>
        </w:rPr>
        <w:t>2020-21</w:t>
      </w:r>
    </w:p>
    <w:p>
      <w:pPr>
        <w:tabs>
          <w:tab w:pos="8010" w:val="left" w:leader="none"/>
        </w:tabs>
        <w:spacing w:before="19"/>
        <w:ind w:left="6968" w:right="0" w:firstLine="0"/>
        <w:jc w:val="left"/>
        <w:rPr>
          <w:sz w:val="14"/>
        </w:rPr>
      </w:pPr>
      <w:r>
        <w:rPr>
          <w:b/>
          <w:w w:val="105"/>
          <w:sz w:val="14"/>
        </w:rPr>
        <w:t>£'000</w:t>
        <w:tab/>
      </w:r>
      <w:r>
        <w:rPr>
          <w:w w:val="105"/>
          <w:sz w:val="14"/>
        </w:rPr>
        <w:t>£'000</w:t>
      </w:r>
    </w:p>
    <w:p>
      <w:pPr>
        <w:tabs>
          <w:tab w:pos="6692" w:val="left" w:leader="none"/>
          <w:tab w:pos="7511" w:val="left" w:leader="none"/>
          <w:tab w:pos="8547" w:val="left" w:leader="none"/>
        </w:tabs>
        <w:spacing w:line="268" w:lineRule="auto" w:before="199"/>
        <w:ind w:left="320" w:right="2053" w:firstLine="0"/>
        <w:jc w:val="left"/>
        <w:rPr>
          <w:sz w:val="14"/>
        </w:rPr>
      </w:pPr>
      <w:r>
        <w:rPr>
          <w:w w:val="105"/>
          <w:sz w:val="14"/>
        </w:rPr>
        <w:t>Amounts included in finance costs from claims made under</w:t>
      </w:r>
      <w:r>
        <w:rPr>
          <w:spacing w:val="-23"/>
          <w:w w:val="105"/>
          <w:sz w:val="14"/>
        </w:rPr>
        <w:t> </w:t>
      </w:r>
      <w:r>
        <w:rPr>
          <w:w w:val="105"/>
          <w:sz w:val="14"/>
        </w:rPr>
        <w:t>this</w:t>
      </w:r>
      <w:r>
        <w:rPr>
          <w:spacing w:val="-4"/>
          <w:w w:val="105"/>
          <w:sz w:val="14"/>
        </w:rPr>
        <w:t> </w:t>
      </w:r>
      <w:r>
        <w:rPr>
          <w:w w:val="105"/>
          <w:sz w:val="14"/>
        </w:rPr>
        <w:t>legislation</w:t>
        <w:tab/>
        <w:tab/>
        <w:t>-</w:t>
        <w:tab/>
      </w:r>
      <w:r>
        <w:rPr>
          <w:spacing w:val="-17"/>
          <w:w w:val="105"/>
          <w:sz w:val="14"/>
        </w:rPr>
        <w:t>- </w:t>
      </w:r>
      <w:r>
        <w:rPr>
          <w:w w:val="105"/>
          <w:sz w:val="14"/>
        </w:rPr>
        <w:t>Compensation paid to cover debt recovery costs under</w:t>
      </w:r>
      <w:r>
        <w:rPr>
          <w:spacing w:val="-27"/>
          <w:w w:val="105"/>
          <w:sz w:val="14"/>
        </w:rPr>
        <w:t> </w:t>
      </w:r>
      <w:r>
        <w:rPr>
          <w:w w:val="105"/>
          <w:sz w:val="14"/>
        </w:rPr>
        <w:t>this</w:t>
      </w:r>
      <w:r>
        <w:rPr>
          <w:spacing w:val="-3"/>
          <w:w w:val="105"/>
          <w:sz w:val="14"/>
        </w:rPr>
        <w:t> </w:t>
      </w:r>
      <w:r>
        <w:rPr>
          <w:w w:val="105"/>
          <w:sz w:val="14"/>
        </w:rPr>
        <w:t>legislation</w:t>
        <w:tab/>
      </w:r>
      <w:r>
        <w:rPr>
          <w:w w:val="105"/>
          <w:sz w:val="14"/>
          <w:u w:val="single"/>
        </w:rPr>
        <w:t> </w:t>
        <w:tab/>
        <w:t>-</w:t>
        <w:tab/>
      </w:r>
      <w:r>
        <w:rPr>
          <w:spacing w:val="-17"/>
          <w:w w:val="105"/>
          <w:sz w:val="14"/>
          <w:u w:val="single"/>
        </w:rPr>
        <w:t>-</w:t>
      </w:r>
    </w:p>
    <w:p>
      <w:pPr>
        <w:tabs>
          <w:tab w:pos="6692" w:val="left" w:leader="none"/>
          <w:tab w:pos="7511" w:val="left" w:leader="none"/>
          <w:tab w:pos="8548" w:val="left" w:leader="none"/>
        </w:tabs>
        <w:spacing w:line="156" w:lineRule="exact" w:before="0"/>
        <w:ind w:left="320" w:right="0" w:firstLine="0"/>
        <w:jc w:val="left"/>
        <w:rPr>
          <w:b/>
          <w:sz w:val="14"/>
        </w:rPr>
      </w:pPr>
      <w:r>
        <w:rPr>
          <w:b/>
          <w:w w:val="105"/>
          <w:sz w:val="14"/>
        </w:rPr>
        <w:t>Total</w:t>
        <w:tab/>
      </w:r>
      <w:r>
        <w:rPr>
          <w:b/>
          <w:w w:val="105"/>
          <w:sz w:val="14"/>
          <w:u w:val="single"/>
        </w:rPr>
        <w:t> </w:t>
        <w:tab/>
        <w:t>-</w:t>
        <w:tab/>
        <w:t>-</w:t>
      </w:r>
    </w:p>
    <w:p>
      <w:pPr>
        <w:spacing w:after="0" w:line="156" w:lineRule="exact"/>
        <w:jc w:val="left"/>
        <w:rPr>
          <w:sz w:val="14"/>
        </w:rPr>
        <w:sectPr>
          <w:pgSz w:w="11920" w:h="16850"/>
          <w:pgMar w:header="0" w:footer="429" w:top="1080" w:bottom="640" w:left="740" w:right="520"/>
        </w:sectPr>
      </w:pPr>
    </w:p>
    <w:p>
      <w:pPr>
        <w:spacing w:before="76"/>
        <w:ind w:left="313" w:right="0" w:firstLine="0"/>
        <w:jc w:val="left"/>
        <w:rPr>
          <w:sz w:val="10"/>
        </w:rPr>
      </w:pPr>
      <w:r>
        <w:rPr>
          <w:sz w:val="10"/>
        </w:rPr>
        <w:t>NHS North Lincolnshire CCG - Annual Accounts 2021-22</w:t>
      </w:r>
    </w:p>
    <w:p>
      <w:pPr>
        <w:pStyle w:val="BodyText"/>
        <w:rPr>
          <w:sz w:val="10"/>
        </w:rPr>
      </w:pPr>
    </w:p>
    <w:p>
      <w:pPr>
        <w:pStyle w:val="BodyText"/>
        <w:rPr>
          <w:sz w:val="10"/>
        </w:rPr>
      </w:pPr>
    </w:p>
    <w:p>
      <w:pPr>
        <w:pStyle w:val="BodyText"/>
        <w:rPr>
          <w:sz w:val="10"/>
        </w:rPr>
      </w:pPr>
    </w:p>
    <w:p>
      <w:pPr>
        <w:pStyle w:val="ListParagraph"/>
        <w:numPr>
          <w:ilvl w:val="0"/>
          <w:numId w:val="32"/>
        </w:numPr>
        <w:tabs>
          <w:tab w:pos="429" w:val="left" w:leader="none"/>
        </w:tabs>
        <w:spacing w:line="240" w:lineRule="auto" w:before="68" w:after="0"/>
        <w:ind w:left="428" w:right="0" w:hanging="118"/>
        <w:jc w:val="left"/>
        <w:rPr>
          <w:b/>
          <w:sz w:val="10"/>
        </w:rPr>
      </w:pPr>
      <w:r>
        <w:rPr>
          <w:b/>
          <w:w w:val="105"/>
          <w:sz w:val="10"/>
        </w:rPr>
        <w:t>Operating</w:t>
      </w:r>
      <w:r>
        <w:rPr>
          <w:b/>
          <w:spacing w:val="-4"/>
          <w:w w:val="105"/>
          <w:sz w:val="10"/>
        </w:rPr>
        <w:t> </w:t>
      </w:r>
      <w:r>
        <w:rPr>
          <w:b/>
          <w:w w:val="105"/>
          <w:sz w:val="10"/>
        </w:rPr>
        <w:t>Leases</w:t>
      </w:r>
    </w:p>
    <w:p>
      <w:pPr>
        <w:pStyle w:val="BodyText"/>
        <w:rPr>
          <w:b/>
          <w:sz w:val="10"/>
        </w:rPr>
      </w:pPr>
    </w:p>
    <w:p>
      <w:pPr>
        <w:pStyle w:val="ListParagraph"/>
        <w:numPr>
          <w:ilvl w:val="1"/>
          <w:numId w:val="32"/>
        </w:numPr>
        <w:tabs>
          <w:tab w:pos="487" w:val="left" w:leader="none"/>
        </w:tabs>
        <w:spacing w:line="240" w:lineRule="auto" w:before="70" w:after="0"/>
        <w:ind w:left="486" w:right="0" w:hanging="176"/>
        <w:jc w:val="left"/>
        <w:rPr>
          <w:b/>
          <w:sz w:val="10"/>
        </w:rPr>
      </w:pPr>
      <w:r>
        <w:rPr>
          <w:b/>
          <w:w w:val="105"/>
          <w:sz w:val="10"/>
        </w:rPr>
        <w:t>As</w:t>
      </w:r>
      <w:r>
        <w:rPr>
          <w:b/>
          <w:spacing w:val="-3"/>
          <w:w w:val="105"/>
          <w:sz w:val="10"/>
        </w:rPr>
        <w:t> </w:t>
      </w:r>
      <w:r>
        <w:rPr>
          <w:b/>
          <w:w w:val="105"/>
          <w:sz w:val="10"/>
        </w:rPr>
        <w:t>lessee</w:t>
      </w:r>
    </w:p>
    <w:p>
      <w:pPr>
        <w:spacing w:before="17"/>
        <w:ind w:left="313" w:right="0" w:firstLine="0"/>
        <w:jc w:val="left"/>
        <w:rPr>
          <w:sz w:val="10"/>
        </w:rPr>
      </w:pPr>
      <w:r>
        <w:rPr>
          <w:sz w:val="10"/>
        </w:rPr>
        <w:t>North Lincolnshire CCG has lease arrangements with NHS Property Services for the building it occupies.</w:t>
      </w:r>
    </w:p>
    <w:p>
      <w:pPr>
        <w:pStyle w:val="BodyText"/>
        <w:rPr>
          <w:sz w:val="20"/>
        </w:rPr>
      </w:pPr>
    </w:p>
    <w:p>
      <w:pPr>
        <w:pStyle w:val="BodyText"/>
        <w:spacing w:before="9"/>
        <w:rPr>
          <w:sz w:val="20"/>
        </w:rPr>
      </w:pPr>
    </w:p>
    <w:tbl>
      <w:tblPr>
        <w:tblW w:w="0" w:type="auto"/>
        <w:jc w:val="left"/>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47"/>
        <w:gridCol w:w="1278"/>
        <w:gridCol w:w="783"/>
        <w:gridCol w:w="1081"/>
        <w:gridCol w:w="756"/>
        <w:gridCol w:w="1099"/>
        <w:gridCol w:w="773"/>
        <w:gridCol w:w="894"/>
      </w:tblGrid>
      <w:tr>
        <w:trPr>
          <w:trHeight w:val="116" w:hRule="atLeast"/>
        </w:trPr>
        <w:tc>
          <w:tcPr>
            <w:tcW w:w="3047" w:type="dxa"/>
          </w:tcPr>
          <w:p>
            <w:pPr>
              <w:pStyle w:val="TableParagraph"/>
              <w:spacing w:line="96" w:lineRule="exact"/>
              <w:ind w:left="101"/>
              <w:rPr>
                <w:b/>
                <w:sz w:val="10"/>
              </w:rPr>
            </w:pPr>
            <w:r>
              <w:rPr>
                <w:b/>
                <w:w w:val="105"/>
                <w:sz w:val="10"/>
              </w:rPr>
              <w:t>7.1.1 Payments recognised as an Expense</w:t>
            </w:r>
          </w:p>
        </w:tc>
        <w:tc>
          <w:tcPr>
            <w:tcW w:w="1278" w:type="dxa"/>
          </w:tcPr>
          <w:p>
            <w:pPr>
              <w:pStyle w:val="TableParagraph"/>
              <w:rPr>
                <w:rFonts w:ascii="Times New Roman"/>
                <w:sz w:val="6"/>
              </w:rPr>
            </w:pPr>
          </w:p>
        </w:tc>
        <w:tc>
          <w:tcPr>
            <w:tcW w:w="783" w:type="dxa"/>
          </w:tcPr>
          <w:p>
            <w:pPr>
              <w:pStyle w:val="TableParagraph"/>
              <w:rPr>
                <w:rFonts w:ascii="Times New Roman"/>
                <w:sz w:val="6"/>
              </w:rPr>
            </w:pPr>
          </w:p>
        </w:tc>
        <w:tc>
          <w:tcPr>
            <w:tcW w:w="1081" w:type="dxa"/>
            <w:vMerge w:val="restart"/>
          </w:tcPr>
          <w:p>
            <w:pPr>
              <w:pStyle w:val="TableParagraph"/>
              <w:spacing w:line="112" w:lineRule="exact"/>
              <w:ind w:left="277" w:right="378"/>
              <w:jc w:val="center"/>
              <w:rPr>
                <w:b/>
                <w:sz w:val="10"/>
              </w:rPr>
            </w:pPr>
            <w:r>
              <w:rPr>
                <w:b/>
                <w:w w:val="105"/>
                <w:sz w:val="10"/>
              </w:rPr>
              <w:t>2021-22</w:t>
            </w:r>
          </w:p>
          <w:p>
            <w:pPr>
              <w:pStyle w:val="TableParagraph"/>
              <w:spacing w:line="105" w:lineRule="exact" w:before="5"/>
              <w:ind w:left="277" w:right="377"/>
              <w:jc w:val="center"/>
              <w:rPr>
                <w:b/>
                <w:sz w:val="10"/>
              </w:rPr>
            </w:pPr>
            <w:r>
              <w:rPr>
                <w:b/>
                <w:w w:val="105"/>
                <w:sz w:val="10"/>
              </w:rPr>
              <w:t>Total</w:t>
            </w:r>
          </w:p>
        </w:tc>
        <w:tc>
          <w:tcPr>
            <w:tcW w:w="756" w:type="dxa"/>
          </w:tcPr>
          <w:p>
            <w:pPr>
              <w:pStyle w:val="TableParagraph"/>
              <w:rPr>
                <w:rFonts w:ascii="Times New Roman"/>
                <w:sz w:val="6"/>
              </w:rPr>
            </w:pPr>
          </w:p>
        </w:tc>
        <w:tc>
          <w:tcPr>
            <w:tcW w:w="1099" w:type="dxa"/>
          </w:tcPr>
          <w:p>
            <w:pPr>
              <w:pStyle w:val="TableParagraph"/>
              <w:rPr>
                <w:rFonts w:ascii="Times New Roman"/>
                <w:sz w:val="6"/>
              </w:rPr>
            </w:pPr>
          </w:p>
        </w:tc>
        <w:tc>
          <w:tcPr>
            <w:tcW w:w="773" w:type="dxa"/>
          </w:tcPr>
          <w:p>
            <w:pPr>
              <w:pStyle w:val="TableParagraph"/>
              <w:rPr>
                <w:rFonts w:ascii="Times New Roman"/>
                <w:sz w:val="6"/>
              </w:rPr>
            </w:pPr>
          </w:p>
        </w:tc>
        <w:tc>
          <w:tcPr>
            <w:tcW w:w="894" w:type="dxa"/>
            <w:vMerge w:val="restart"/>
          </w:tcPr>
          <w:p>
            <w:pPr>
              <w:pStyle w:val="TableParagraph"/>
              <w:spacing w:line="112" w:lineRule="exact"/>
              <w:ind w:left="304"/>
              <w:rPr>
                <w:b/>
                <w:sz w:val="10"/>
              </w:rPr>
            </w:pPr>
            <w:r>
              <w:rPr>
                <w:b/>
                <w:w w:val="105"/>
                <w:sz w:val="10"/>
              </w:rPr>
              <w:t>2020-21</w:t>
            </w:r>
          </w:p>
          <w:p>
            <w:pPr>
              <w:pStyle w:val="TableParagraph"/>
              <w:spacing w:line="105" w:lineRule="exact" w:before="5"/>
              <w:ind w:left="368"/>
              <w:rPr>
                <w:b/>
                <w:sz w:val="10"/>
              </w:rPr>
            </w:pPr>
            <w:r>
              <w:rPr>
                <w:b/>
                <w:w w:val="105"/>
                <w:sz w:val="10"/>
              </w:rPr>
              <w:t>Total</w:t>
            </w:r>
          </w:p>
        </w:tc>
      </w:tr>
      <w:tr>
        <w:trPr>
          <w:trHeight w:val="125" w:hRule="atLeast"/>
        </w:trPr>
        <w:tc>
          <w:tcPr>
            <w:tcW w:w="3047" w:type="dxa"/>
          </w:tcPr>
          <w:p>
            <w:pPr>
              <w:pStyle w:val="TableParagraph"/>
              <w:spacing w:line="105" w:lineRule="exact" w:before="1"/>
              <w:ind w:right="106"/>
              <w:jc w:val="right"/>
              <w:rPr>
                <w:b/>
                <w:sz w:val="10"/>
              </w:rPr>
            </w:pPr>
            <w:r>
              <w:rPr>
                <w:b/>
                <w:w w:val="105"/>
                <w:sz w:val="10"/>
              </w:rPr>
              <w:t>Land</w:t>
            </w:r>
          </w:p>
        </w:tc>
        <w:tc>
          <w:tcPr>
            <w:tcW w:w="1278" w:type="dxa"/>
          </w:tcPr>
          <w:p>
            <w:pPr>
              <w:pStyle w:val="TableParagraph"/>
              <w:spacing w:line="105" w:lineRule="exact" w:before="1"/>
              <w:ind w:left="450"/>
              <w:rPr>
                <w:b/>
                <w:sz w:val="10"/>
              </w:rPr>
            </w:pPr>
            <w:r>
              <w:rPr>
                <w:b/>
                <w:w w:val="105"/>
                <w:sz w:val="10"/>
              </w:rPr>
              <w:t>Buildings</w:t>
            </w:r>
          </w:p>
        </w:tc>
        <w:tc>
          <w:tcPr>
            <w:tcW w:w="783" w:type="dxa"/>
          </w:tcPr>
          <w:p>
            <w:pPr>
              <w:pStyle w:val="TableParagraph"/>
              <w:spacing w:line="105" w:lineRule="exact" w:before="1"/>
              <w:ind w:left="204"/>
              <w:rPr>
                <w:b/>
                <w:sz w:val="10"/>
              </w:rPr>
            </w:pPr>
            <w:r>
              <w:rPr>
                <w:b/>
                <w:w w:val="105"/>
                <w:sz w:val="10"/>
              </w:rPr>
              <w:t>Other</w:t>
            </w:r>
          </w:p>
        </w:tc>
        <w:tc>
          <w:tcPr>
            <w:tcW w:w="1081" w:type="dxa"/>
            <w:vMerge/>
            <w:tcBorders>
              <w:top w:val="nil"/>
            </w:tcBorders>
          </w:tcPr>
          <w:p>
            <w:pPr>
              <w:rPr>
                <w:sz w:val="2"/>
                <w:szCs w:val="2"/>
              </w:rPr>
            </w:pPr>
          </w:p>
        </w:tc>
        <w:tc>
          <w:tcPr>
            <w:tcW w:w="756" w:type="dxa"/>
          </w:tcPr>
          <w:p>
            <w:pPr>
              <w:pStyle w:val="TableParagraph"/>
              <w:spacing w:line="105" w:lineRule="exact" w:before="1"/>
              <w:ind w:left="222"/>
              <w:rPr>
                <w:sz w:val="10"/>
              </w:rPr>
            </w:pPr>
            <w:r>
              <w:rPr>
                <w:sz w:val="10"/>
              </w:rPr>
              <w:t>Land</w:t>
            </w:r>
          </w:p>
        </w:tc>
        <w:tc>
          <w:tcPr>
            <w:tcW w:w="1099" w:type="dxa"/>
          </w:tcPr>
          <w:p>
            <w:pPr>
              <w:pStyle w:val="TableParagraph"/>
              <w:spacing w:line="105" w:lineRule="exact" w:before="1"/>
              <w:ind w:left="282" w:right="370"/>
              <w:jc w:val="center"/>
              <w:rPr>
                <w:sz w:val="10"/>
              </w:rPr>
            </w:pPr>
            <w:r>
              <w:rPr>
                <w:sz w:val="10"/>
              </w:rPr>
              <w:t>Buildings</w:t>
            </w:r>
          </w:p>
        </w:tc>
        <w:tc>
          <w:tcPr>
            <w:tcW w:w="773" w:type="dxa"/>
          </w:tcPr>
          <w:p>
            <w:pPr>
              <w:pStyle w:val="TableParagraph"/>
              <w:spacing w:line="105" w:lineRule="exact" w:before="1"/>
              <w:ind w:left="208"/>
              <w:rPr>
                <w:sz w:val="10"/>
              </w:rPr>
            </w:pPr>
            <w:r>
              <w:rPr>
                <w:sz w:val="10"/>
              </w:rPr>
              <w:t>Other</w:t>
            </w:r>
          </w:p>
        </w:tc>
        <w:tc>
          <w:tcPr>
            <w:tcW w:w="894" w:type="dxa"/>
            <w:vMerge/>
            <w:tcBorders>
              <w:top w:val="nil"/>
            </w:tcBorders>
          </w:tcPr>
          <w:p>
            <w:pPr>
              <w:rPr>
                <w:sz w:val="2"/>
                <w:szCs w:val="2"/>
              </w:rPr>
            </w:pPr>
          </w:p>
        </w:tc>
      </w:tr>
      <w:tr>
        <w:trPr>
          <w:trHeight w:val="130" w:hRule="atLeast"/>
        </w:trPr>
        <w:tc>
          <w:tcPr>
            <w:tcW w:w="3047" w:type="dxa"/>
          </w:tcPr>
          <w:p>
            <w:pPr>
              <w:pStyle w:val="TableParagraph"/>
              <w:spacing w:line="104" w:lineRule="exact" w:before="7"/>
              <w:ind w:right="108"/>
              <w:jc w:val="right"/>
              <w:rPr>
                <w:b/>
                <w:sz w:val="10"/>
              </w:rPr>
            </w:pPr>
            <w:r>
              <w:rPr>
                <w:b/>
                <w:w w:val="105"/>
                <w:sz w:val="10"/>
              </w:rPr>
              <w:t>£'000</w:t>
            </w:r>
          </w:p>
        </w:tc>
        <w:tc>
          <w:tcPr>
            <w:tcW w:w="1278" w:type="dxa"/>
          </w:tcPr>
          <w:p>
            <w:pPr>
              <w:pStyle w:val="TableParagraph"/>
              <w:spacing w:line="104" w:lineRule="exact" w:before="7"/>
              <w:ind w:left="540" w:right="439"/>
              <w:jc w:val="center"/>
              <w:rPr>
                <w:b/>
                <w:sz w:val="10"/>
              </w:rPr>
            </w:pPr>
            <w:r>
              <w:rPr>
                <w:b/>
                <w:w w:val="105"/>
                <w:sz w:val="10"/>
              </w:rPr>
              <w:t>£'000</w:t>
            </w:r>
          </w:p>
        </w:tc>
        <w:tc>
          <w:tcPr>
            <w:tcW w:w="783" w:type="dxa"/>
          </w:tcPr>
          <w:p>
            <w:pPr>
              <w:pStyle w:val="TableParagraph"/>
              <w:spacing w:line="104" w:lineRule="exact" w:before="7"/>
              <w:ind w:left="212"/>
              <w:rPr>
                <w:b/>
                <w:sz w:val="10"/>
              </w:rPr>
            </w:pPr>
            <w:r>
              <w:rPr>
                <w:b/>
                <w:w w:val="105"/>
                <w:sz w:val="10"/>
              </w:rPr>
              <w:t>£'000</w:t>
            </w:r>
          </w:p>
        </w:tc>
        <w:tc>
          <w:tcPr>
            <w:tcW w:w="1081" w:type="dxa"/>
          </w:tcPr>
          <w:p>
            <w:pPr>
              <w:pStyle w:val="TableParagraph"/>
              <w:spacing w:line="104" w:lineRule="exact" w:before="7"/>
              <w:ind w:left="357"/>
              <w:rPr>
                <w:b/>
                <w:sz w:val="10"/>
              </w:rPr>
            </w:pPr>
            <w:r>
              <w:rPr>
                <w:b/>
                <w:w w:val="105"/>
                <w:sz w:val="10"/>
              </w:rPr>
              <w:t>£'000</w:t>
            </w:r>
          </w:p>
        </w:tc>
        <w:tc>
          <w:tcPr>
            <w:tcW w:w="756" w:type="dxa"/>
          </w:tcPr>
          <w:p>
            <w:pPr>
              <w:pStyle w:val="TableParagraph"/>
              <w:spacing w:line="104" w:lineRule="exact" w:before="7"/>
              <w:ind w:left="210"/>
              <w:rPr>
                <w:sz w:val="10"/>
              </w:rPr>
            </w:pPr>
            <w:r>
              <w:rPr>
                <w:sz w:val="10"/>
              </w:rPr>
              <w:t>£'000</w:t>
            </w:r>
          </w:p>
        </w:tc>
        <w:tc>
          <w:tcPr>
            <w:tcW w:w="1099" w:type="dxa"/>
          </w:tcPr>
          <w:p>
            <w:pPr>
              <w:pStyle w:val="TableParagraph"/>
              <w:spacing w:line="104" w:lineRule="exact" w:before="7"/>
              <w:ind w:left="282" w:right="365"/>
              <w:jc w:val="center"/>
              <w:rPr>
                <w:sz w:val="10"/>
              </w:rPr>
            </w:pPr>
            <w:r>
              <w:rPr>
                <w:sz w:val="10"/>
              </w:rPr>
              <w:t>£'000</w:t>
            </w:r>
          </w:p>
        </w:tc>
        <w:tc>
          <w:tcPr>
            <w:tcW w:w="773" w:type="dxa"/>
          </w:tcPr>
          <w:p>
            <w:pPr>
              <w:pStyle w:val="TableParagraph"/>
              <w:spacing w:line="104" w:lineRule="exact" w:before="7"/>
              <w:ind w:left="210"/>
              <w:rPr>
                <w:sz w:val="10"/>
              </w:rPr>
            </w:pPr>
            <w:r>
              <w:rPr>
                <w:sz w:val="10"/>
              </w:rPr>
              <w:t>£'000</w:t>
            </w:r>
          </w:p>
        </w:tc>
        <w:tc>
          <w:tcPr>
            <w:tcW w:w="894" w:type="dxa"/>
          </w:tcPr>
          <w:p>
            <w:pPr>
              <w:pStyle w:val="TableParagraph"/>
              <w:spacing w:line="104" w:lineRule="exact" w:before="7"/>
              <w:ind w:left="366"/>
              <w:rPr>
                <w:b/>
                <w:sz w:val="10"/>
              </w:rPr>
            </w:pPr>
            <w:r>
              <w:rPr>
                <w:b/>
                <w:w w:val="105"/>
                <w:sz w:val="10"/>
              </w:rPr>
              <w:t>£'000</w:t>
            </w:r>
          </w:p>
        </w:tc>
      </w:tr>
      <w:tr>
        <w:trPr>
          <w:trHeight w:val="130" w:hRule="atLeast"/>
        </w:trPr>
        <w:tc>
          <w:tcPr>
            <w:tcW w:w="3047" w:type="dxa"/>
          </w:tcPr>
          <w:p>
            <w:pPr>
              <w:pStyle w:val="TableParagraph"/>
              <w:spacing w:line="105" w:lineRule="exact" w:before="6"/>
              <w:ind w:left="101"/>
              <w:rPr>
                <w:b/>
                <w:sz w:val="10"/>
              </w:rPr>
            </w:pPr>
            <w:r>
              <w:rPr>
                <w:b/>
                <w:w w:val="105"/>
                <w:sz w:val="10"/>
              </w:rPr>
              <w:t>Payments recognised as an expense</w:t>
            </w:r>
          </w:p>
        </w:tc>
        <w:tc>
          <w:tcPr>
            <w:tcW w:w="1278" w:type="dxa"/>
          </w:tcPr>
          <w:p>
            <w:pPr>
              <w:pStyle w:val="TableParagraph"/>
              <w:rPr>
                <w:rFonts w:ascii="Times New Roman"/>
                <w:sz w:val="6"/>
              </w:rPr>
            </w:pPr>
          </w:p>
        </w:tc>
        <w:tc>
          <w:tcPr>
            <w:tcW w:w="783" w:type="dxa"/>
          </w:tcPr>
          <w:p>
            <w:pPr>
              <w:pStyle w:val="TableParagraph"/>
              <w:rPr>
                <w:rFonts w:ascii="Times New Roman"/>
                <w:sz w:val="6"/>
              </w:rPr>
            </w:pPr>
          </w:p>
        </w:tc>
        <w:tc>
          <w:tcPr>
            <w:tcW w:w="1081" w:type="dxa"/>
          </w:tcPr>
          <w:p>
            <w:pPr>
              <w:pStyle w:val="TableParagraph"/>
              <w:rPr>
                <w:rFonts w:ascii="Times New Roman"/>
                <w:sz w:val="6"/>
              </w:rPr>
            </w:pPr>
          </w:p>
        </w:tc>
        <w:tc>
          <w:tcPr>
            <w:tcW w:w="756" w:type="dxa"/>
          </w:tcPr>
          <w:p>
            <w:pPr>
              <w:pStyle w:val="TableParagraph"/>
              <w:rPr>
                <w:rFonts w:ascii="Times New Roman"/>
                <w:sz w:val="6"/>
              </w:rPr>
            </w:pPr>
          </w:p>
        </w:tc>
        <w:tc>
          <w:tcPr>
            <w:tcW w:w="1099" w:type="dxa"/>
          </w:tcPr>
          <w:p>
            <w:pPr>
              <w:pStyle w:val="TableParagraph"/>
              <w:rPr>
                <w:rFonts w:ascii="Times New Roman"/>
                <w:sz w:val="6"/>
              </w:rPr>
            </w:pPr>
          </w:p>
        </w:tc>
        <w:tc>
          <w:tcPr>
            <w:tcW w:w="773" w:type="dxa"/>
          </w:tcPr>
          <w:p>
            <w:pPr>
              <w:pStyle w:val="TableParagraph"/>
              <w:rPr>
                <w:rFonts w:ascii="Times New Roman"/>
                <w:sz w:val="6"/>
              </w:rPr>
            </w:pPr>
          </w:p>
        </w:tc>
        <w:tc>
          <w:tcPr>
            <w:tcW w:w="894" w:type="dxa"/>
          </w:tcPr>
          <w:p>
            <w:pPr>
              <w:pStyle w:val="TableParagraph"/>
              <w:rPr>
                <w:rFonts w:ascii="Times New Roman"/>
                <w:sz w:val="6"/>
              </w:rPr>
            </w:pPr>
          </w:p>
        </w:tc>
      </w:tr>
      <w:tr>
        <w:trPr>
          <w:trHeight w:val="130" w:hRule="atLeast"/>
        </w:trPr>
        <w:tc>
          <w:tcPr>
            <w:tcW w:w="3047" w:type="dxa"/>
          </w:tcPr>
          <w:p>
            <w:pPr>
              <w:pStyle w:val="TableParagraph"/>
              <w:spacing w:line="104" w:lineRule="exact" w:before="7"/>
              <w:ind w:left="101"/>
              <w:rPr>
                <w:sz w:val="10"/>
              </w:rPr>
            </w:pPr>
            <w:r>
              <w:rPr>
                <w:sz w:val="10"/>
              </w:rPr>
              <w:t>Minimum lease payments</w:t>
            </w:r>
          </w:p>
        </w:tc>
        <w:tc>
          <w:tcPr>
            <w:tcW w:w="1278" w:type="dxa"/>
          </w:tcPr>
          <w:p>
            <w:pPr>
              <w:pStyle w:val="TableParagraph"/>
              <w:tabs>
                <w:tab w:pos="899" w:val="left" w:leader="none"/>
              </w:tabs>
              <w:spacing w:line="104" w:lineRule="exact" w:before="7"/>
              <w:ind w:left="107"/>
              <w:rPr>
                <w:sz w:val="10"/>
              </w:rPr>
            </w:pPr>
            <w:r>
              <w:rPr>
                <w:sz w:val="10"/>
              </w:rPr>
              <w:t>-</w:t>
              <w:tab/>
              <w:t>155</w:t>
            </w:r>
          </w:p>
        </w:tc>
        <w:tc>
          <w:tcPr>
            <w:tcW w:w="1864" w:type="dxa"/>
            <w:gridSpan w:val="2"/>
          </w:tcPr>
          <w:p>
            <w:pPr>
              <w:pStyle w:val="TableParagraph"/>
              <w:tabs>
                <w:tab w:pos="1479" w:val="left" w:leader="none"/>
              </w:tabs>
              <w:spacing w:line="104" w:lineRule="exact" w:before="7"/>
              <w:ind w:left="687"/>
              <w:rPr>
                <w:b/>
                <w:sz w:val="10"/>
              </w:rPr>
            </w:pPr>
            <w:r>
              <w:rPr>
                <w:w w:val="105"/>
                <w:sz w:val="10"/>
              </w:rPr>
              <w:t>-</w:t>
              <w:tab/>
            </w:r>
            <w:r>
              <w:rPr>
                <w:b/>
                <w:spacing w:val="-2"/>
                <w:w w:val="105"/>
                <w:sz w:val="10"/>
              </w:rPr>
              <w:t>155</w:t>
            </w:r>
          </w:p>
        </w:tc>
        <w:tc>
          <w:tcPr>
            <w:tcW w:w="1855" w:type="dxa"/>
            <w:gridSpan w:val="2"/>
          </w:tcPr>
          <w:p>
            <w:pPr>
              <w:pStyle w:val="TableParagraph"/>
              <w:tabs>
                <w:tab w:pos="1472" w:val="left" w:leader="none"/>
              </w:tabs>
              <w:spacing w:line="104" w:lineRule="exact" w:before="7"/>
              <w:ind w:left="680"/>
              <w:rPr>
                <w:sz w:val="10"/>
              </w:rPr>
            </w:pPr>
            <w:r>
              <w:rPr>
                <w:sz w:val="10"/>
              </w:rPr>
              <w:t>-</w:t>
              <w:tab/>
              <w:t>273</w:t>
            </w:r>
          </w:p>
        </w:tc>
        <w:tc>
          <w:tcPr>
            <w:tcW w:w="1667" w:type="dxa"/>
            <w:gridSpan w:val="2"/>
          </w:tcPr>
          <w:p>
            <w:pPr>
              <w:pStyle w:val="TableParagraph"/>
              <w:tabs>
                <w:tab w:pos="1480" w:val="left" w:leader="none"/>
              </w:tabs>
              <w:spacing w:line="104" w:lineRule="exact" w:before="7"/>
              <w:ind w:left="688"/>
              <w:rPr>
                <w:b/>
                <w:sz w:val="10"/>
              </w:rPr>
            </w:pPr>
            <w:r>
              <w:rPr>
                <w:w w:val="105"/>
                <w:sz w:val="10"/>
              </w:rPr>
              <w:t>-</w:t>
              <w:tab/>
            </w:r>
            <w:r>
              <w:rPr>
                <w:b/>
                <w:spacing w:val="-2"/>
                <w:w w:val="105"/>
                <w:sz w:val="10"/>
              </w:rPr>
              <w:t>273</w:t>
            </w:r>
          </w:p>
        </w:tc>
      </w:tr>
      <w:tr>
        <w:trPr>
          <w:trHeight w:val="254" w:hRule="atLeast"/>
        </w:trPr>
        <w:tc>
          <w:tcPr>
            <w:tcW w:w="3047" w:type="dxa"/>
            <w:tcBorders>
              <w:bottom w:val="single" w:sz="4" w:space="0" w:color="000000"/>
            </w:tcBorders>
          </w:tcPr>
          <w:p>
            <w:pPr>
              <w:pStyle w:val="TableParagraph"/>
              <w:spacing w:before="6"/>
              <w:ind w:left="101"/>
              <w:rPr>
                <w:sz w:val="10"/>
              </w:rPr>
            </w:pPr>
            <w:r>
              <w:rPr>
                <w:sz w:val="10"/>
              </w:rPr>
              <w:t>Contingent rents</w:t>
            </w:r>
          </w:p>
          <w:p>
            <w:pPr>
              <w:pStyle w:val="TableParagraph"/>
              <w:spacing w:line="82" w:lineRule="exact" w:before="31"/>
              <w:ind w:left="94"/>
              <w:rPr>
                <w:sz w:val="10"/>
              </w:rPr>
            </w:pPr>
            <w:r>
              <w:rPr>
                <w:sz w:val="10"/>
              </w:rPr>
              <w:t>Sub-lease payments</w:t>
            </w:r>
          </w:p>
        </w:tc>
        <w:tc>
          <w:tcPr>
            <w:tcW w:w="1278" w:type="dxa"/>
            <w:tcBorders>
              <w:bottom w:val="single" w:sz="4" w:space="0" w:color="000000"/>
            </w:tcBorders>
          </w:tcPr>
          <w:p>
            <w:pPr>
              <w:pStyle w:val="TableParagraph"/>
              <w:tabs>
                <w:tab w:pos="1036" w:val="left" w:leader="none"/>
              </w:tabs>
              <w:spacing w:before="6"/>
              <w:ind w:left="107"/>
              <w:rPr>
                <w:sz w:val="10"/>
              </w:rPr>
            </w:pPr>
            <w:r>
              <w:rPr>
                <w:sz w:val="10"/>
              </w:rPr>
              <w:t>-</w:t>
              <w:tab/>
              <w:t>-</w:t>
            </w:r>
          </w:p>
          <w:p>
            <w:pPr>
              <w:pStyle w:val="TableParagraph"/>
              <w:tabs>
                <w:tab w:pos="1026" w:val="left" w:leader="none"/>
              </w:tabs>
              <w:spacing w:line="82" w:lineRule="exact" w:before="31"/>
              <w:ind w:left="100"/>
              <w:rPr>
                <w:sz w:val="10"/>
              </w:rPr>
            </w:pPr>
            <w:r>
              <w:rPr>
                <w:sz w:val="10"/>
              </w:rPr>
              <w:t>-</w:t>
              <w:tab/>
              <w:t>-</w:t>
            </w:r>
          </w:p>
        </w:tc>
        <w:tc>
          <w:tcPr>
            <w:tcW w:w="1864" w:type="dxa"/>
            <w:gridSpan w:val="2"/>
            <w:tcBorders>
              <w:bottom w:val="single" w:sz="4" w:space="0" w:color="000000"/>
            </w:tcBorders>
          </w:tcPr>
          <w:p>
            <w:pPr>
              <w:pStyle w:val="TableParagraph"/>
              <w:tabs>
                <w:tab w:pos="1616" w:val="left" w:leader="none"/>
              </w:tabs>
              <w:spacing w:before="6"/>
              <w:ind w:left="687"/>
              <w:rPr>
                <w:b/>
                <w:sz w:val="10"/>
              </w:rPr>
            </w:pPr>
            <w:r>
              <w:rPr>
                <w:w w:val="105"/>
                <w:sz w:val="10"/>
              </w:rPr>
              <w:t>-</w:t>
              <w:tab/>
            </w:r>
            <w:r>
              <w:rPr>
                <w:b/>
                <w:w w:val="105"/>
                <w:sz w:val="10"/>
              </w:rPr>
              <w:t>-</w:t>
            </w:r>
          </w:p>
          <w:p>
            <w:pPr>
              <w:pStyle w:val="TableParagraph"/>
              <w:tabs>
                <w:tab w:pos="1608" w:val="left" w:leader="none"/>
              </w:tabs>
              <w:spacing w:line="82" w:lineRule="exact" w:before="31"/>
              <w:ind w:left="680"/>
              <w:rPr>
                <w:b/>
                <w:sz w:val="10"/>
              </w:rPr>
            </w:pPr>
            <w:r>
              <w:rPr>
                <w:w w:val="105"/>
                <w:sz w:val="10"/>
              </w:rPr>
              <w:t>-</w:t>
              <w:tab/>
            </w:r>
            <w:r>
              <w:rPr>
                <w:b/>
                <w:w w:val="105"/>
                <w:sz w:val="10"/>
              </w:rPr>
              <w:t>-</w:t>
            </w:r>
          </w:p>
        </w:tc>
        <w:tc>
          <w:tcPr>
            <w:tcW w:w="1855" w:type="dxa"/>
            <w:gridSpan w:val="2"/>
            <w:tcBorders>
              <w:bottom w:val="single" w:sz="4" w:space="0" w:color="000000"/>
            </w:tcBorders>
          </w:tcPr>
          <w:p>
            <w:pPr>
              <w:pStyle w:val="TableParagraph"/>
              <w:tabs>
                <w:tab w:pos="1609" w:val="left" w:leader="none"/>
              </w:tabs>
              <w:spacing w:before="6"/>
              <w:ind w:left="680"/>
              <w:rPr>
                <w:sz w:val="10"/>
              </w:rPr>
            </w:pPr>
            <w:r>
              <w:rPr>
                <w:sz w:val="10"/>
              </w:rPr>
              <w:t>-</w:t>
              <w:tab/>
              <w:t>-</w:t>
            </w:r>
          </w:p>
          <w:p>
            <w:pPr>
              <w:pStyle w:val="TableParagraph"/>
              <w:tabs>
                <w:tab w:pos="1602" w:val="left" w:leader="none"/>
              </w:tabs>
              <w:spacing w:line="82" w:lineRule="exact" w:before="31"/>
              <w:ind w:left="673"/>
              <w:rPr>
                <w:sz w:val="10"/>
              </w:rPr>
            </w:pPr>
            <w:r>
              <w:rPr>
                <w:sz w:val="10"/>
              </w:rPr>
              <w:t>-</w:t>
              <w:tab/>
              <w:t>-</w:t>
            </w:r>
          </w:p>
        </w:tc>
        <w:tc>
          <w:tcPr>
            <w:tcW w:w="1667" w:type="dxa"/>
            <w:gridSpan w:val="2"/>
            <w:tcBorders>
              <w:bottom w:val="single" w:sz="4" w:space="0" w:color="000000"/>
            </w:tcBorders>
          </w:tcPr>
          <w:p>
            <w:pPr>
              <w:pStyle w:val="TableParagraph"/>
              <w:tabs>
                <w:tab w:pos="1614" w:val="left" w:leader="none"/>
              </w:tabs>
              <w:spacing w:before="6"/>
              <w:ind w:left="685"/>
              <w:rPr>
                <w:b/>
                <w:sz w:val="10"/>
              </w:rPr>
            </w:pPr>
            <w:r>
              <w:rPr>
                <w:w w:val="105"/>
                <w:sz w:val="10"/>
              </w:rPr>
              <w:t>-</w:t>
              <w:tab/>
            </w:r>
            <w:r>
              <w:rPr>
                <w:b/>
                <w:w w:val="105"/>
                <w:sz w:val="10"/>
              </w:rPr>
              <w:t>-</w:t>
            </w:r>
          </w:p>
          <w:p>
            <w:pPr>
              <w:pStyle w:val="TableParagraph"/>
              <w:tabs>
                <w:tab w:pos="1605" w:val="left" w:leader="none"/>
              </w:tabs>
              <w:spacing w:line="82" w:lineRule="exact" w:before="31"/>
              <w:ind w:left="676"/>
              <w:rPr>
                <w:b/>
                <w:sz w:val="10"/>
              </w:rPr>
            </w:pPr>
            <w:r>
              <w:rPr>
                <w:w w:val="105"/>
                <w:sz w:val="10"/>
              </w:rPr>
              <w:t>-</w:t>
              <w:tab/>
            </w:r>
            <w:r>
              <w:rPr>
                <w:b/>
                <w:w w:val="105"/>
                <w:sz w:val="10"/>
              </w:rPr>
              <w:t>-</w:t>
            </w:r>
          </w:p>
        </w:tc>
      </w:tr>
    </w:tbl>
    <w:p>
      <w:pPr>
        <w:tabs>
          <w:tab w:pos="2598" w:val="left" w:leader="none"/>
          <w:tab w:pos="3366" w:val="left" w:leader="none"/>
          <w:tab w:pos="4158" w:val="left" w:leader="none"/>
          <w:tab w:pos="5223" w:val="left" w:leader="none"/>
          <w:tab w:pos="6015" w:val="left" w:leader="none"/>
          <w:tab w:pos="7081" w:val="left" w:leader="none"/>
          <w:tab w:pos="7873" w:val="left" w:leader="none"/>
          <w:tab w:pos="9099" w:val="left" w:leader="hyphen"/>
          <w:tab w:pos="9731" w:val="left" w:leader="none"/>
        </w:tabs>
        <w:spacing w:before="21"/>
        <w:ind w:left="313" w:right="0" w:firstLine="0"/>
        <w:jc w:val="left"/>
        <w:rPr>
          <w:b/>
          <w:sz w:val="10"/>
        </w:rPr>
      </w:pPr>
      <w:r>
        <w:rPr>
          <w:b/>
          <w:w w:val="105"/>
          <w:sz w:val="10"/>
        </w:rPr>
        <w:t>Total</w:t>
        <w:tab/>
      </w:r>
      <w:r>
        <w:rPr>
          <w:b/>
          <w:w w:val="105"/>
          <w:sz w:val="10"/>
          <w:u w:val="single"/>
        </w:rPr>
        <w:t> </w:t>
        <w:tab/>
        <w:t>-</w:t>
        <w:tab/>
        <w:t>155</w:t>
        <w:tab/>
        <w:t>-</w:t>
        <w:tab/>
        <w:t>155</w:t>
        <w:tab/>
        <w:t>-</w:t>
        <w:tab/>
      </w:r>
      <w:r>
        <w:rPr>
          <w:b/>
          <w:spacing w:val="-2"/>
          <w:w w:val="105"/>
          <w:sz w:val="10"/>
          <w:u w:val="single"/>
        </w:rPr>
        <w:t>273</w:t>
      </w:r>
      <w:r>
        <w:rPr>
          <w:b/>
          <w:spacing w:val="-2"/>
          <w:w w:val="105"/>
          <w:sz w:val="10"/>
        </w:rPr>
        <w:tab/>
      </w:r>
      <w:r>
        <w:rPr>
          <w:b/>
          <w:spacing w:val="-2"/>
          <w:w w:val="105"/>
          <w:sz w:val="10"/>
          <w:u w:val="single"/>
        </w:rPr>
        <w:t> </w:t>
        <w:tab/>
        <w:t>273</w:t>
      </w:r>
    </w:p>
    <w:p>
      <w:pPr>
        <w:pStyle w:val="BodyText"/>
        <w:spacing w:before="2"/>
        <w:rPr>
          <w:b/>
          <w:sz w:val="13"/>
        </w:rPr>
      </w:pPr>
    </w:p>
    <w:p>
      <w:pPr>
        <w:spacing w:line="271" w:lineRule="auto" w:before="0"/>
        <w:ind w:left="313" w:right="1191" w:firstLine="0"/>
        <w:jc w:val="left"/>
        <w:rPr>
          <w:sz w:val="10"/>
        </w:rPr>
      </w:pPr>
      <w:r>
        <w:rPr>
          <w:sz w:val="10"/>
        </w:rPr>
        <w:t>There has been a reduction in minimum leases payments in 2021-22 due to credits received in year relating to reimbursement of vacant space at Health Place and Ashby Clinic totalling £55k in respect of          prior</w:t>
      </w:r>
      <w:r>
        <w:rPr>
          <w:spacing w:val="3"/>
          <w:sz w:val="10"/>
        </w:rPr>
        <w:t> </w:t>
      </w:r>
      <w:r>
        <w:rPr>
          <w:sz w:val="10"/>
        </w:rPr>
        <w:t>years.</w:t>
      </w:r>
      <w:r>
        <w:rPr>
          <w:spacing w:val="2"/>
          <w:sz w:val="10"/>
        </w:rPr>
        <w:t> </w:t>
      </w:r>
      <w:r>
        <w:rPr>
          <w:sz w:val="10"/>
        </w:rPr>
        <w:t>In</w:t>
      </w:r>
      <w:r>
        <w:rPr>
          <w:spacing w:val="5"/>
          <w:sz w:val="10"/>
        </w:rPr>
        <w:t> </w:t>
      </w:r>
      <w:r>
        <w:rPr>
          <w:sz w:val="10"/>
        </w:rPr>
        <w:t>2021-22</w:t>
      </w:r>
      <w:r>
        <w:rPr>
          <w:spacing w:val="4"/>
          <w:sz w:val="10"/>
        </w:rPr>
        <w:t> </w:t>
      </w:r>
      <w:r>
        <w:rPr>
          <w:sz w:val="10"/>
        </w:rPr>
        <w:t>NLCCG</w:t>
      </w:r>
      <w:r>
        <w:rPr>
          <w:spacing w:val="7"/>
          <w:sz w:val="10"/>
        </w:rPr>
        <w:t> </w:t>
      </w:r>
      <w:r>
        <w:rPr>
          <w:sz w:val="10"/>
        </w:rPr>
        <w:t>was</w:t>
      </w:r>
      <w:r>
        <w:rPr>
          <w:spacing w:val="6"/>
          <w:sz w:val="10"/>
        </w:rPr>
        <w:t> </w:t>
      </w:r>
      <w:r>
        <w:rPr>
          <w:sz w:val="10"/>
        </w:rPr>
        <w:t>no</w:t>
      </w:r>
      <w:r>
        <w:rPr>
          <w:spacing w:val="3"/>
          <w:sz w:val="10"/>
        </w:rPr>
        <w:t> </w:t>
      </w:r>
      <w:r>
        <w:rPr>
          <w:sz w:val="10"/>
        </w:rPr>
        <w:t>longer</w:t>
      </w:r>
      <w:r>
        <w:rPr>
          <w:spacing w:val="5"/>
          <w:sz w:val="10"/>
        </w:rPr>
        <w:t> </w:t>
      </w:r>
      <w:r>
        <w:rPr>
          <w:sz w:val="10"/>
        </w:rPr>
        <w:t>in</w:t>
      </w:r>
      <w:r>
        <w:rPr>
          <w:spacing w:val="3"/>
          <w:sz w:val="10"/>
        </w:rPr>
        <w:t> </w:t>
      </w:r>
      <w:r>
        <w:rPr>
          <w:sz w:val="10"/>
        </w:rPr>
        <w:t>receipt</w:t>
      </w:r>
      <w:r>
        <w:rPr>
          <w:spacing w:val="5"/>
          <w:sz w:val="10"/>
        </w:rPr>
        <w:t> </w:t>
      </w:r>
      <w:r>
        <w:rPr>
          <w:sz w:val="10"/>
        </w:rPr>
        <w:t>of</w:t>
      </w:r>
      <w:r>
        <w:rPr>
          <w:spacing w:val="5"/>
          <w:sz w:val="10"/>
        </w:rPr>
        <w:t> </w:t>
      </w:r>
      <w:r>
        <w:rPr>
          <w:sz w:val="10"/>
        </w:rPr>
        <w:t>charges</w:t>
      </w:r>
      <w:r>
        <w:rPr>
          <w:spacing w:val="3"/>
          <w:sz w:val="10"/>
        </w:rPr>
        <w:t> </w:t>
      </w:r>
      <w:r>
        <w:rPr>
          <w:sz w:val="10"/>
        </w:rPr>
        <w:t>for</w:t>
      </w:r>
      <w:r>
        <w:rPr>
          <w:spacing w:val="4"/>
          <w:sz w:val="10"/>
        </w:rPr>
        <w:t> </w:t>
      </w:r>
      <w:r>
        <w:rPr>
          <w:sz w:val="10"/>
        </w:rPr>
        <w:t>Ashby</w:t>
      </w:r>
      <w:r>
        <w:rPr>
          <w:spacing w:val="6"/>
          <w:sz w:val="10"/>
        </w:rPr>
        <w:t> </w:t>
      </w:r>
      <w:r>
        <w:rPr>
          <w:sz w:val="10"/>
        </w:rPr>
        <w:t>Clinic</w:t>
      </w:r>
      <w:r>
        <w:rPr>
          <w:spacing w:val="3"/>
          <w:sz w:val="10"/>
        </w:rPr>
        <w:t> </w:t>
      </w:r>
      <w:r>
        <w:rPr>
          <w:sz w:val="10"/>
        </w:rPr>
        <w:t>(£105k</w:t>
      </w:r>
      <w:r>
        <w:rPr>
          <w:spacing w:val="6"/>
          <w:sz w:val="10"/>
        </w:rPr>
        <w:t> </w:t>
      </w:r>
      <w:r>
        <w:rPr>
          <w:sz w:val="10"/>
        </w:rPr>
        <w:t>in</w:t>
      </w:r>
      <w:r>
        <w:rPr>
          <w:spacing w:val="3"/>
          <w:sz w:val="10"/>
        </w:rPr>
        <w:t> </w:t>
      </w:r>
      <w:r>
        <w:rPr>
          <w:sz w:val="10"/>
        </w:rPr>
        <w:t>2020-21)</w:t>
      </w:r>
    </w:p>
    <w:p>
      <w:pPr>
        <w:pStyle w:val="BodyText"/>
        <w:spacing w:before="9"/>
        <w:rPr>
          <w:sz w:val="11"/>
        </w:rPr>
      </w:pPr>
    </w:p>
    <w:p>
      <w:pPr>
        <w:spacing w:line="271" w:lineRule="auto" w:before="1"/>
        <w:ind w:left="313" w:right="1191" w:firstLine="0"/>
        <w:jc w:val="left"/>
        <w:rPr>
          <w:sz w:val="10"/>
        </w:rPr>
      </w:pPr>
      <w:r>
        <w:rPr>
          <w:sz w:val="10"/>
        </w:rPr>
        <w:t>Whilst our  arrangements with NHS  Property Services Limited fall within the definition of operating leases, rental charge for future years has  not yet been agreed. Consequently this note does  not include    future minimum lease payments for the</w:t>
      </w:r>
      <w:r>
        <w:rPr>
          <w:spacing w:val="19"/>
          <w:sz w:val="10"/>
        </w:rPr>
        <w:t> </w:t>
      </w:r>
      <w:r>
        <w:rPr>
          <w:sz w:val="10"/>
        </w:rPr>
        <w:t>arrangements.</w:t>
      </w:r>
    </w:p>
    <w:p>
      <w:pPr>
        <w:spacing w:after="0" w:line="271" w:lineRule="auto"/>
        <w:jc w:val="left"/>
        <w:rPr>
          <w:sz w:val="10"/>
        </w:rPr>
        <w:sectPr>
          <w:footerReference w:type="default" r:id="rId58"/>
          <w:pgSz w:w="11920" w:h="16850"/>
          <w:pgMar w:footer="407" w:header="0" w:top="1000" w:bottom="600" w:left="740" w:right="520"/>
          <w:pgNumType w:start="16"/>
        </w:sectPr>
      </w:pPr>
    </w:p>
    <w:tbl>
      <w:tblPr>
        <w:tblW w:w="0" w:type="auto"/>
        <w:jc w:val="left"/>
        <w:tblInd w:w="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
        <w:gridCol w:w="4728"/>
        <w:gridCol w:w="886"/>
        <w:gridCol w:w="1090"/>
        <w:gridCol w:w="886"/>
        <w:gridCol w:w="1072"/>
      </w:tblGrid>
      <w:tr>
        <w:trPr>
          <w:trHeight w:val="368" w:hRule="atLeast"/>
        </w:trPr>
        <w:tc>
          <w:tcPr>
            <w:tcW w:w="4986" w:type="dxa"/>
            <w:gridSpan w:val="2"/>
          </w:tcPr>
          <w:p>
            <w:pPr>
              <w:pStyle w:val="TableParagraph"/>
              <w:spacing w:line="109" w:lineRule="exact"/>
              <w:ind w:left="466"/>
              <w:rPr>
                <w:sz w:val="10"/>
              </w:rPr>
            </w:pPr>
            <w:r>
              <w:rPr>
                <w:sz w:val="10"/>
              </w:rPr>
              <w:t>NHS North Lincolnshire CCG - Annual Accounts 2021-22</w:t>
            </w:r>
          </w:p>
          <w:p>
            <w:pPr>
              <w:pStyle w:val="TableParagraph"/>
              <w:spacing w:before="3"/>
              <w:rPr>
                <w:sz w:val="11"/>
              </w:rPr>
            </w:pPr>
          </w:p>
          <w:p>
            <w:pPr>
              <w:pStyle w:val="TableParagraph"/>
              <w:spacing w:line="109" w:lineRule="exact"/>
              <w:ind w:left="466"/>
              <w:rPr>
                <w:b/>
                <w:sz w:val="10"/>
              </w:rPr>
            </w:pPr>
            <w:r>
              <w:rPr>
                <w:b/>
                <w:w w:val="105"/>
                <w:sz w:val="10"/>
              </w:rPr>
              <w:t>8. Trade and other receivables</w:t>
            </w:r>
          </w:p>
        </w:tc>
        <w:tc>
          <w:tcPr>
            <w:tcW w:w="886" w:type="dxa"/>
          </w:tcPr>
          <w:p>
            <w:pPr>
              <w:pStyle w:val="TableParagraph"/>
              <w:rPr>
                <w:sz w:val="10"/>
              </w:rPr>
            </w:pPr>
          </w:p>
          <w:p>
            <w:pPr>
              <w:pStyle w:val="TableParagraph"/>
              <w:spacing w:before="9"/>
              <w:rPr>
                <w:sz w:val="10"/>
              </w:rPr>
            </w:pPr>
          </w:p>
          <w:p>
            <w:pPr>
              <w:pStyle w:val="TableParagraph"/>
              <w:spacing w:line="109" w:lineRule="exact"/>
              <w:ind w:left="265"/>
              <w:rPr>
                <w:b/>
                <w:sz w:val="10"/>
              </w:rPr>
            </w:pPr>
            <w:r>
              <w:rPr>
                <w:b/>
                <w:w w:val="105"/>
                <w:sz w:val="10"/>
              </w:rPr>
              <w:t>Current</w:t>
            </w:r>
          </w:p>
        </w:tc>
        <w:tc>
          <w:tcPr>
            <w:tcW w:w="1090" w:type="dxa"/>
          </w:tcPr>
          <w:p>
            <w:pPr>
              <w:pStyle w:val="TableParagraph"/>
              <w:rPr>
                <w:sz w:val="10"/>
              </w:rPr>
            </w:pPr>
          </w:p>
          <w:p>
            <w:pPr>
              <w:pStyle w:val="TableParagraph"/>
              <w:spacing w:before="9"/>
              <w:rPr>
                <w:sz w:val="10"/>
              </w:rPr>
            </w:pPr>
          </w:p>
          <w:p>
            <w:pPr>
              <w:pStyle w:val="TableParagraph"/>
              <w:spacing w:line="109" w:lineRule="exact"/>
              <w:ind w:left="258"/>
              <w:rPr>
                <w:b/>
                <w:sz w:val="10"/>
              </w:rPr>
            </w:pPr>
            <w:r>
              <w:rPr>
                <w:b/>
                <w:w w:val="105"/>
                <w:sz w:val="10"/>
              </w:rPr>
              <w:t>Non-current</w:t>
            </w:r>
          </w:p>
        </w:tc>
        <w:tc>
          <w:tcPr>
            <w:tcW w:w="886" w:type="dxa"/>
          </w:tcPr>
          <w:p>
            <w:pPr>
              <w:pStyle w:val="TableParagraph"/>
              <w:rPr>
                <w:sz w:val="10"/>
              </w:rPr>
            </w:pPr>
          </w:p>
          <w:p>
            <w:pPr>
              <w:pStyle w:val="TableParagraph"/>
              <w:spacing w:before="9"/>
              <w:rPr>
                <w:sz w:val="10"/>
              </w:rPr>
            </w:pPr>
          </w:p>
          <w:p>
            <w:pPr>
              <w:pStyle w:val="TableParagraph"/>
              <w:spacing w:line="109" w:lineRule="exact"/>
              <w:ind w:left="279"/>
              <w:rPr>
                <w:sz w:val="10"/>
              </w:rPr>
            </w:pPr>
            <w:r>
              <w:rPr>
                <w:sz w:val="10"/>
              </w:rPr>
              <w:t>Current</w:t>
            </w:r>
          </w:p>
        </w:tc>
        <w:tc>
          <w:tcPr>
            <w:tcW w:w="1072" w:type="dxa"/>
          </w:tcPr>
          <w:p>
            <w:pPr>
              <w:pStyle w:val="TableParagraph"/>
              <w:rPr>
                <w:sz w:val="10"/>
              </w:rPr>
            </w:pPr>
          </w:p>
          <w:p>
            <w:pPr>
              <w:pStyle w:val="TableParagraph"/>
              <w:spacing w:before="9"/>
              <w:rPr>
                <w:sz w:val="10"/>
              </w:rPr>
            </w:pPr>
          </w:p>
          <w:p>
            <w:pPr>
              <w:pStyle w:val="TableParagraph"/>
              <w:spacing w:line="109" w:lineRule="exact"/>
              <w:ind w:left="281"/>
              <w:rPr>
                <w:sz w:val="10"/>
              </w:rPr>
            </w:pPr>
            <w:r>
              <w:rPr>
                <w:sz w:val="10"/>
              </w:rPr>
              <w:t>Non-current</w:t>
            </w:r>
          </w:p>
        </w:tc>
      </w:tr>
      <w:tr>
        <w:trPr>
          <w:trHeight w:val="322" w:hRule="atLeast"/>
        </w:trPr>
        <w:tc>
          <w:tcPr>
            <w:tcW w:w="4986" w:type="dxa"/>
            <w:gridSpan w:val="2"/>
          </w:tcPr>
          <w:p>
            <w:pPr>
              <w:pStyle w:val="TableParagraph"/>
              <w:rPr>
                <w:rFonts w:ascii="Times New Roman"/>
                <w:sz w:val="10"/>
              </w:rPr>
            </w:pPr>
          </w:p>
        </w:tc>
        <w:tc>
          <w:tcPr>
            <w:tcW w:w="886" w:type="dxa"/>
          </w:tcPr>
          <w:p>
            <w:pPr>
              <w:pStyle w:val="TableParagraph"/>
              <w:spacing w:before="5"/>
              <w:ind w:left="241" w:right="219"/>
              <w:jc w:val="center"/>
              <w:rPr>
                <w:b/>
                <w:sz w:val="10"/>
              </w:rPr>
            </w:pPr>
            <w:r>
              <w:rPr>
                <w:b/>
                <w:w w:val="105"/>
                <w:sz w:val="10"/>
              </w:rPr>
              <w:t>2021-22</w:t>
            </w:r>
          </w:p>
          <w:p>
            <w:pPr>
              <w:pStyle w:val="TableParagraph"/>
              <w:spacing w:before="14"/>
              <w:ind w:left="236" w:right="219"/>
              <w:jc w:val="center"/>
              <w:rPr>
                <w:b/>
                <w:sz w:val="10"/>
              </w:rPr>
            </w:pPr>
            <w:r>
              <w:rPr>
                <w:b/>
                <w:w w:val="105"/>
                <w:sz w:val="10"/>
              </w:rPr>
              <w:t>£'000</w:t>
            </w:r>
          </w:p>
        </w:tc>
        <w:tc>
          <w:tcPr>
            <w:tcW w:w="1090" w:type="dxa"/>
          </w:tcPr>
          <w:p>
            <w:pPr>
              <w:pStyle w:val="TableParagraph"/>
              <w:spacing w:before="5"/>
              <w:ind w:left="341" w:right="322"/>
              <w:jc w:val="center"/>
              <w:rPr>
                <w:b/>
                <w:sz w:val="10"/>
              </w:rPr>
            </w:pPr>
            <w:r>
              <w:rPr>
                <w:b/>
                <w:w w:val="105"/>
                <w:sz w:val="10"/>
              </w:rPr>
              <w:t>2021-22</w:t>
            </w:r>
          </w:p>
          <w:p>
            <w:pPr>
              <w:pStyle w:val="TableParagraph"/>
              <w:spacing w:before="14"/>
              <w:ind w:left="341" w:right="322"/>
              <w:jc w:val="center"/>
              <w:rPr>
                <w:b/>
                <w:sz w:val="10"/>
              </w:rPr>
            </w:pPr>
            <w:r>
              <w:rPr>
                <w:b/>
                <w:w w:val="105"/>
                <w:sz w:val="10"/>
              </w:rPr>
              <w:t>£'000</w:t>
            </w:r>
          </w:p>
        </w:tc>
        <w:tc>
          <w:tcPr>
            <w:tcW w:w="886" w:type="dxa"/>
          </w:tcPr>
          <w:p>
            <w:pPr>
              <w:pStyle w:val="TableParagraph"/>
              <w:spacing w:before="5"/>
              <w:ind w:left="240" w:right="219"/>
              <w:jc w:val="center"/>
              <w:rPr>
                <w:sz w:val="10"/>
              </w:rPr>
            </w:pPr>
            <w:r>
              <w:rPr>
                <w:sz w:val="10"/>
              </w:rPr>
              <w:t>2020-21</w:t>
            </w:r>
          </w:p>
          <w:p>
            <w:pPr>
              <w:pStyle w:val="TableParagraph"/>
              <w:spacing w:before="14"/>
              <w:ind w:left="235" w:right="219"/>
              <w:jc w:val="center"/>
              <w:rPr>
                <w:sz w:val="10"/>
              </w:rPr>
            </w:pPr>
            <w:r>
              <w:rPr>
                <w:sz w:val="10"/>
              </w:rPr>
              <w:t>£'000</w:t>
            </w:r>
          </w:p>
        </w:tc>
        <w:tc>
          <w:tcPr>
            <w:tcW w:w="1072" w:type="dxa"/>
          </w:tcPr>
          <w:p>
            <w:pPr>
              <w:pStyle w:val="TableParagraph"/>
              <w:spacing w:before="5"/>
              <w:ind w:left="355" w:right="310"/>
              <w:jc w:val="center"/>
              <w:rPr>
                <w:sz w:val="10"/>
              </w:rPr>
            </w:pPr>
            <w:r>
              <w:rPr>
                <w:sz w:val="10"/>
              </w:rPr>
              <w:t>2020-21</w:t>
            </w:r>
          </w:p>
          <w:p>
            <w:pPr>
              <w:pStyle w:val="TableParagraph"/>
              <w:spacing w:before="14"/>
              <w:ind w:left="350" w:right="310"/>
              <w:jc w:val="center"/>
              <w:rPr>
                <w:sz w:val="10"/>
              </w:rPr>
            </w:pPr>
            <w:r>
              <w:rPr>
                <w:sz w:val="10"/>
              </w:rPr>
              <w:t>£'000</w:t>
            </w:r>
          </w:p>
        </w:tc>
      </w:tr>
      <w:tr>
        <w:trPr>
          <w:trHeight w:val="303" w:hRule="atLeast"/>
        </w:trPr>
        <w:tc>
          <w:tcPr>
            <w:tcW w:w="4986" w:type="dxa"/>
            <w:gridSpan w:val="2"/>
          </w:tcPr>
          <w:p>
            <w:pPr>
              <w:pStyle w:val="TableParagraph"/>
              <w:spacing w:line="120" w:lineRule="atLeast" w:before="59"/>
              <w:ind w:left="466" w:right="3154" w:hanging="149"/>
              <w:rPr>
                <w:sz w:val="10"/>
              </w:rPr>
            </w:pPr>
            <w:r>
              <w:rPr>
                <w:b/>
                <w:sz w:val="10"/>
              </w:rPr>
              <w:t>1* </w:t>
            </w:r>
            <w:r>
              <w:rPr>
                <w:sz w:val="10"/>
              </w:rPr>
              <w:t>NHS receivables: Revenue NHS receivables: Capital</w:t>
            </w:r>
          </w:p>
        </w:tc>
        <w:tc>
          <w:tcPr>
            <w:tcW w:w="886" w:type="dxa"/>
          </w:tcPr>
          <w:p>
            <w:pPr>
              <w:pStyle w:val="TableParagraph"/>
              <w:spacing w:line="114" w:lineRule="exact" w:before="64"/>
              <w:ind w:right="22"/>
              <w:jc w:val="right"/>
              <w:rPr>
                <w:sz w:val="10"/>
              </w:rPr>
            </w:pPr>
            <w:r>
              <w:rPr>
                <w:sz w:val="10"/>
              </w:rPr>
              <w:t>183</w:t>
            </w:r>
          </w:p>
          <w:p>
            <w:pPr>
              <w:pStyle w:val="TableParagraph"/>
              <w:spacing w:line="106" w:lineRule="exact"/>
              <w:ind w:right="18"/>
              <w:jc w:val="right"/>
              <w:rPr>
                <w:sz w:val="10"/>
              </w:rPr>
            </w:pPr>
            <w:r>
              <w:rPr>
                <w:w w:val="100"/>
                <w:sz w:val="10"/>
              </w:rPr>
              <w:t>-</w:t>
            </w:r>
          </w:p>
        </w:tc>
        <w:tc>
          <w:tcPr>
            <w:tcW w:w="1090" w:type="dxa"/>
          </w:tcPr>
          <w:p>
            <w:pPr>
              <w:pStyle w:val="TableParagraph"/>
              <w:spacing w:line="114" w:lineRule="exact" w:before="64"/>
              <w:ind w:right="124"/>
              <w:jc w:val="right"/>
              <w:rPr>
                <w:sz w:val="10"/>
              </w:rPr>
            </w:pPr>
            <w:r>
              <w:rPr>
                <w:w w:val="100"/>
                <w:sz w:val="10"/>
              </w:rPr>
              <w:t>-</w:t>
            </w:r>
          </w:p>
          <w:p>
            <w:pPr>
              <w:pStyle w:val="TableParagraph"/>
              <w:spacing w:line="106" w:lineRule="exact"/>
              <w:ind w:right="124"/>
              <w:jc w:val="right"/>
              <w:rPr>
                <w:sz w:val="10"/>
              </w:rPr>
            </w:pPr>
            <w:r>
              <w:rPr>
                <w:w w:val="100"/>
                <w:sz w:val="10"/>
              </w:rPr>
              <w:t>-</w:t>
            </w:r>
          </w:p>
        </w:tc>
        <w:tc>
          <w:tcPr>
            <w:tcW w:w="886" w:type="dxa"/>
          </w:tcPr>
          <w:p>
            <w:pPr>
              <w:pStyle w:val="TableParagraph"/>
              <w:spacing w:line="114" w:lineRule="exact" w:before="64"/>
              <w:ind w:right="23"/>
              <w:jc w:val="right"/>
              <w:rPr>
                <w:sz w:val="10"/>
              </w:rPr>
            </w:pPr>
            <w:r>
              <w:rPr>
                <w:sz w:val="10"/>
              </w:rPr>
              <w:t>782</w:t>
            </w:r>
          </w:p>
          <w:p>
            <w:pPr>
              <w:pStyle w:val="TableParagraph"/>
              <w:spacing w:line="106" w:lineRule="exact"/>
              <w:ind w:right="18"/>
              <w:jc w:val="right"/>
              <w:rPr>
                <w:sz w:val="10"/>
              </w:rPr>
            </w:pPr>
            <w:r>
              <w:rPr>
                <w:w w:val="100"/>
                <w:sz w:val="10"/>
              </w:rPr>
              <w:t>-</w:t>
            </w:r>
          </w:p>
        </w:tc>
        <w:tc>
          <w:tcPr>
            <w:tcW w:w="1072" w:type="dxa"/>
          </w:tcPr>
          <w:p>
            <w:pPr>
              <w:pStyle w:val="TableParagraph"/>
              <w:spacing w:line="114" w:lineRule="exact" w:before="64"/>
              <w:ind w:right="104"/>
              <w:jc w:val="right"/>
              <w:rPr>
                <w:sz w:val="10"/>
              </w:rPr>
            </w:pPr>
            <w:r>
              <w:rPr>
                <w:w w:val="100"/>
                <w:sz w:val="10"/>
              </w:rPr>
              <w:t>-</w:t>
            </w:r>
          </w:p>
          <w:p>
            <w:pPr>
              <w:pStyle w:val="TableParagraph"/>
              <w:spacing w:line="106" w:lineRule="exact"/>
              <w:ind w:right="104"/>
              <w:jc w:val="right"/>
              <w:rPr>
                <w:sz w:val="10"/>
              </w:rPr>
            </w:pPr>
            <w:r>
              <w:rPr>
                <w:w w:val="100"/>
                <w:sz w:val="10"/>
              </w:rPr>
              <w:t>-</w:t>
            </w:r>
          </w:p>
        </w:tc>
      </w:tr>
      <w:tr>
        <w:trPr>
          <w:trHeight w:val="125" w:hRule="atLeast"/>
        </w:trPr>
        <w:tc>
          <w:tcPr>
            <w:tcW w:w="258" w:type="dxa"/>
          </w:tcPr>
          <w:p>
            <w:pPr>
              <w:pStyle w:val="TableParagraph"/>
              <w:rPr>
                <w:rFonts w:ascii="Times New Roman"/>
                <w:sz w:val="6"/>
              </w:rPr>
            </w:pPr>
          </w:p>
        </w:tc>
        <w:tc>
          <w:tcPr>
            <w:tcW w:w="4728" w:type="dxa"/>
          </w:tcPr>
          <w:p>
            <w:pPr>
              <w:pStyle w:val="TableParagraph"/>
              <w:spacing w:line="106" w:lineRule="exact"/>
              <w:ind w:left="208"/>
              <w:rPr>
                <w:sz w:val="10"/>
              </w:rPr>
            </w:pPr>
            <w:r>
              <w:rPr>
                <w:sz w:val="10"/>
              </w:rPr>
              <w:t>NHS prepayments</w:t>
            </w:r>
          </w:p>
        </w:tc>
        <w:tc>
          <w:tcPr>
            <w:tcW w:w="886" w:type="dxa"/>
          </w:tcPr>
          <w:p>
            <w:pPr>
              <w:pStyle w:val="TableParagraph"/>
              <w:spacing w:line="106" w:lineRule="exact"/>
              <w:ind w:right="22"/>
              <w:jc w:val="right"/>
              <w:rPr>
                <w:sz w:val="10"/>
              </w:rPr>
            </w:pPr>
            <w:r>
              <w:rPr>
                <w:w w:val="100"/>
                <w:sz w:val="10"/>
              </w:rPr>
              <w:t>-</w:t>
            </w:r>
          </w:p>
        </w:tc>
        <w:tc>
          <w:tcPr>
            <w:tcW w:w="1090" w:type="dxa"/>
          </w:tcPr>
          <w:p>
            <w:pPr>
              <w:pStyle w:val="TableParagraph"/>
              <w:spacing w:line="106" w:lineRule="exact"/>
              <w:ind w:right="124"/>
              <w:jc w:val="right"/>
              <w:rPr>
                <w:sz w:val="10"/>
              </w:rPr>
            </w:pPr>
            <w:r>
              <w:rPr>
                <w:w w:val="100"/>
                <w:sz w:val="10"/>
              </w:rPr>
              <w:t>-</w:t>
            </w:r>
          </w:p>
        </w:tc>
        <w:tc>
          <w:tcPr>
            <w:tcW w:w="886" w:type="dxa"/>
          </w:tcPr>
          <w:p>
            <w:pPr>
              <w:pStyle w:val="TableParagraph"/>
              <w:spacing w:line="106" w:lineRule="exact"/>
              <w:ind w:right="23"/>
              <w:jc w:val="right"/>
              <w:rPr>
                <w:sz w:val="10"/>
              </w:rPr>
            </w:pPr>
            <w:r>
              <w:rPr>
                <w:w w:val="100"/>
                <w:sz w:val="10"/>
              </w:rPr>
              <w:t>-</w:t>
            </w:r>
          </w:p>
        </w:tc>
        <w:tc>
          <w:tcPr>
            <w:tcW w:w="1072" w:type="dxa"/>
          </w:tcPr>
          <w:p>
            <w:pPr>
              <w:pStyle w:val="TableParagraph"/>
              <w:spacing w:line="106" w:lineRule="exact"/>
              <w:ind w:right="102"/>
              <w:jc w:val="right"/>
              <w:rPr>
                <w:sz w:val="10"/>
              </w:rPr>
            </w:pPr>
            <w:r>
              <w:rPr>
                <w:w w:val="100"/>
                <w:sz w:val="10"/>
              </w:rPr>
              <w:t>-</w:t>
            </w:r>
          </w:p>
        </w:tc>
      </w:tr>
      <w:tr>
        <w:trPr>
          <w:trHeight w:val="132" w:hRule="atLeast"/>
        </w:trPr>
        <w:tc>
          <w:tcPr>
            <w:tcW w:w="258" w:type="dxa"/>
          </w:tcPr>
          <w:p>
            <w:pPr>
              <w:pStyle w:val="TableParagraph"/>
              <w:rPr>
                <w:rFonts w:ascii="Times New Roman"/>
                <w:sz w:val="8"/>
              </w:rPr>
            </w:pPr>
          </w:p>
        </w:tc>
        <w:tc>
          <w:tcPr>
            <w:tcW w:w="4728" w:type="dxa"/>
          </w:tcPr>
          <w:p>
            <w:pPr>
              <w:pStyle w:val="TableParagraph"/>
              <w:spacing w:line="106" w:lineRule="exact" w:before="6"/>
              <w:ind w:left="208"/>
              <w:rPr>
                <w:sz w:val="10"/>
              </w:rPr>
            </w:pPr>
            <w:r>
              <w:rPr>
                <w:sz w:val="10"/>
              </w:rPr>
              <w:t>NHS accrued income</w:t>
            </w:r>
          </w:p>
        </w:tc>
        <w:tc>
          <w:tcPr>
            <w:tcW w:w="886" w:type="dxa"/>
          </w:tcPr>
          <w:p>
            <w:pPr>
              <w:pStyle w:val="TableParagraph"/>
              <w:spacing w:line="106" w:lineRule="exact" w:before="6"/>
              <w:ind w:right="22"/>
              <w:jc w:val="right"/>
              <w:rPr>
                <w:sz w:val="10"/>
              </w:rPr>
            </w:pPr>
            <w:r>
              <w:rPr>
                <w:w w:val="100"/>
                <w:sz w:val="10"/>
              </w:rPr>
              <w:t>-</w:t>
            </w:r>
          </w:p>
        </w:tc>
        <w:tc>
          <w:tcPr>
            <w:tcW w:w="1090" w:type="dxa"/>
          </w:tcPr>
          <w:p>
            <w:pPr>
              <w:pStyle w:val="TableParagraph"/>
              <w:spacing w:line="106" w:lineRule="exact" w:before="6"/>
              <w:ind w:right="124"/>
              <w:jc w:val="right"/>
              <w:rPr>
                <w:sz w:val="10"/>
              </w:rPr>
            </w:pPr>
            <w:r>
              <w:rPr>
                <w:w w:val="100"/>
                <w:sz w:val="10"/>
              </w:rPr>
              <w:t>-</w:t>
            </w:r>
          </w:p>
        </w:tc>
        <w:tc>
          <w:tcPr>
            <w:tcW w:w="886" w:type="dxa"/>
          </w:tcPr>
          <w:p>
            <w:pPr>
              <w:pStyle w:val="TableParagraph"/>
              <w:spacing w:line="106" w:lineRule="exact" w:before="6"/>
              <w:ind w:right="23"/>
              <w:jc w:val="right"/>
              <w:rPr>
                <w:sz w:val="10"/>
              </w:rPr>
            </w:pPr>
            <w:r>
              <w:rPr>
                <w:w w:val="100"/>
                <w:sz w:val="10"/>
              </w:rPr>
              <w:t>-</w:t>
            </w:r>
          </w:p>
        </w:tc>
        <w:tc>
          <w:tcPr>
            <w:tcW w:w="1072" w:type="dxa"/>
          </w:tcPr>
          <w:p>
            <w:pPr>
              <w:pStyle w:val="TableParagraph"/>
              <w:spacing w:line="106" w:lineRule="exact" w:before="6"/>
              <w:ind w:right="102"/>
              <w:jc w:val="right"/>
              <w:rPr>
                <w:sz w:val="10"/>
              </w:rPr>
            </w:pPr>
            <w:r>
              <w:rPr>
                <w:w w:val="100"/>
                <w:sz w:val="10"/>
              </w:rPr>
              <w:t>-</w:t>
            </w:r>
          </w:p>
        </w:tc>
      </w:tr>
      <w:tr>
        <w:trPr>
          <w:trHeight w:val="127" w:hRule="atLeast"/>
        </w:trPr>
        <w:tc>
          <w:tcPr>
            <w:tcW w:w="258" w:type="dxa"/>
          </w:tcPr>
          <w:p>
            <w:pPr>
              <w:pStyle w:val="TableParagraph"/>
              <w:rPr>
                <w:rFonts w:ascii="Times New Roman"/>
                <w:sz w:val="6"/>
              </w:rPr>
            </w:pPr>
          </w:p>
        </w:tc>
        <w:tc>
          <w:tcPr>
            <w:tcW w:w="4728" w:type="dxa"/>
          </w:tcPr>
          <w:p>
            <w:pPr>
              <w:pStyle w:val="TableParagraph"/>
              <w:spacing w:line="106" w:lineRule="exact" w:before="1"/>
              <w:ind w:left="208"/>
              <w:rPr>
                <w:sz w:val="10"/>
              </w:rPr>
            </w:pPr>
            <w:r>
              <w:rPr>
                <w:sz w:val="10"/>
              </w:rPr>
              <w:t>NHS Contract Receivable not yet invoiced/non-invoice</w:t>
            </w:r>
          </w:p>
        </w:tc>
        <w:tc>
          <w:tcPr>
            <w:tcW w:w="886" w:type="dxa"/>
          </w:tcPr>
          <w:p>
            <w:pPr>
              <w:pStyle w:val="TableParagraph"/>
              <w:spacing w:line="106" w:lineRule="exact" w:before="1"/>
              <w:ind w:right="22"/>
              <w:jc w:val="right"/>
              <w:rPr>
                <w:sz w:val="10"/>
              </w:rPr>
            </w:pPr>
            <w:r>
              <w:rPr>
                <w:w w:val="100"/>
                <w:sz w:val="10"/>
              </w:rPr>
              <w:t>-</w:t>
            </w:r>
          </w:p>
        </w:tc>
        <w:tc>
          <w:tcPr>
            <w:tcW w:w="1090" w:type="dxa"/>
          </w:tcPr>
          <w:p>
            <w:pPr>
              <w:pStyle w:val="TableParagraph"/>
              <w:spacing w:line="106" w:lineRule="exact" w:before="1"/>
              <w:ind w:right="124"/>
              <w:jc w:val="right"/>
              <w:rPr>
                <w:sz w:val="10"/>
              </w:rPr>
            </w:pPr>
            <w:r>
              <w:rPr>
                <w:w w:val="100"/>
                <w:sz w:val="10"/>
              </w:rPr>
              <w:t>-</w:t>
            </w:r>
          </w:p>
        </w:tc>
        <w:tc>
          <w:tcPr>
            <w:tcW w:w="886" w:type="dxa"/>
          </w:tcPr>
          <w:p>
            <w:pPr>
              <w:pStyle w:val="TableParagraph"/>
              <w:spacing w:line="106" w:lineRule="exact" w:before="1"/>
              <w:ind w:right="23"/>
              <w:jc w:val="right"/>
              <w:rPr>
                <w:sz w:val="10"/>
              </w:rPr>
            </w:pPr>
            <w:r>
              <w:rPr>
                <w:w w:val="100"/>
                <w:sz w:val="10"/>
              </w:rPr>
              <w:t>-</w:t>
            </w:r>
          </w:p>
        </w:tc>
        <w:tc>
          <w:tcPr>
            <w:tcW w:w="1072" w:type="dxa"/>
          </w:tcPr>
          <w:p>
            <w:pPr>
              <w:pStyle w:val="TableParagraph"/>
              <w:spacing w:line="106" w:lineRule="exact" w:before="1"/>
              <w:ind w:right="102"/>
              <w:jc w:val="right"/>
              <w:rPr>
                <w:sz w:val="10"/>
              </w:rPr>
            </w:pPr>
            <w:r>
              <w:rPr>
                <w:w w:val="100"/>
                <w:sz w:val="10"/>
              </w:rPr>
              <w:t>-</w:t>
            </w:r>
          </w:p>
        </w:tc>
      </w:tr>
      <w:tr>
        <w:trPr>
          <w:trHeight w:val="127" w:hRule="atLeast"/>
        </w:trPr>
        <w:tc>
          <w:tcPr>
            <w:tcW w:w="258" w:type="dxa"/>
          </w:tcPr>
          <w:p>
            <w:pPr>
              <w:pStyle w:val="TableParagraph"/>
              <w:rPr>
                <w:rFonts w:ascii="Times New Roman"/>
                <w:sz w:val="6"/>
              </w:rPr>
            </w:pPr>
          </w:p>
        </w:tc>
        <w:tc>
          <w:tcPr>
            <w:tcW w:w="4728" w:type="dxa"/>
          </w:tcPr>
          <w:p>
            <w:pPr>
              <w:pStyle w:val="TableParagraph"/>
              <w:spacing w:line="106" w:lineRule="exact" w:before="1"/>
              <w:ind w:left="208"/>
              <w:rPr>
                <w:sz w:val="10"/>
              </w:rPr>
            </w:pPr>
            <w:r>
              <w:rPr>
                <w:sz w:val="10"/>
              </w:rPr>
              <w:t>NHS Non Contract trade receivable (i.e pass through funding)</w:t>
            </w:r>
          </w:p>
        </w:tc>
        <w:tc>
          <w:tcPr>
            <w:tcW w:w="886" w:type="dxa"/>
          </w:tcPr>
          <w:p>
            <w:pPr>
              <w:pStyle w:val="TableParagraph"/>
              <w:spacing w:line="106" w:lineRule="exact" w:before="1"/>
              <w:ind w:right="22"/>
              <w:jc w:val="right"/>
              <w:rPr>
                <w:sz w:val="10"/>
              </w:rPr>
            </w:pPr>
            <w:r>
              <w:rPr>
                <w:w w:val="100"/>
                <w:sz w:val="10"/>
              </w:rPr>
              <w:t>-</w:t>
            </w:r>
          </w:p>
        </w:tc>
        <w:tc>
          <w:tcPr>
            <w:tcW w:w="1090" w:type="dxa"/>
          </w:tcPr>
          <w:p>
            <w:pPr>
              <w:pStyle w:val="TableParagraph"/>
              <w:spacing w:line="106" w:lineRule="exact" w:before="1"/>
              <w:ind w:right="124"/>
              <w:jc w:val="right"/>
              <w:rPr>
                <w:sz w:val="10"/>
              </w:rPr>
            </w:pPr>
            <w:r>
              <w:rPr>
                <w:w w:val="100"/>
                <w:sz w:val="10"/>
              </w:rPr>
              <w:t>-</w:t>
            </w:r>
          </w:p>
        </w:tc>
        <w:tc>
          <w:tcPr>
            <w:tcW w:w="886" w:type="dxa"/>
          </w:tcPr>
          <w:p>
            <w:pPr>
              <w:pStyle w:val="TableParagraph"/>
              <w:spacing w:line="106" w:lineRule="exact" w:before="1"/>
              <w:ind w:right="23"/>
              <w:jc w:val="right"/>
              <w:rPr>
                <w:sz w:val="10"/>
              </w:rPr>
            </w:pPr>
            <w:r>
              <w:rPr>
                <w:w w:val="100"/>
                <w:sz w:val="10"/>
              </w:rPr>
              <w:t>-</w:t>
            </w:r>
          </w:p>
        </w:tc>
        <w:tc>
          <w:tcPr>
            <w:tcW w:w="1072" w:type="dxa"/>
          </w:tcPr>
          <w:p>
            <w:pPr>
              <w:pStyle w:val="TableParagraph"/>
              <w:spacing w:line="106" w:lineRule="exact" w:before="1"/>
              <w:ind w:right="102"/>
              <w:jc w:val="right"/>
              <w:rPr>
                <w:sz w:val="10"/>
              </w:rPr>
            </w:pPr>
            <w:r>
              <w:rPr>
                <w:w w:val="100"/>
                <w:sz w:val="10"/>
              </w:rPr>
              <w:t>-</w:t>
            </w:r>
          </w:p>
        </w:tc>
      </w:tr>
      <w:tr>
        <w:trPr>
          <w:trHeight w:val="124" w:hRule="atLeast"/>
        </w:trPr>
        <w:tc>
          <w:tcPr>
            <w:tcW w:w="258" w:type="dxa"/>
          </w:tcPr>
          <w:p>
            <w:pPr>
              <w:pStyle w:val="TableParagraph"/>
              <w:rPr>
                <w:rFonts w:ascii="Times New Roman"/>
                <w:sz w:val="6"/>
              </w:rPr>
            </w:pPr>
          </w:p>
        </w:tc>
        <w:tc>
          <w:tcPr>
            <w:tcW w:w="4728" w:type="dxa"/>
          </w:tcPr>
          <w:p>
            <w:pPr>
              <w:pStyle w:val="TableParagraph"/>
              <w:spacing w:line="103" w:lineRule="exact" w:before="1"/>
              <w:ind w:left="208"/>
              <w:rPr>
                <w:sz w:val="10"/>
              </w:rPr>
            </w:pPr>
            <w:r>
              <w:rPr>
                <w:sz w:val="10"/>
              </w:rPr>
              <w:t>NHS Contract Assets</w:t>
            </w:r>
          </w:p>
        </w:tc>
        <w:tc>
          <w:tcPr>
            <w:tcW w:w="886" w:type="dxa"/>
          </w:tcPr>
          <w:p>
            <w:pPr>
              <w:pStyle w:val="TableParagraph"/>
              <w:spacing w:line="103" w:lineRule="exact" w:before="1"/>
              <w:ind w:right="22"/>
              <w:jc w:val="right"/>
              <w:rPr>
                <w:sz w:val="10"/>
              </w:rPr>
            </w:pPr>
            <w:r>
              <w:rPr>
                <w:w w:val="100"/>
                <w:sz w:val="10"/>
              </w:rPr>
              <w:t>-</w:t>
            </w:r>
          </w:p>
        </w:tc>
        <w:tc>
          <w:tcPr>
            <w:tcW w:w="1090" w:type="dxa"/>
          </w:tcPr>
          <w:p>
            <w:pPr>
              <w:pStyle w:val="TableParagraph"/>
              <w:spacing w:line="103" w:lineRule="exact" w:before="1"/>
              <w:ind w:right="124"/>
              <w:jc w:val="right"/>
              <w:rPr>
                <w:sz w:val="10"/>
              </w:rPr>
            </w:pPr>
            <w:r>
              <w:rPr>
                <w:w w:val="100"/>
                <w:sz w:val="10"/>
              </w:rPr>
              <w:t>-</w:t>
            </w:r>
          </w:p>
        </w:tc>
        <w:tc>
          <w:tcPr>
            <w:tcW w:w="886" w:type="dxa"/>
          </w:tcPr>
          <w:p>
            <w:pPr>
              <w:pStyle w:val="TableParagraph"/>
              <w:spacing w:line="103" w:lineRule="exact" w:before="1"/>
              <w:ind w:right="23"/>
              <w:jc w:val="right"/>
              <w:rPr>
                <w:sz w:val="10"/>
              </w:rPr>
            </w:pPr>
            <w:r>
              <w:rPr>
                <w:w w:val="100"/>
                <w:sz w:val="10"/>
              </w:rPr>
              <w:t>-</w:t>
            </w:r>
          </w:p>
        </w:tc>
        <w:tc>
          <w:tcPr>
            <w:tcW w:w="1072" w:type="dxa"/>
          </w:tcPr>
          <w:p>
            <w:pPr>
              <w:pStyle w:val="TableParagraph"/>
              <w:spacing w:line="103" w:lineRule="exact" w:before="1"/>
              <w:ind w:right="102"/>
              <w:jc w:val="right"/>
              <w:rPr>
                <w:sz w:val="10"/>
              </w:rPr>
            </w:pPr>
            <w:r>
              <w:rPr>
                <w:w w:val="100"/>
                <w:sz w:val="10"/>
              </w:rPr>
              <w:t>-</w:t>
            </w:r>
          </w:p>
        </w:tc>
      </w:tr>
      <w:tr>
        <w:trPr>
          <w:trHeight w:val="121" w:hRule="atLeast"/>
        </w:trPr>
        <w:tc>
          <w:tcPr>
            <w:tcW w:w="258" w:type="dxa"/>
          </w:tcPr>
          <w:p>
            <w:pPr>
              <w:pStyle w:val="TableParagraph"/>
              <w:rPr>
                <w:rFonts w:ascii="Times New Roman"/>
                <w:sz w:val="6"/>
              </w:rPr>
            </w:pPr>
          </w:p>
        </w:tc>
        <w:tc>
          <w:tcPr>
            <w:tcW w:w="4728" w:type="dxa"/>
          </w:tcPr>
          <w:p>
            <w:pPr>
              <w:pStyle w:val="TableParagraph"/>
              <w:spacing w:line="101" w:lineRule="exact"/>
              <w:ind w:left="59"/>
              <w:rPr>
                <w:sz w:val="10"/>
              </w:rPr>
            </w:pPr>
            <w:r>
              <w:rPr>
                <w:b/>
                <w:sz w:val="10"/>
              </w:rPr>
              <w:t>2* </w:t>
            </w:r>
            <w:r>
              <w:rPr>
                <w:sz w:val="10"/>
              </w:rPr>
              <w:t>Non-NHS and Other WGA receivables: Revenue</w:t>
            </w:r>
          </w:p>
        </w:tc>
        <w:tc>
          <w:tcPr>
            <w:tcW w:w="886" w:type="dxa"/>
          </w:tcPr>
          <w:p>
            <w:pPr>
              <w:pStyle w:val="TableParagraph"/>
              <w:spacing w:line="101" w:lineRule="exact"/>
              <w:ind w:right="27"/>
              <w:jc w:val="right"/>
              <w:rPr>
                <w:sz w:val="10"/>
              </w:rPr>
            </w:pPr>
            <w:r>
              <w:rPr>
                <w:sz w:val="10"/>
              </w:rPr>
              <w:t>397</w:t>
            </w:r>
          </w:p>
        </w:tc>
        <w:tc>
          <w:tcPr>
            <w:tcW w:w="1090" w:type="dxa"/>
          </w:tcPr>
          <w:p>
            <w:pPr>
              <w:pStyle w:val="TableParagraph"/>
              <w:spacing w:line="101" w:lineRule="exact"/>
              <w:ind w:right="124"/>
              <w:jc w:val="right"/>
              <w:rPr>
                <w:sz w:val="10"/>
              </w:rPr>
            </w:pPr>
            <w:r>
              <w:rPr>
                <w:w w:val="100"/>
                <w:sz w:val="10"/>
              </w:rPr>
              <w:t>-</w:t>
            </w:r>
          </w:p>
        </w:tc>
        <w:tc>
          <w:tcPr>
            <w:tcW w:w="886" w:type="dxa"/>
          </w:tcPr>
          <w:p>
            <w:pPr>
              <w:pStyle w:val="TableParagraph"/>
              <w:spacing w:line="101" w:lineRule="exact"/>
              <w:ind w:right="23"/>
              <w:jc w:val="right"/>
              <w:rPr>
                <w:sz w:val="10"/>
              </w:rPr>
            </w:pPr>
            <w:r>
              <w:rPr>
                <w:sz w:val="10"/>
              </w:rPr>
              <w:t>116</w:t>
            </w:r>
          </w:p>
        </w:tc>
        <w:tc>
          <w:tcPr>
            <w:tcW w:w="1072" w:type="dxa"/>
          </w:tcPr>
          <w:p>
            <w:pPr>
              <w:pStyle w:val="TableParagraph"/>
              <w:spacing w:line="101" w:lineRule="exact"/>
              <w:ind w:right="102"/>
              <w:jc w:val="right"/>
              <w:rPr>
                <w:sz w:val="10"/>
              </w:rPr>
            </w:pPr>
            <w:r>
              <w:rPr>
                <w:w w:val="100"/>
                <w:sz w:val="10"/>
              </w:rPr>
              <w:t>-</w:t>
            </w:r>
          </w:p>
        </w:tc>
      </w:tr>
      <w:tr>
        <w:trPr>
          <w:trHeight w:val="128" w:hRule="atLeast"/>
        </w:trPr>
        <w:tc>
          <w:tcPr>
            <w:tcW w:w="4986" w:type="dxa"/>
            <w:gridSpan w:val="2"/>
          </w:tcPr>
          <w:p>
            <w:pPr>
              <w:pStyle w:val="TableParagraph"/>
              <w:spacing w:line="108" w:lineRule="exact"/>
              <w:ind w:left="466"/>
              <w:rPr>
                <w:sz w:val="10"/>
              </w:rPr>
            </w:pPr>
            <w:r>
              <w:rPr>
                <w:sz w:val="10"/>
              </w:rPr>
              <w:t>Non-NHS and Other WGA receivables: Capital</w:t>
            </w:r>
          </w:p>
        </w:tc>
        <w:tc>
          <w:tcPr>
            <w:tcW w:w="886" w:type="dxa"/>
          </w:tcPr>
          <w:p>
            <w:pPr>
              <w:pStyle w:val="TableParagraph"/>
              <w:spacing w:line="108" w:lineRule="exact"/>
              <w:ind w:right="20"/>
              <w:jc w:val="right"/>
              <w:rPr>
                <w:sz w:val="10"/>
              </w:rPr>
            </w:pPr>
            <w:r>
              <w:rPr>
                <w:w w:val="100"/>
                <w:sz w:val="10"/>
              </w:rPr>
              <w:t>-</w:t>
            </w:r>
          </w:p>
        </w:tc>
        <w:tc>
          <w:tcPr>
            <w:tcW w:w="1090" w:type="dxa"/>
          </w:tcPr>
          <w:p>
            <w:pPr>
              <w:pStyle w:val="TableParagraph"/>
              <w:spacing w:line="108" w:lineRule="exact"/>
              <w:ind w:right="121"/>
              <w:jc w:val="right"/>
              <w:rPr>
                <w:sz w:val="10"/>
              </w:rPr>
            </w:pPr>
            <w:r>
              <w:rPr>
                <w:w w:val="100"/>
                <w:sz w:val="10"/>
              </w:rPr>
              <w:t>-</w:t>
            </w:r>
          </w:p>
        </w:tc>
        <w:tc>
          <w:tcPr>
            <w:tcW w:w="886" w:type="dxa"/>
          </w:tcPr>
          <w:p>
            <w:pPr>
              <w:pStyle w:val="TableParagraph"/>
              <w:spacing w:line="108" w:lineRule="exact"/>
              <w:ind w:right="16"/>
              <w:jc w:val="right"/>
              <w:rPr>
                <w:sz w:val="10"/>
              </w:rPr>
            </w:pPr>
            <w:r>
              <w:rPr>
                <w:w w:val="100"/>
                <w:sz w:val="10"/>
              </w:rPr>
              <w:t>-</w:t>
            </w:r>
          </w:p>
        </w:tc>
        <w:tc>
          <w:tcPr>
            <w:tcW w:w="1072" w:type="dxa"/>
          </w:tcPr>
          <w:p>
            <w:pPr>
              <w:pStyle w:val="TableParagraph"/>
              <w:spacing w:line="108" w:lineRule="exact"/>
              <w:ind w:right="102"/>
              <w:jc w:val="right"/>
              <w:rPr>
                <w:sz w:val="10"/>
              </w:rPr>
            </w:pPr>
            <w:r>
              <w:rPr>
                <w:w w:val="100"/>
                <w:sz w:val="10"/>
              </w:rPr>
              <w:t>-</w:t>
            </w:r>
          </w:p>
        </w:tc>
      </w:tr>
      <w:tr>
        <w:trPr>
          <w:trHeight w:val="135" w:hRule="atLeast"/>
        </w:trPr>
        <w:tc>
          <w:tcPr>
            <w:tcW w:w="4986" w:type="dxa"/>
            <w:gridSpan w:val="2"/>
          </w:tcPr>
          <w:p>
            <w:pPr>
              <w:pStyle w:val="TableParagraph"/>
              <w:spacing w:line="109" w:lineRule="exact" w:before="6"/>
              <w:ind w:left="466"/>
              <w:rPr>
                <w:sz w:val="10"/>
              </w:rPr>
            </w:pPr>
            <w:r>
              <w:rPr>
                <w:sz w:val="10"/>
              </w:rPr>
              <w:t>Non-NHS and Other WGA prepayments</w:t>
            </w:r>
          </w:p>
        </w:tc>
        <w:tc>
          <w:tcPr>
            <w:tcW w:w="886" w:type="dxa"/>
          </w:tcPr>
          <w:p>
            <w:pPr>
              <w:pStyle w:val="TableParagraph"/>
              <w:spacing w:line="109" w:lineRule="exact" w:before="6"/>
              <w:ind w:right="20"/>
              <w:jc w:val="right"/>
              <w:rPr>
                <w:sz w:val="10"/>
              </w:rPr>
            </w:pPr>
            <w:r>
              <w:rPr>
                <w:w w:val="100"/>
                <w:sz w:val="10"/>
              </w:rPr>
              <w:t>-</w:t>
            </w:r>
          </w:p>
        </w:tc>
        <w:tc>
          <w:tcPr>
            <w:tcW w:w="1090" w:type="dxa"/>
          </w:tcPr>
          <w:p>
            <w:pPr>
              <w:pStyle w:val="TableParagraph"/>
              <w:spacing w:line="109" w:lineRule="exact" w:before="6"/>
              <w:ind w:right="121"/>
              <w:jc w:val="right"/>
              <w:rPr>
                <w:sz w:val="10"/>
              </w:rPr>
            </w:pPr>
            <w:r>
              <w:rPr>
                <w:w w:val="100"/>
                <w:sz w:val="10"/>
              </w:rPr>
              <w:t>-</w:t>
            </w:r>
          </w:p>
        </w:tc>
        <w:tc>
          <w:tcPr>
            <w:tcW w:w="886" w:type="dxa"/>
          </w:tcPr>
          <w:p>
            <w:pPr>
              <w:pStyle w:val="TableParagraph"/>
              <w:spacing w:line="109" w:lineRule="exact" w:before="6"/>
              <w:ind w:right="16"/>
              <w:jc w:val="right"/>
              <w:rPr>
                <w:sz w:val="10"/>
              </w:rPr>
            </w:pPr>
            <w:r>
              <w:rPr>
                <w:w w:val="100"/>
                <w:sz w:val="10"/>
              </w:rPr>
              <w:t>-</w:t>
            </w:r>
          </w:p>
        </w:tc>
        <w:tc>
          <w:tcPr>
            <w:tcW w:w="1072" w:type="dxa"/>
          </w:tcPr>
          <w:p>
            <w:pPr>
              <w:pStyle w:val="TableParagraph"/>
              <w:spacing w:line="109" w:lineRule="exact" w:before="6"/>
              <w:ind w:right="102"/>
              <w:jc w:val="right"/>
              <w:rPr>
                <w:sz w:val="10"/>
              </w:rPr>
            </w:pPr>
            <w:r>
              <w:rPr>
                <w:w w:val="100"/>
                <w:sz w:val="10"/>
              </w:rPr>
              <w:t>-</w:t>
            </w:r>
          </w:p>
        </w:tc>
      </w:tr>
      <w:tr>
        <w:trPr>
          <w:trHeight w:val="141" w:hRule="atLeast"/>
        </w:trPr>
        <w:tc>
          <w:tcPr>
            <w:tcW w:w="4986" w:type="dxa"/>
            <w:gridSpan w:val="2"/>
          </w:tcPr>
          <w:p>
            <w:pPr>
              <w:pStyle w:val="TableParagraph"/>
              <w:spacing w:before="5"/>
              <w:ind w:left="466"/>
              <w:rPr>
                <w:sz w:val="10"/>
              </w:rPr>
            </w:pPr>
            <w:r>
              <w:rPr>
                <w:sz w:val="10"/>
              </w:rPr>
              <w:t>Non-NHS and Other WGA accrued income</w:t>
            </w:r>
          </w:p>
        </w:tc>
        <w:tc>
          <w:tcPr>
            <w:tcW w:w="886" w:type="dxa"/>
          </w:tcPr>
          <w:p>
            <w:pPr>
              <w:pStyle w:val="TableParagraph"/>
              <w:spacing w:line="114" w:lineRule="exact" w:before="7"/>
              <w:ind w:right="20"/>
              <w:jc w:val="right"/>
              <w:rPr>
                <w:sz w:val="10"/>
              </w:rPr>
            </w:pPr>
            <w:r>
              <w:rPr>
                <w:sz w:val="10"/>
              </w:rPr>
              <w:t>29</w:t>
            </w:r>
          </w:p>
        </w:tc>
        <w:tc>
          <w:tcPr>
            <w:tcW w:w="1090" w:type="dxa"/>
          </w:tcPr>
          <w:p>
            <w:pPr>
              <w:pStyle w:val="TableParagraph"/>
              <w:spacing w:line="114" w:lineRule="exact" w:before="7"/>
              <w:ind w:right="121"/>
              <w:jc w:val="right"/>
              <w:rPr>
                <w:sz w:val="10"/>
              </w:rPr>
            </w:pPr>
            <w:r>
              <w:rPr>
                <w:w w:val="100"/>
                <w:sz w:val="10"/>
              </w:rPr>
              <w:t>-</w:t>
            </w:r>
          </w:p>
        </w:tc>
        <w:tc>
          <w:tcPr>
            <w:tcW w:w="886" w:type="dxa"/>
          </w:tcPr>
          <w:p>
            <w:pPr>
              <w:pStyle w:val="TableParagraph"/>
              <w:spacing w:line="114" w:lineRule="exact" w:before="7"/>
              <w:ind w:right="16"/>
              <w:jc w:val="right"/>
              <w:rPr>
                <w:sz w:val="10"/>
              </w:rPr>
            </w:pPr>
            <w:r>
              <w:rPr>
                <w:w w:val="100"/>
                <w:sz w:val="10"/>
              </w:rPr>
              <w:t>-</w:t>
            </w:r>
          </w:p>
        </w:tc>
        <w:tc>
          <w:tcPr>
            <w:tcW w:w="1072" w:type="dxa"/>
          </w:tcPr>
          <w:p>
            <w:pPr>
              <w:pStyle w:val="TableParagraph"/>
              <w:spacing w:line="114" w:lineRule="exact" w:before="7"/>
              <w:ind w:right="102"/>
              <w:jc w:val="right"/>
              <w:rPr>
                <w:sz w:val="10"/>
              </w:rPr>
            </w:pPr>
            <w:r>
              <w:rPr>
                <w:w w:val="100"/>
                <w:sz w:val="10"/>
              </w:rPr>
              <w:t>-</w:t>
            </w:r>
          </w:p>
        </w:tc>
      </w:tr>
      <w:tr>
        <w:trPr>
          <w:trHeight w:val="140" w:hRule="atLeast"/>
        </w:trPr>
        <w:tc>
          <w:tcPr>
            <w:tcW w:w="4986" w:type="dxa"/>
            <w:gridSpan w:val="2"/>
          </w:tcPr>
          <w:p>
            <w:pPr>
              <w:pStyle w:val="TableParagraph"/>
              <w:spacing w:line="108" w:lineRule="exact" w:before="12"/>
              <w:ind w:left="466"/>
              <w:rPr>
                <w:sz w:val="10"/>
              </w:rPr>
            </w:pPr>
            <w:r>
              <w:rPr>
                <w:sz w:val="10"/>
              </w:rPr>
              <w:t>Non-NHS and Other WGA Contract Receivable not yet invoiced/non-invoice</w:t>
            </w:r>
          </w:p>
        </w:tc>
        <w:tc>
          <w:tcPr>
            <w:tcW w:w="886" w:type="dxa"/>
          </w:tcPr>
          <w:p>
            <w:pPr>
              <w:pStyle w:val="TableParagraph"/>
              <w:spacing w:line="111" w:lineRule="exact" w:before="10"/>
              <w:ind w:right="20"/>
              <w:jc w:val="right"/>
              <w:rPr>
                <w:sz w:val="10"/>
              </w:rPr>
            </w:pPr>
            <w:r>
              <w:rPr>
                <w:w w:val="100"/>
                <w:sz w:val="10"/>
              </w:rPr>
              <w:t>-</w:t>
            </w:r>
          </w:p>
        </w:tc>
        <w:tc>
          <w:tcPr>
            <w:tcW w:w="1090" w:type="dxa"/>
          </w:tcPr>
          <w:p>
            <w:pPr>
              <w:pStyle w:val="TableParagraph"/>
              <w:spacing w:line="111" w:lineRule="exact" w:before="10"/>
              <w:ind w:right="121"/>
              <w:jc w:val="right"/>
              <w:rPr>
                <w:sz w:val="10"/>
              </w:rPr>
            </w:pPr>
            <w:r>
              <w:rPr>
                <w:w w:val="100"/>
                <w:sz w:val="10"/>
              </w:rPr>
              <w:t>-</w:t>
            </w:r>
          </w:p>
        </w:tc>
        <w:tc>
          <w:tcPr>
            <w:tcW w:w="886" w:type="dxa"/>
          </w:tcPr>
          <w:p>
            <w:pPr>
              <w:pStyle w:val="TableParagraph"/>
              <w:spacing w:line="111" w:lineRule="exact" w:before="10"/>
              <w:ind w:right="16"/>
              <w:jc w:val="right"/>
              <w:rPr>
                <w:sz w:val="10"/>
              </w:rPr>
            </w:pPr>
            <w:r>
              <w:rPr>
                <w:w w:val="100"/>
                <w:sz w:val="10"/>
              </w:rPr>
              <w:t>-</w:t>
            </w:r>
          </w:p>
        </w:tc>
        <w:tc>
          <w:tcPr>
            <w:tcW w:w="1072" w:type="dxa"/>
          </w:tcPr>
          <w:p>
            <w:pPr>
              <w:pStyle w:val="TableParagraph"/>
              <w:spacing w:line="111" w:lineRule="exact" w:before="10"/>
              <w:ind w:right="102"/>
              <w:jc w:val="right"/>
              <w:rPr>
                <w:sz w:val="10"/>
              </w:rPr>
            </w:pPr>
            <w:r>
              <w:rPr>
                <w:w w:val="100"/>
                <w:sz w:val="10"/>
              </w:rPr>
              <w:t>-</w:t>
            </w:r>
          </w:p>
        </w:tc>
      </w:tr>
      <w:tr>
        <w:trPr>
          <w:trHeight w:val="136" w:hRule="atLeast"/>
        </w:trPr>
        <w:tc>
          <w:tcPr>
            <w:tcW w:w="4986" w:type="dxa"/>
            <w:gridSpan w:val="2"/>
          </w:tcPr>
          <w:p>
            <w:pPr>
              <w:pStyle w:val="TableParagraph"/>
              <w:spacing w:line="113" w:lineRule="exact" w:before="4"/>
              <w:ind w:left="466"/>
              <w:rPr>
                <w:sz w:val="10"/>
              </w:rPr>
            </w:pPr>
            <w:r>
              <w:rPr>
                <w:sz w:val="10"/>
              </w:rPr>
              <w:t>Non-NHS and Other WGA Non Contract trade receivable (i.e pass through funding)</w:t>
            </w:r>
          </w:p>
        </w:tc>
        <w:tc>
          <w:tcPr>
            <w:tcW w:w="886" w:type="dxa"/>
          </w:tcPr>
          <w:p>
            <w:pPr>
              <w:pStyle w:val="TableParagraph"/>
              <w:spacing w:line="113" w:lineRule="exact" w:before="4"/>
              <w:ind w:right="20"/>
              <w:jc w:val="right"/>
              <w:rPr>
                <w:sz w:val="10"/>
              </w:rPr>
            </w:pPr>
            <w:r>
              <w:rPr>
                <w:w w:val="100"/>
                <w:sz w:val="10"/>
              </w:rPr>
              <w:t>-</w:t>
            </w:r>
          </w:p>
        </w:tc>
        <w:tc>
          <w:tcPr>
            <w:tcW w:w="1090" w:type="dxa"/>
          </w:tcPr>
          <w:p>
            <w:pPr>
              <w:pStyle w:val="TableParagraph"/>
              <w:spacing w:line="113" w:lineRule="exact" w:before="4"/>
              <w:ind w:right="121"/>
              <w:jc w:val="right"/>
              <w:rPr>
                <w:sz w:val="10"/>
              </w:rPr>
            </w:pPr>
            <w:r>
              <w:rPr>
                <w:w w:val="100"/>
                <w:sz w:val="10"/>
              </w:rPr>
              <w:t>-</w:t>
            </w:r>
          </w:p>
        </w:tc>
        <w:tc>
          <w:tcPr>
            <w:tcW w:w="886" w:type="dxa"/>
          </w:tcPr>
          <w:p>
            <w:pPr>
              <w:pStyle w:val="TableParagraph"/>
              <w:spacing w:line="113" w:lineRule="exact" w:before="4"/>
              <w:ind w:right="16"/>
              <w:jc w:val="right"/>
              <w:rPr>
                <w:sz w:val="10"/>
              </w:rPr>
            </w:pPr>
            <w:r>
              <w:rPr>
                <w:w w:val="100"/>
                <w:sz w:val="10"/>
              </w:rPr>
              <w:t>-</w:t>
            </w:r>
          </w:p>
        </w:tc>
        <w:tc>
          <w:tcPr>
            <w:tcW w:w="1072" w:type="dxa"/>
          </w:tcPr>
          <w:p>
            <w:pPr>
              <w:pStyle w:val="TableParagraph"/>
              <w:spacing w:line="113" w:lineRule="exact" w:before="4"/>
              <w:ind w:right="102"/>
              <w:jc w:val="right"/>
              <w:rPr>
                <w:sz w:val="10"/>
              </w:rPr>
            </w:pPr>
            <w:r>
              <w:rPr>
                <w:w w:val="100"/>
                <w:sz w:val="10"/>
              </w:rPr>
              <w:t>-</w:t>
            </w:r>
          </w:p>
        </w:tc>
      </w:tr>
      <w:tr>
        <w:trPr>
          <w:trHeight w:val="140" w:hRule="atLeast"/>
        </w:trPr>
        <w:tc>
          <w:tcPr>
            <w:tcW w:w="4986" w:type="dxa"/>
            <w:gridSpan w:val="2"/>
          </w:tcPr>
          <w:p>
            <w:pPr>
              <w:pStyle w:val="TableParagraph"/>
              <w:spacing w:line="112" w:lineRule="exact" w:before="8"/>
              <w:ind w:left="466"/>
              <w:rPr>
                <w:sz w:val="10"/>
              </w:rPr>
            </w:pPr>
            <w:r>
              <w:rPr>
                <w:sz w:val="10"/>
              </w:rPr>
              <w:t>Non-NHS Contract Assets</w:t>
            </w:r>
          </w:p>
        </w:tc>
        <w:tc>
          <w:tcPr>
            <w:tcW w:w="886" w:type="dxa"/>
          </w:tcPr>
          <w:p>
            <w:pPr>
              <w:pStyle w:val="TableParagraph"/>
              <w:spacing w:line="112" w:lineRule="exact" w:before="8"/>
              <w:ind w:right="20"/>
              <w:jc w:val="right"/>
              <w:rPr>
                <w:sz w:val="10"/>
              </w:rPr>
            </w:pPr>
            <w:r>
              <w:rPr>
                <w:w w:val="100"/>
                <w:sz w:val="10"/>
              </w:rPr>
              <w:t>-</w:t>
            </w:r>
          </w:p>
        </w:tc>
        <w:tc>
          <w:tcPr>
            <w:tcW w:w="1090" w:type="dxa"/>
          </w:tcPr>
          <w:p>
            <w:pPr>
              <w:pStyle w:val="TableParagraph"/>
              <w:spacing w:line="112" w:lineRule="exact" w:before="8"/>
              <w:ind w:right="121"/>
              <w:jc w:val="right"/>
              <w:rPr>
                <w:sz w:val="10"/>
              </w:rPr>
            </w:pPr>
            <w:r>
              <w:rPr>
                <w:w w:val="100"/>
                <w:sz w:val="10"/>
              </w:rPr>
              <w:t>-</w:t>
            </w:r>
          </w:p>
        </w:tc>
        <w:tc>
          <w:tcPr>
            <w:tcW w:w="886" w:type="dxa"/>
          </w:tcPr>
          <w:p>
            <w:pPr>
              <w:pStyle w:val="TableParagraph"/>
              <w:spacing w:line="112" w:lineRule="exact" w:before="8"/>
              <w:ind w:right="16"/>
              <w:jc w:val="right"/>
              <w:rPr>
                <w:sz w:val="10"/>
              </w:rPr>
            </w:pPr>
            <w:r>
              <w:rPr>
                <w:w w:val="100"/>
                <w:sz w:val="10"/>
              </w:rPr>
              <w:t>-</w:t>
            </w:r>
          </w:p>
        </w:tc>
        <w:tc>
          <w:tcPr>
            <w:tcW w:w="1072" w:type="dxa"/>
          </w:tcPr>
          <w:p>
            <w:pPr>
              <w:pStyle w:val="TableParagraph"/>
              <w:spacing w:line="112" w:lineRule="exact" w:before="8"/>
              <w:ind w:right="102"/>
              <w:jc w:val="right"/>
              <w:rPr>
                <w:sz w:val="10"/>
              </w:rPr>
            </w:pPr>
            <w:r>
              <w:rPr>
                <w:w w:val="100"/>
                <w:sz w:val="10"/>
              </w:rPr>
              <w:t>-</w:t>
            </w:r>
          </w:p>
        </w:tc>
      </w:tr>
      <w:tr>
        <w:trPr>
          <w:trHeight w:val="141" w:hRule="atLeast"/>
        </w:trPr>
        <w:tc>
          <w:tcPr>
            <w:tcW w:w="4986" w:type="dxa"/>
            <w:gridSpan w:val="2"/>
          </w:tcPr>
          <w:p>
            <w:pPr>
              <w:pStyle w:val="TableParagraph"/>
              <w:spacing w:line="114" w:lineRule="exact" w:before="7"/>
              <w:ind w:left="466"/>
              <w:rPr>
                <w:sz w:val="10"/>
              </w:rPr>
            </w:pPr>
            <w:r>
              <w:rPr>
                <w:sz w:val="10"/>
              </w:rPr>
              <w:t>Expected credit loss allowance-receivables</w:t>
            </w:r>
          </w:p>
        </w:tc>
        <w:tc>
          <w:tcPr>
            <w:tcW w:w="886" w:type="dxa"/>
          </w:tcPr>
          <w:p>
            <w:pPr>
              <w:pStyle w:val="TableParagraph"/>
              <w:spacing w:line="114" w:lineRule="exact" w:before="7"/>
              <w:ind w:right="20"/>
              <w:jc w:val="right"/>
              <w:rPr>
                <w:sz w:val="10"/>
              </w:rPr>
            </w:pPr>
            <w:r>
              <w:rPr>
                <w:w w:val="100"/>
                <w:sz w:val="10"/>
              </w:rPr>
              <w:t>-</w:t>
            </w:r>
          </w:p>
        </w:tc>
        <w:tc>
          <w:tcPr>
            <w:tcW w:w="1090" w:type="dxa"/>
          </w:tcPr>
          <w:p>
            <w:pPr>
              <w:pStyle w:val="TableParagraph"/>
              <w:spacing w:line="114" w:lineRule="exact" w:before="7"/>
              <w:ind w:right="121"/>
              <w:jc w:val="right"/>
              <w:rPr>
                <w:sz w:val="10"/>
              </w:rPr>
            </w:pPr>
            <w:r>
              <w:rPr>
                <w:w w:val="100"/>
                <w:sz w:val="10"/>
              </w:rPr>
              <w:t>-</w:t>
            </w:r>
          </w:p>
        </w:tc>
        <w:tc>
          <w:tcPr>
            <w:tcW w:w="886" w:type="dxa"/>
          </w:tcPr>
          <w:p>
            <w:pPr>
              <w:pStyle w:val="TableParagraph"/>
              <w:spacing w:line="114" w:lineRule="exact" w:before="7"/>
              <w:ind w:right="16"/>
              <w:jc w:val="right"/>
              <w:rPr>
                <w:sz w:val="10"/>
              </w:rPr>
            </w:pPr>
            <w:r>
              <w:rPr>
                <w:w w:val="100"/>
                <w:sz w:val="10"/>
              </w:rPr>
              <w:t>-</w:t>
            </w:r>
          </w:p>
        </w:tc>
        <w:tc>
          <w:tcPr>
            <w:tcW w:w="1072" w:type="dxa"/>
          </w:tcPr>
          <w:p>
            <w:pPr>
              <w:pStyle w:val="TableParagraph"/>
              <w:spacing w:line="114" w:lineRule="exact" w:before="7"/>
              <w:ind w:right="102"/>
              <w:jc w:val="right"/>
              <w:rPr>
                <w:sz w:val="10"/>
              </w:rPr>
            </w:pPr>
            <w:r>
              <w:rPr>
                <w:w w:val="100"/>
                <w:sz w:val="10"/>
              </w:rPr>
              <w:t>-</w:t>
            </w:r>
          </w:p>
        </w:tc>
      </w:tr>
      <w:tr>
        <w:trPr>
          <w:trHeight w:val="160" w:hRule="atLeast"/>
        </w:trPr>
        <w:tc>
          <w:tcPr>
            <w:tcW w:w="4986" w:type="dxa"/>
            <w:gridSpan w:val="2"/>
          </w:tcPr>
          <w:p>
            <w:pPr>
              <w:pStyle w:val="TableParagraph"/>
              <w:spacing w:before="10"/>
              <w:ind w:left="466"/>
              <w:rPr>
                <w:sz w:val="10"/>
              </w:rPr>
            </w:pPr>
            <w:r>
              <w:rPr>
                <w:sz w:val="10"/>
              </w:rPr>
              <w:t>VAT</w:t>
            </w:r>
          </w:p>
        </w:tc>
        <w:tc>
          <w:tcPr>
            <w:tcW w:w="886" w:type="dxa"/>
          </w:tcPr>
          <w:p>
            <w:pPr>
              <w:pStyle w:val="TableParagraph"/>
              <w:spacing w:before="12"/>
              <w:ind w:right="20"/>
              <w:jc w:val="right"/>
              <w:rPr>
                <w:sz w:val="10"/>
              </w:rPr>
            </w:pPr>
            <w:r>
              <w:rPr>
                <w:sz w:val="10"/>
              </w:rPr>
              <w:t>10</w:t>
            </w:r>
          </w:p>
        </w:tc>
        <w:tc>
          <w:tcPr>
            <w:tcW w:w="1090" w:type="dxa"/>
          </w:tcPr>
          <w:p>
            <w:pPr>
              <w:pStyle w:val="TableParagraph"/>
              <w:spacing w:before="12"/>
              <w:ind w:right="121"/>
              <w:jc w:val="right"/>
              <w:rPr>
                <w:sz w:val="10"/>
              </w:rPr>
            </w:pPr>
            <w:r>
              <w:rPr>
                <w:w w:val="100"/>
                <w:sz w:val="10"/>
              </w:rPr>
              <w:t>-</w:t>
            </w:r>
          </w:p>
        </w:tc>
        <w:tc>
          <w:tcPr>
            <w:tcW w:w="886" w:type="dxa"/>
          </w:tcPr>
          <w:p>
            <w:pPr>
              <w:pStyle w:val="TableParagraph"/>
              <w:spacing w:before="12"/>
              <w:ind w:right="18"/>
              <w:jc w:val="right"/>
              <w:rPr>
                <w:sz w:val="10"/>
              </w:rPr>
            </w:pPr>
            <w:r>
              <w:rPr>
                <w:sz w:val="10"/>
              </w:rPr>
              <w:t>21</w:t>
            </w:r>
          </w:p>
        </w:tc>
        <w:tc>
          <w:tcPr>
            <w:tcW w:w="1072" w:type="dxa"/>
          </w:tcPr>
          <w:p>
            <w:pPr>
              <w:pStyle w:val="TableParagraph"/>
              <w:spacing w:before="12"/>
              <w:ind w:right="102"/>
              <w:jc w:val="right"/>
              <w:rPr>
                <w:sz w:val="10"/>
              </w:rPr>
            </w:pPr>
            <w:r>
              <w:rPr>
                <w:w w:val="100"/>
                <w:sz w:val="10"/>
              </w:rPr>
              <w:t>-</w:t>
            </w:r>
          </w:p>
        </w:tc>
      </w:tr>
      <w:tr>
        <w:trPr>
          <w:trHeight w:val="282" w:hRule="atLeast"/>
        </w:trPr>
        <w:tc>
          <w:tcPr>
            <w:tcW w:w="4986" w:type="dxa"/>
            <w:gridSpan w:val="2"/>
          </w:tcPr>
          <w:p>
            <w:pPr>
              <w:pStyle w:val="TableParagraph"/>
              <w:spacing w:line="249" w:lineRule="auto" w:before="24"/>
              <w:ind w:left="466" w:right="143"/>
              <w:rPr>
                <w:sz w:val="10"/>
              </w:rPr>
            </w:pPr>
            <w:r>
              <w:rPr>
                <w:sz w:val="10"/>
              </w:rPr>
              <w:t>Private finance initiative and other public private partnership arrangement prepayments and accrued income</w:t>
            </w:r>
          </w:p>
        </w:tc>
        <w:tc>
          <w:tcPr>
            <w:tcW w:w="886" w:type="dxa"/>
          </w:tcPr>
          <w:p>
            <w:pPr>
              <w:pStyle w:val="TableParagraph"/>
              <w:spacing w:before="11"/>
              <w:rPr>
                <w:sz w:val="12"/>
              </w:rPr>
            </w:pPr>
          </w:p>
          <w:p>
            <w:pPr>
              <w:pStyle w:val="TableParagraph"/>
              <w:spacing w:line="113" w:lineRule="exact"/>
              <w:ind w:right="20"/>
              <w:jc w:val="right"/>
              <w:rPr>
                <w:sz w:val="10"/>
              </w:rPr>
            </w:pPr>
            <w:r>
              <w:rPr>
                <w:w w:val="100"/>
                <w:sz w:val="10"/>
              </w:rPr>
              <w:t>-</w:t>
            </w:r>
          </w:p>
        </w:tc>
        <w:tc>
          <w:tcPr>
            <w:tcW w:w="1090" w:type="dxa"/>
          </w:tcPr>
          <w:p>
            <w:pPr>
              <w:pStyle w:val="TableParagraph"/>
              <w:spacing w:before="11"/>
              <w:rPr>
                <w:sz w:val="12"/>
              </w:rPr>
            </w:pPr>
          </w:p>
          <w:p>
            <w:pPr>
              <w:pStyle w:val="TableParagraph"/>
              <w:spacing w:line="113" w:lineRule="exact"/>
              <w:ind w:right="121"/>
              <w:jc w:val="right"/>
              <w:rPr>
                <w:sz w:val="10"/>
              </w:rPr>
            </w:pPr>
            <w:r>
              <w:rPr>
                <w:w w:val="100"/>
                <w:sz w:val="10"/>
              </w:rPr>
              <w:t>-</w:t>
            </w:r>
          </w:p>
        </w:tc>
        <w:tc>
          <w:tcPr>
            <w:tcW w:w="886" w:type="dxa"/>
          </w:tcPr>
          <w:p>
            <w:pPr>
              <w:pStyle w:val="TableParagraph"/>
              <w:spacing w:before="11"/>
              <w:rPr>
                <w:sz w:val="12"/>
              </w:rPr>
            </w:pPr>
          </w:p>
          <w:p>
            <w:pPr>
              <w:pStyle w:val="TableParagraph"/>
              <w:spacing w:line="113" w:lineRule="exact"/>
              <w:ind w:right="16"/>
              <w:jc w:val="right"/>
              <w:rPr>
                <w:sz w:val="10"/>
              </w:rPr>
            </w:pPr>
            <w:r>
              <w:rPr>
                <w:w w:val="100"/>
                <w:sz w:val="10"/>
              </w:rPr>
              <w:t>-</w:t>
            </w:r>
          </w:p>
        </w:tc>
        <w:tc>
          <w:tcPr>
            <w:tcW w:w="1072" w:type="dxa"/>
          </w:tcPr>
          <w:p>
            <w:pPr>
              <w:pStyle w:val="TableParagraph"/>
              <w:spacing w:before="11"/>
              <w:rPr>
                <w:sz w:val="12"/>
              </w:rPr>
            </w:pPr>
          </w:p>
          <w:p>
            <w:pPr>
              <w:pStyle w:val="TableParagraph"/>
              <w:spacing w:line="113" w:lineRule="exact"/>
              <w:ind w:right="102"/>
              <w:jc w:val="right"/>
              <w:rPr>
                <w:sz w:val="10"/>
              </w:rPr>
            </w:pPr>
            <w:r>
              <w:rPr>
                <w:w w:val="100"/>
                <w:sz w:val="10"/>
              </w:rPr>
              <w:t>-</w:t>
            </w:r>
          </w:p>
        </w:tc>
      </w:tr>
      <w:tr>
        <w:trPr>
          <w:trHeight w:val="141" w:hRule="atLeast"/>
        </w:trPr>
        <w:tc>
          <w:tcPr>
            <w:tcW w:w="4986" w:type="dxa"/>
            <w:gridSpan w:val="2"/>
          </w:tcPr>
          <w:p>
            <w:pPr>
              <w:pStyle w:val="TableParagraph"/>
              <w:spacing w:line="113" w:lineRule="exact" w:before="8"/>
              <w:ind w:left="466"/>
              <w:rPr>
                <w:sz w:val="10"/>
              </w:rPr>
            </w:pPr>
            <w:r>
              <w:rPr>
                <w:sz w:val="10"/>
              </w:rPr>
              <w:t>Interest receivables</w:t>
            </w:r>
          </w:p>
        </w:tc>
        <w:tc>
          <w:tcPr>
            <w:tcW w:w="886" w:type="dxa"/>
          </w:tcPr>
          <w:p>
            <w:pPr>
              <w:pStyle w:val="TableParagraph"/>
              <w:spacing w:line="113" w:lineRule="exact" w:before="8"/>
              <w:ind w:right="20"/>
              <w:jc w:val="right"/>
              <w:rPr>
                <w:sz w:val="10"/>
              </w:rPr>
            </w:pPr>
            <w:r>
              <w:rPr>
                <w:w w:val="100"/>
                <w:sz w:val="10"/>
              </w:rPr>
              <w:t>-</w:t>
            </w:r>
          </w:p>
        </w:tc>
        <w:tc>
          <w:tcPr>
            <w:tcW w:w="1090" w:type="dxa"/>
          </w:tcPr>
          <w:p>
            <w:pPr>
              <w:pStyle w:val="TableParagraph"/>
              <w:spacing w:line="113" w:lineRule="exact" w:before="8"/>
              <w:ind w:right="121"/>
              <w:jc w:val="right"/>
              <w:rPr>
                <w:sz w:val="10"/>
              </w:rPr>
            </w:pPr>
            <w:r>
              <w:rPr>
                <w:w w:val="100"/>
                <w:sz w:val="10"/>
              </w:rPr>
              <w:t>-</w:t>
            </w:r>
          </w:p>
        </w:tc>
        <w:tc>
          <w:tcPr>
            <w:tcW w:w="886" w:type="dxa"/>
          </w:tcPr>
          <w:p>
            <w:pPr>
              <w:pStyle w:val="TableParagraph"/>
              <w:spacing w:line="113" w:lineRule="exact" w:before="8"/>
              <w:ind w:right="16"/>
              <w:jc w:val="right"/>
              <w:rPr>
                <w:sz w:val="10"/>
              </w:rPr>
            </w:pPr>
            <w:r>
              <w:rPr>
                <w:w w:val="100"/>
                <w:sz w:val="10"/>
              </w:rPr>
              <w:t>-</w:t>
            </w:r>
          </w:p>
        </w:tc>
        <w:tc>
          <w:tcPr>
            <w:tcW w:w="1072" w:type="dxa"/>
          </w:tcPr>
          <w:p>
            <w:pPr>
              <w:pStyle w:val="TableParagraph"/>
              <w:spacing w:line="113" w:lineRule="exact" w:before="8"/>
              <w:ind w:right="102"/>
              <w:jc w:val="right"/>
              <w:rPr>
                <w:sz w:val="10"/>
              </w:rPr>
            </w:pPr>
            <w:r>
              <w:rPr>
                <w:w w:val="100"/>
                <w:sz w:val="10"/>
              </w:rPr>
              <w:t>-</w:t>
            </w:r>
          </w:p>
        </w:tc>
      </w:tr>
      <w:tr>
        <w:trPr>
          <w:trHeight w:val="141" w:hRule="atLeast"/>
        </w:trPr>
        <w:tc>
          <w:tcPr>
            <w:tcW w:w="4986" w:type="dxa"/>
            <w:gridSpan w:val="2"/>
          </w:tcPr>
          <w:p>
            <w:pPr>
              <w:pStyle w:val="TableParagraph"/>
              <w:spacing w:line="113" w:lineRule="exact" w:before="8"/>
              <w:ind w:left="466"/>
              <w:rPr>
                <w:sz w:val="10"/>
              </w:rPr>
            </w:pPr>
            <w:r>
              <w:rPr>
                <w:sz w:val="10"/>
              </w:rPr>
              <w:t>Finance lease receivables</w:t>
            </w:r>
          </w:p>
        </w:tc>
        <w:tc>
          <w:tcPr>
            <w:tcW w:w="886" w:type="dxa"/>
          </w:tcPr>
          <w:p>
            <w:pPr>
              <w:pStyle w:val="TableParagraph"/>
              <w:spacing w:line="113" w:lineRule="exact" w:before="8"/>
              <w:ind w:right="20"/>
              <w:jc w:val="right"/>
              <w:rPr>
                <w:sz w:val="10"/>
              </w:rPr>
            </w:pPr>
            <w:r>
              <w:rPr>
                <w:w w:val="100"/>
                <w:sz w:val="10"/>
              </w:rPr>
              <w:t>-</w:t>
            </w:r>
          </w:p>
        </w:tc>
        <w:tc>
          <w:tcPr>
            <w:tcW w:w="1090" w:type="dxa"/>
          </w:tcPr>
          <w:p>
            <w:pPr>
              <w:pStyle w:val="TableParagraph"/>
              <w:spacing w:line="113" w:lineRule="exact" w:before="8"/>
              <w:ind w:right="121"/>
              <w:jc w:val="right"/>
              <w:rPr>
                <w:sz w:val="10"/>
              </w:rPr>
            </w:pPr>
            <w:r>
              <w:rPr>
                <w:w w:val="100"/>
                <w:sz w:val="10"/>
              </w:rPr>
              <w:t>-</w:t>
            </w:r>
          </w:p>
        </w:tc>
        <w:tc>
          <w:tcPr>
            <w:tcW w:w="886" w:type="dxa"/>
          </w:tcPr>
          <w:p>
            <w:pPr>
              <w:pStyle w:val="TableParagraph"/>
              <w:spacing w:line="113" w:lineRule="exact" w:before="8"/>
              <w:ind w:right="16"/>
              <w:jc w:val="right"/>
              <w:rPr>
                <w:sz w:val="10"/>
              </w:rPr>
            </w:pPr>
            <w:r>
              <w:rPr>
                <w:w w:val="100"/>
                <w:sz w:val="10"/>
              </w:rPr>
              <w:t>-</w:t>
            </w:r>
          </w:p>
        </w:tc>
        <w:tc>
          <w:tcPr>
            <w:tcW w:w="1072" w:type="dxa"/>
          </w:tcPr>
          <w:p>
            <w:pPr>
              <w:pStyle w:val="TableParagraph"/>
              <w:spacing w:line="113" w:lineRule="exact" w:before="8"/>
              <w:ind w:right="102"/>
              <w:jc w:val="right"/>
              <w:rPr>
                <w:sz w:val="10"/>
              </w:rPr>
            </w:pPr>
            <w:r>
              <w:rPr>
                <w:w w:val="100"/>
                <w:sz w:val="10"/>
              </w:rPr>
              <w:t>-</w:t>
            </w:r>
          </w:p>
        </w:tc>
      </w:tr>
      <w:tr>
        <w:trPr>
          <w:trHeight w:val="138" w:hRule="atLeast"/>
        </w:trPr>
        <w:tc>
          <w:tcPr>
            <w:tcW w:w="4986" w:type="dxa"/>
            <w:gridSpan w:val="2"/>
          </w:tcPr>
          <w:p>
            <w:pPr>
              <w:pStyle w:val="TableParagraph"/>
              <w:spacing w:line="109" w:lineRule="exact" w:before="8"/>
              <w:ind w:left="466"/>
              <w:rPr>
                <w:sz w:val="10"/>
              </w:rPr>
            </w:pPr>
            <w:r>
              <w:rPr>
                <w:sz w:val="10"/>
              </w:rPr>
              <w:t>Operating lease receivables</w:t>
            </w:r>
          </w:p>
        </w:tc>
        <w:tc>
          <w:tcPr>
            <w:tcW w:w="886" w:type="dxa"/>
          </w:tcPr>
          <w:p>
            <w:pPr>
              <w:pStyle w:val="TableParagraph"/>
              <w:spacing w:line="109" w:lineRule="exact" w:before="8"/>
              <w:ind w:right="20"/>
              <w:jc w:val="right"/>
              <w:rPr>
                <w:sz w:val="10"/>
              </w:rPr>
            </w:pPr>
            <w:r>
              <w:rPr>
                <w:w w:val="100"/>
                <w:sz w:val="10"/>
              </w:rPr>
              <w:t>-</w:t>
            </w:r>
          </w:p>
        </w:tc>
        <w:tc>
          <w:tcPr>
            <w:tcW w:w="1090" w:type="dxa"/>
          </w:tcPr>
          <w:p>
            <w:pPr>
              <w:pStyle w:val="TableParagraph"/>
              <w:spacing w:line="109" w:lineRule="exact" w:before="8"/>
              <w:ind w:right="121"/>
              <w:jc w:val="right"/>
              <w:rPr>
                <w:sz w:val="10"/>
              </w:rPr>
            </w:pPr>
            <w:r>
              <w:rPr>
                <w:w w:val="100"/>
                <w:sz w:val="10"/>
              </w:rPr>
              <w:t>-</w:t>
            </w:r>
          </w:p>
        </w:tc>
        <w:tc>
          <w:tcPr>
            <w:tcW w:w="886" w:type="dxa"/>
          </w:tcPr>
          <w:p>
            <w:pPr>
              <w:pStyle w:val="TableParagraph"/>
              <w:spacing w:line="109" w:lineRule="exact" w:before="8"/>
              <w:ind w:right="16"/>
              <w:jc w:val="right"/>
              <w:rPr>
                <w:sz w:val="10"/>
              </w:rPr>
            </w:pPr>
            <w:r>
              <w:rPr>
                <w:w w:val="100"/>
                <w:sz w:val="10"/>
              </w:rPr>
              <w:t>-</w:t>
            </w:r>
          </w:p>
        </w:tc>
        <w:tc>
          <w:tcPr>
            <w:tcW w:w="1072" w:type="dxa"/>
          </w:tcPr>
          <w:p>
            <w:pPr>
              <w:pStyle w:val="TableParagraph"/>
              <w:spacing w:line="109" w:lineRule="exact" w:before="8"/>
              <w:ind w:right="102"/>
              <w:jc w:val="right"/>
              <w:rPr>
                <w:sz w:val="10"/>
              </w:rPr>
            </w:pPr>
            <w:r>
              <w:rPr>
                <w:w w:val="100"/>
                <w:sz w:val="10"/>
              </w:rPr>
              <w:t>-</w:t>
            </w:r>
          </w:p>
        </w:tc>
      </w:tr>
      <w:tr>
        <w:trPr>
          <w:trHeight w:val="134" w:hRule="atLeast"/>
        </w:trPr>
        <w:tc>
          <w:tcPr>
            <w:tcW w:w="258" w:type="dxa"/>
          </w:tcPr>
          <w:p>
            <w:pPr>
              <w:pStyle w:val="TableParagraph"/>
              <w:spacing w:line="109" w:lineRule="exact" w:before="5"/>
              <w:ind w:left="101"/>
              <w:rPr>
                <w:sz w:val="10"/>
              </w:rPr>
            </w:pPr>
            <w:r>
              <w:rPr>
                <w:sz w:val="10"/>
              </w:rPr>
              <w:t>3*</w:t>
            </w:r>
          </w:p>
        </w:tc>
        <w:tc>
          <w:tcPr>
            <w:tcW w:w="4728" w:type="dxa"/>
          </w:tcPr>
          <w:p>
            <w:pPr>
              <w:pStyle w:val="TableParagraph"/>
              <w:spacing w:line="109" w:lineRule="exact" w:before="5"/>
              <w:ind w:left="208"/>
              <w:rPr>
                <w:sz w:val="10"/>
              </w:rPr>
            </w:pPr>
            <w:r>
              <w:rPr>
                <w:sz w:val="10"/>
              </w:rPr>
              <w:t>Other receivables and accruals</w:t>
            </w:r>
          </w:p>
        </w:tc>
        <w:tc>
          <w:tcPr>
            <w:tcW w:w="886" w:type="dxa"/>
          </w:tcPr>
          <w:p>
            <w:pPr>
              <w:pStyle w:val="TableParagraph"/>
              <w:tabs>
                <w:tab w:pos="745" w:val="left" w:leader="none"/>
              </w:tabs>
              <w:spacing w:line="109" w:lineRule="exact" w:before="5"/>
              <w:ind w:left="-1" w:right="22"/>
              <w:jc w:val="right"/>
              <w:rPr>
                <w:sz w:val="10"/>
              </w:rPr>
            </w:pPr>
            <w:r>
              <w:rPr>
                <w:w w:val="100"/>
                <w:sz w:val="10"/>
                <w:u w:val="single"/>
              </w:rPr>
              <w:t> </w:t>
            </w:r>
            <w:r>
              <w:rPr>
                <w:sz w:val="10"/>
                <w:u w:val="single"/>
              </w:rPr>
              <w:tab/>
            </w:r>
            <w:r>
              <w:rPr>
                <w:spacing w:val="-7"/>
                <w:sz w:val="10"/>
                <w:u w:val="single"/>
              </w:rPr>
              <w:t>66</w:t>
            </w:r>
          </w:p>
        </w:tc>
        <w:tc>
          <w:tcPr>
            <w:tcW w:w="1090" w:type="dxa"/>
          </w:tcPr>
          <w:p>
            <w:pPr>
              <w:pStyle w:val="TableParagraph"/>
              <w:tabs>
                <w:tab w:pos="827" w:val="left" w:leader="none"/>
              </w:tabs>
              <w:spacing w:line="109" w:lineRule="exact" w:before="5"/>
              <w:ind w:right="97"/>
              <w:jc w:val="right"/>
              <w:rPr>
                <w:sz w:val="10"/>
              </w:rPr>
            </w:pPr>
            <w:r>
              <w:rPr>
                <w:w w:val="100"/>
                <w:sz w:val="10"/>
                <w:u w:val="single"/>
              </w:rPr>
              <w:t> </w:t>
            </w:r>
            <w:r>
              <w:rPr>
                <w:sz w:val="10"/>
                <w:u w:val="single"/>
              </w:rPr>
              <w:tab/>
              <w:t>-</w:t>
            </w:r>
            <w:r>
              <w:rPr>
                <w:spacing w:val="-2"/>
                <w:sz w:val="10"/>
                <w:u w:val="single"/>
              </w:rPr>
              <w:t> </w:t>
            </w:r>
          </w:p>
        </w:tc>
        <w:tc>
          <w:tcPr>
            <w:tcW w:w="886" w:type="dxa"/>
          </w:tcPr>
          <w:p>
            <w:pPr>
              <w:pStyle w:val="TableParagraph"/>
              <w:tabs>
                <w:tab w:pos="803" w:val="left" w:leader="none"/>
              </w:tabs>
              <w:spacing w:line="109" w:lineRule="exact" w:before="5"/>
              <w:ind w:right="22"/>
              <w:jc w:val="right"/>
              <w:rPr>
                <w:sz w:val="10"/>
              </w:rPr>
            </w:pPr>
            <w:r>
              <w:rPr>
                <w:w w:val="100"/>
                <w:sz w:val="10"/>
                <w:u w:val="single"/>
              </w:rPr>
              <w:t> </w:t>
            </w:r>
            <w:r>
              <w:rPr>
                <w:sz w:val="10"/>
                <w:u w:val="single"/>
              </w:rPr>
              <w:tab/>
            </w:r>
            <w:r>
              <w:rPr>
                <w:spacing w:val="-16"/>
                <w:sz w:val="10"/>
                <w:u w:val="single"/>
              </w:rPr>
              <w:t>2</w:t>
            </w:r>
          </w:p>
        </w:tc>
        <w:tc>
          <w:tcPr>
            <w:tcW w:w="1072" w:type="dxa"/>
          </w:tcPr>
          <w:p>
            <w:pPr>
              <w:pStyle w:val="TableParagraph"/>
              <w:tabs>
                <w:tab w:pos="827" w:val="left" w:leader="none"/>
              </w:tabs>
              <w:spacing w:line="109" w:lineRule="exact" w:before="5"/>
              <w:ind w:right="80"/>
              <w:jc w:val="right"/>
              <w:rPr>
                <w:sz w:val="10"/>
              </w:rPr>
            </w:pPr>
            <w:r>
              <w:rPr>
                <w:w w:val="100"/>
                <w:sz w:val="10"/>
                <w:u w:val="single"/>
              </w:rPr>
              <w:t> </w:t>
            </w:r>
            <w:r>
              <w:rPr>
                <w:sz w:val="10"/>
                <w:u w:val="single"/>
              </w:rPr>
              <w:tab/>
              <w:t>-</w:t>
            </w:r>
            <w:r>
              <w:rPr>
                <w:spacing w:val="-2"/>
                <w:sz w:val="10"/>
                <w:u w:val="single"/>
              </w:rPr>
              <w:t> </w:t>
            </w:r>
          </w:p>
        </w:tc>
      </w:tr>
      <w:tr>
        <w:trPr>
          <w:trHeight w:val="253" w:hRule="atLeast"/>
        </w:trPr>
        <w:tc>
          <w:tcPr>
            <w:tcW w:w="4986" w:type="dxa"/>
            <w:gridSpan w:val="2"/>
          </w:tcPr>
          <w:p>
            <w:pPr>
              <w:pStyle w:val="TableParagraph"/>
              <w:spacing w:before="5"/>
              <w:ind w:left="466"/>
              <w:rPr>
                <w:b/>
                <w:sz w:val="10"/>
              </w:rPr>
            </w:pPr>
            <w:r>
              <w:rPr>
                <w:b/>
                <w:w w:val="105"/>
                <w:sz w:val="10"/>
              </w:rPr>
              <w:t>Total Trade &amp; other receivables</w:t>
            </w:r>
          </w:p>
        </w:tc>
        <w:tc>
          <w:tcPr>
            <w:tcW w:w="886" w:type="dxa"/>
            <w:tcBorders>
              <w:bottom w:val="single" w:sz="4" w:space="0" w:color="000000"/>
            </w:tcBorders>
          </w:tcPr>
          <w:p>
            <w:pPr>
              <w:pStyle w:val="TableParagraph"/>
              <w:tabs>
                <w:tab w:pos="688" w:val="left" w:leader="none"/>
              </w:tabs>
              <w:spacing w:before="5"/>
              <w:ind w:left="-1" w:right="22"/>
              <w:jc w:val="right"/>
              <w:rPr>
                <w:b/>
                <w:sz w:val="10"/>
              </w:rPr>
            </w:pPr>
            <w:r>
              <w:rPr>
                <w:b/>
                <w:w w:val="105"/>
                <w:sz w:val="10"/>
                <w:u w:val="single"/>
              </w:rPr>
              <w:t> </w:t>
            </w:r>
            <w:r>
              <w:rPr>
                <w:b/>
                <w:sz w:val="10"/>
                <w:u w:val="single"/>
              </w:rPr>
              <w:tab/>
            </w:r>
            <w:r>
              <w:rPr>
                <w:b/>
                <w:spacing w:val="-7"/>
                <w:w w:val="105"/>
                <w:sz w:val="10"/>
                <w:u w:val="single"/>
              </w:rPr>
              <w:t>685</w:t>
            </w:r>
          </w:p>
        </w:tc>
        <w:tc>
          <w:tcPr>
            <w:tcW w:w="1090" w:type="dxa"/>
          </w:tcPr>
          <w:p>
            <w:pPr>
              <w:pStyle w:val="TableParagraph"/>
              <w:tabs>
                <w:tab w:pos="827" w:val="left" w:leader="none"/>
              </w:tabs>
              <w:spacing w:before="5"/>
              <w:ind w:right="122"/>
              <w:jc w:val="right"/>
              <w:rPr>
                <w:b/>
                <w:sz w:val="10"/>
              </w:rPr>
            </w:pPr>
            <w:r>
              <w:rPr>
                <w:b/>
                <w:w w:val="105"/>
                <w:sz w:val="10"/>
                <w:u w:val="single"/>
              </w:rPr>
              <w:t> </w:t>
            </w:r>
            <w:r>
              <w:rPr>
                <w:b/>
                <w:sz w:val="10"/>
                <w:u w:val="single"/>
              </w:rPr>
              <w:tab/>
            </w:r>
            <w:r>
              <w:rPr>
                <w:b/>
                <w:w w:val="105"/>
                <w:sz w:val="10"/>
                <w:u w:val="single"/>
              </w:rPr>
              <w:t>-</w:t>
            </w:r>
          </w:p>
        </w:tc>
        <w:tc>
          <w:tcPr>
            <w:tcW w:w="886" w:type="dxa"/>
            <w:tcBorders>
              <w:bottom w:val="single" w:sz="4" w:space="0" w:color="000000"/>
            </w:tcBorders>
          </w:tcPr>
          <w:p>
            <w:pPr>
              <w:pStyle w:val="TableParagraph"/>
              <w:tabs>
                <w:tab w:pos="688" w:val="left" w:leader="none"/>
              </w:tabs>
              <w:spacing w:before="5"/>
              <w:ind w:right="21"/>
              <w:jc w:val="right"/>
              <w:rPr>
                <w:b/>
                <w:sz w:val="10"/>
              </w:rPr>
            </w:pPr>
            <w:r>
              <w:rPr>
                <w:b/>
                <w:w w:val="105"/>
                <w:sz w:val="10"/>
                <w:u w:val="single"/>
              </w:rPr>
              <w:t> </w:t>
            </w:r>
            <w:r>
              <w:rPr>
                <w:b/>
                <w:sz w:val="10"/>
                <w:u w:val="single"/>
              </w:rPr>
              <w:tab/>
            </w:r>
            <w:r>
              <w:rPr>
                <w:b/>
                <w:spacing w:val="-7"/>
                <w:w w:val="105"/>
                <w:sz w:val="10"/>
                <w:u w:val="single"/>
              </w:rPr>
              <w:t>920</w:t>
            </w:r>
          </w:p>
        </w:tc>
        <w:tc>
          <w:tcPr>
            <w:tcW w:w="1072" w:type="dxa"/>
          </w:tcPr>
          <w:p>
            <w:pPr>
              <w:pStyle w:val="TableParagraph"/>
              <w:tabs>
                <w:tab w:pos="827" w:val="left" w:leader="none"/>
              </w:tabs>
              <w:spacing w:before="5"/>
              <w:ind w:right="105"/>
              <w:jc w:val="right"/>
              <w:rPr>
                <w:b/>
                <w:sz w:val="10"/>
              </w:rPr>
            </w:pPr>
            <w:r>
              <w:rPr>
                <w:b/>
                <w:w w:val="105"/>
                <w:sz w:val="10"/>
                <w:u w:val="single"/>
              </w:rPr>
              <w:t> </w:t>
            </w:r>
            <w:r>
              <w:rPr>
                <w:b/>
                <w:sz w:val="10"/>
                <w:u w:val="single"/>
              </w:rPr>
              <w:tab/>
            </w:r>
            <w:r>
              <w:rPr>
                <w:b/>
                <w:w w:val="105"/>
                <w:sz w:val="10"/>
                <w:u w:val="single"/>
              </w:rPr>
              <w:t>-</w:t>
            </w:r>
          </w:p>
        </w:tc>
      </w:tr>
      <w:tr>
        <w:trPr>
          <w:trHeight w:val="185" w:hRule="atLeast"/>
        </w:trPr>
        <w:tc>
          <w:tcPr>
            <w:tcW w:w="4986" w:type="dxa"/>
            <w:gridSpan w:val="2"/>
          </w:tcPr>
          <w:p>
            <w:pPr>
              <w:pStyle w:val="TableParagraph"/>
              <w:spacing w:line="111" w:lineRule="exact"/>
              <w:ind w:left="466"/>
              <w:rPr>
                <w:b/>
                <w:sz w:val="10"/>
              </w:rPr>
            </w:pPr>
            <w:r>
              <w:rPr>
                <w:b/>
                <w:w w:val="105"/>
                <w:sz w:val="10"/>
              </w:rPr>
              <w:t>Total current and non current</w:t>
            </w:r>
          </w:p>
        </w:tc>
        <w:tc>
          <w:tcPr>
            <w:tcW w:w="886" w:type="dxa"/>
            <w:tcBorders>
              <w:top w:val="single" w:sz="4" w:space="0" w:color="000000"/>
            </w:tcBorders>
          </w:tcPr>
          <w:p>
            <w:pPr>
              <w:pStyle w:val="TableParagraph"/>
              <w:tabs>
                <w:tab w:pos="688" w:val="left" w:leader="none"/>
              </w:tabs>
              <w:spacing w:line="111" w:lineRule="exact"/>
              <w:ind w:left="-1" w:right="22"/>
              <w:jc w:val="right"/>
              <w:rPr>
                <w:b/>
                <w:sz w:val="10"/>
              </w:rPr>
            </w:pPr>
            <w:r>
              <w:rPr>
                <w:b/>
                <w:w w:val="105"/>
                <w:sz w:val="10"/>
                <w:u w:val="single"/>
              </w:rPr>
              <w:t> </w:t>
            </w:r>
            <w:r>
              <w:rPr>
                <w:b/>
                <w:sz w:val="10"/>
                <w:u w:val="single"/>
              </w:rPr>
              <w:tab/>
            </w:r>
            <w:r>
              <w:rPr>
                <w:b/>
                <w:spacing w:val="-7"/>
                <w:w w:val="105"/>
                <w:sz w:val="10"/>
                <w:u w:val="single"/>
              </w:rPr>
              <w:t>685</w:t>
            </w:r>
          </w:p>
        </w:tc>
        <w:tc>
          <w:tcPr>
            <w:tcW w:w="1090" w:type="dxa"/>
          </w:tcPr>
          <w:p>
            <w:pPr>
              <w:pStyle w:val="TableParagraph"/>
              <w:rPr>
                <w:rFonts w:ascii="Times New Roman"/>
                <w:sz w:val="10"/>
              </w:rPr>
            </w:pPr>
          </w:p>
        </w:tc>
        <w:tc>
          <w:tcPr>
            <w:tcW w:w="886" w:type="dxa"/>
            <w:tcBorders>
              <w:top w:val="single" w:sz="4" w:space="0" w:color="000000"/>
            </w:tcBorders>
          </w:tcPr>
          <w:p>
            <w:pPr>
              <w:pStyle w:val="TableParagraph"/>
              <w:tabs>
                <w:tab w:pos="688" w:val="left" w:leader="none"/>
              </w:tabs>
              <w:spacing w:line="111" w:lineRule="exact"/>
              <w:ind w:right="21"/>
              <w:jc w:val="right"/>
              <w:rPr>
                <w:b/>
                <w:sz w:val="10"/>
              </w:rPr>
            </w:pPr>
            <w:r>
              <w:rPr>
                <w:b/>
                <w:w w:val="105"/>
                <w:sz w:val="10"/>
                <w:u w:val="single"/>
              </w:rPr>
              <w:t> </w:t>
            </w:r>
            <w:r>
              <w:rPr>
                <w:b/>
                <w:sz w:val="10"/>
                <w:u w:val="single"/>
              </w:rPr>
              <w:tab/>
            </w:r>
            <w:r>
              <w:rPr>
                <w:b/>
                <w:spacing w:val="-7"/>
                <w:w w:val="105"/>
                <w:sz w:val="10"/>
                <w:u w:val="single"/>
              </w:rPr>
              <w:t>920</w:t>
            </w:r>
          </w:p>
        </w:tc>
        <w:tc>
          <w:tcPr>
            <w:tcW w:w="1072" w:type="dxa"/>
          </w:tcPr>
          <w:p>
            <w:pPr>
              <w:pStyle w:val="TableParagraph"/>
              <w:rPr>
                <w:rFonts w:ascii="Times New Roman"/>
                <w:sz w:val="10"/>
              </w:rPr>
            </w:pPr>
          </w:p>
        </w:tc>
      </w:tr>
      <w:tr>
        <w:trPr>
          <w:trHeight w:val="374" w:hRule="atLeast"/>
        </w:trPr>
        <w:tc>
          <w:tcPr>
            <w:tcW w:w="4986" w:type="dxa"/>
            <w:gridSpan w:val="2"/>
          </w:tcPr>
          <w:p>
            <w:pPr>
              <w:pStyle w:val="TableParagraph"/>
              <w:spacing w:before="65"/>
              <w:ind w:left="466"/>
              <w:rPr>
                <w:sz w:val="10"/>
              </w:rPr>
            </w:pPr>
            <w:r>
              <w:rPr>
                <w:sz w:val="10"/>
              </w:rPr>
              <w:t>Included above:</w:t>
            </w:r>
          </w:p>
          <w:p>
            <w:pPr>
              <w:pStyle w:val="TableParagraph"/>
              <w:spacing w:before="12"/>
              <w:ind w:left="466"/>
              <w:rPr>
                <w:sz w:val="10"/>
              </w:rPr>
            </w:pPr>
            <w:r>
              <w:rPr>
                <w:sz w:val="10"/>
              </w:rPr>
              <w:t>Prepaid pensions contributions</w:t>
            </w:r>
          </w:p>
        </w:tc>
        <w:tc>
          <w:tcPr>
            <w:tcW w:w="886" w:type="dxa"/>
          </w:tcPr>
          <w:p>
            <w:pPr>
              <w:pStyle w:val="TableParagraph"/>
              <w:rPr>
                <w:sz w:val="10"/>
              </w:rPr>
            </w:pPr>
          </w:p>
          <w:p>
            <w:pPr>
              <w:pStyle w:val="TableParagraph"/>
              <w:spacing w:before="77"/>
              <w:ind w:right="18"/>
              <w:jc w:val="right"/>
              <w:rPr>
                <w:sz w:val="10"/>
              </w:rPr>
            </w:pPr>
            <w:r>
              <w:rPr>
                <w:w w:val="100"/>
                <w:sz w:val="10"/>
              </w:rPr>
              <w:t>-</w:t>
            </w:r>
          </w:p>
        </w:tc>
        <w:tc>
          <w:tcPr>
            <w:tcW w:w="1090" w:type="dxa"/>
          </w:tcPr>
          <w:p>
            <w:pPr>
              <w:pStyle w:val="TableParagraph"/>
              <w:rPr>
                <w:rFonts w:ascii="Times New Roman"/>
                <w:sz w:val="10"/>
              </w:rPr>
            </w:pPr>
          </w:p>
        </w:tc>
        <w:tc>
          <w:tcPr>
            <w:tcW w:w="886" w:type="dxa"/>
          </w:tcPr>
          <w:p>
            <w:pPr>
              <w:pStyle w:val="TableParagraph"/>
              <w:rPr>
                <w:sz w:val="10"/>
              </w:rPr>
            </w:pPr>
          </w:p>
          <w:p>
            <w:pPr>
              <w:pStyle w:val="TableParagraph"/>
              <w:spacing w:before="77"/>
              <w:ind w:right="16"/>
              <w:jc w:val="right"/>
              <w:rPr>
                <w:sz w:val="10"/>
              </w:rPr>
            </w:pPr>
            <w:r>
              <w:rPr>
                <w:w w:val="100"/>
                <w:sz w:val="10"/>
              </w:rPr>
              <w:t>-</w:t>
            </w:r>
          </w:p>
        </w:tc>
        <w:tc>
          <w:tcPr>
            <w:tcW w:w="1072" w:type="dxa"/>
          </w:tcPr>
          <w:p>
            <w:pPr>
              <w:pStyle w:val="TableParagraph"/>
              <w:rPr>
                <w:rFonts w:ascii="Times New Roman"/>
                <w:sz w:val="10"/>
              </w:rPr>
            </w:pPr>
          </w:p>
        </w:tc>
      </w:tr>
      <w:tr>
        <w:trPr>
          <w:trHeight w:val="176" w:hRule="atLeast"/>
        </w:trPr>
        <w:tc>
          <w:tcPr>
            <w:tcW w:w="4986" w:type="dxa"/>
            <w:gridSpan w:val="2"/>
          </w:tcPr>
          <w:p>
            <w:pPr>
              <w:pStyle w:val="TableParagraph"/>
              <w:spacing w:line="98" w:lineRule="exact" w:before="58"/>
              <w:ind w:left="466"/>
              <w:rPr>
                <w:b/>
                <w:sz w:val="10"/>
              </w:rPr>
            </w:pPr>
            <w:r>
              <w:rPr>
                <w:b/>
                <w:w w:val="105"/>
                <w:sz w:val="10"/>
              </w:rPr>
              <w:t>Explanatory Note</w:t>
            </w:r>
          </w:p>
        </w:tc>
        <w:tc>
          <w:tcPr>
            <w:tcW w:w="886" w:type="dxa"/>
          </w:tcPr>
          <w:p>
            <w:pPr>
              <w:pStyle w:val="TableParagraph"/>
              <w:rPr>
                <w:rFonts w:ascii="Times New Roman"/>
                <w:sz w:val="10"/>
              </w:rPr>
            </w:pPr>
          </w:p>
        </w:tc>
        <w:tc>
          <w:tcPr>
            <w:tcW w:w="1090" w:type="dxa"/>
          </w:tcPr>
          <w:p>
            <w:pPr>
              <w:pStyle w:val="TableParagraph"/>
              <w:rPr>
                <w:rFonts w:ascii="Times New Roman"/>
                <w:sz w:val="10"/>
              </w:rPr>
            </w:pPr>
          </w:p>
        </w:tc>
        <w:tc>
          <w:tcPr>
            <w:tcW w:w="886" w:type="dxa"/>
          </w:tcPr>
          <w:p>
            <w:pPr>
              <w:pStyle w:val="TableParagraph"/>
              <w:rPr>
                <w:rFonts w:ascii="Times New Roman"/>
                <w:sz w:val="10"/>
              </w:rPr>
            </w:pPr>
          </w:p>
        </w:tc>
        <w:tc>
          <w:tcPr>
            <w:tcW w:w="1072" w:type="dxa"/>
          </w:tcPr>
          <w:p>
            <w:pPr>
              <w:pStyle w:val="TableParagraph"/>
              <w:rPr>
                <w:rFonts w:ascii="Times New Roman"/>
                <w:sz w:val="10"/>
              </w:rPr>
            </w:pPr>
          </w:p>
        </w:tc>
      </w:tr>
    </w:tbl>
    <w:p>
      <w:pPr>
        <w:pStyle w:val="BodyText"/>
        <w:spacing w:before="3"/>
        <w:rPr>
          <w:sz w:val="13"/>
        </w:rPr>
      </w:pPr>
    </w:p>
    <w:p>
      <w:pPr>
        <w:spacing w:before="0"/>
        <w:ind w:left="529" w:right="0" w:firstLine="0"/>
        <w:jc w:val="left"/>
        <w:rPr>
          <w:sz w:val="10"/>
        </w:rPr>
      </w:pPr>
      <w:r>
        <w:rPr>
          <w:b/>
          <w:sz w:val="10"/>
        </w:rPr>
        <w:t>1* </w:t>
      </w:r>
      <w:r>
        <w:rPr>
          <w:sz w:val="10"/>
        </w:rPr>
        <w:t>The NHS Receivables: Revenue has reduced in 2021-22 due the settling of outstanding debtors in preparation for transferring to an Integrated Care System.</w:t>
      </w:r>
    </w:p>
    <w:p>
      <w:pPr>
        <w:pStyle w:val="BodyText"/>
        <w:spacing w:before="4"/>
        <w:rPr>
          <w:sz w:val="12"/>
        </w:rPr>
      </w:pPr>
    </w:p>
    <w:p>
      <w:pPr>
        <w:spacing w:line="300" w:lineRule="auto" w:before="0"/>
        <w:ind w:left="675" w:right="2053" w:hanging="147"/>
        <w:jc w:val="left"/>
        <w:rPr>
          <w:sz w:val="10"/>
        </w:rPr>
      </w:pPr>
      <w:r>
        <w:rPr>
          <w:b/>
          <w:sz w:val="10"/>
        </w:rPr>
        <w:t>2* </w:t>
      </w:r>
      <w:r>
        <w:rPr>
          <w:sz w:val="10"/>
        </w:rPr>
        <w:t>The Non NHS and other WGA receivables includes £280k in relation to lower than planned activity on two acute independent sector contracts. The CCG pays a  monthly fixed contract</w:t>
      </w:r>
      <w:r>
        <w:rPr>
          <w:spacing w:val="6"/>
          <w:sz w:val="10"/>
        </w:rPr>
        <w:t> </w:t>
      </w:r>
      <w:r>
        <w:rPr>
          <w:sz w:val="10"/>
        </w:rPr>
        <w:t>value,</w:t>
      </w:r>
      <w:r>
        <w:rPr>
          <w:spacing w:val="7"/>
          <w:sz w:val="10"/>
        </w:rPr>
        <w:t> </w:t>
      </w:r>
      <w:r>
        <w:rPr>
          <w:sz w:val="10"/>
        </w:rPr>
        <w:t>with</w:t>
      </w:r>
      <w:r>
        <w:rPr>
          <w:spacing w:val="6"/>
          <w:sz w:val="10"/>
        </w:rPr>
        <w:t> </w:t>
      </w:r>
      <w:r>
        <w:rPr>
          <w:sz w:val="10"/>
        </w:rPr>
        <w:t>adjustments</w:t>
      </w:r>
      <w:r>
        <w:rPr>
          <w:spacing w:val="8"/>
          <w:sz w:val="10"/>
        </w:rPr>
        <w:t> </w:t>
      </w:r>
      <w:r>
        <w:rPr>
          <w:sz w:val="10"/>
        </w:rPr>
        <w:t>made</w:t>
      </w:r>
      <w:r>
        <w:rPr>
          <w:spacing w:val="6"/>
          <w:sz w:val="10"/>
        </w:rPr>
        <w:t> </w:t>
      </w:r>
      <w:r>
        <w:rPr>
          <w:sz w:val="10"/>
        </w:rPr>
        <w:t>upon</w:t>
      </w:r>
      <w:r>
        <w:rPr>
          <w:spacing w:val="5"/>
          <w:sz w:val="10"/>
        </w:rPr>
        <w:t> </w:t>
      </w:r>
      <w:r>
        <w:rPr>
          <w:sz w:val="10"/>
        </w:rPr>
        <w:t>reconciliation</w:t>
      </w:r>
      <w:r>
        <w:rPr>
          <w:spacing w:val="6"/>
          <w:sz w:val="10"/>
        </w:rPr>
        <w:t> </w:t>
      </w:r>
      <w:r>
        <w:rPr>
          <w:sz w:val="10"/>
        </w:rPr>
        <w:t>of</w:t>
      </w:r>
      <w:r>
        <w:rPr>
          <w:spacing w:val="7"/>
          <w:sz w:val="10"/>
        </w:rPr>
        <w:t> </w:t>
      </w:r>
      <w:r>
        <w:rPr>
          <w:sz w:val="10"/>
        </w:rPr>
        <w:t>actual</w:t>
      </w:r>
      <w:r>
        <w:rPr>
          <w:spacing w:val="4"/>
          <w:sz w:val="10"/>
        </w:rPr>
        <w:t> </w:t>
      </w:r>
      <w:r>
        <w:rPr>
          <w:sz w:val="10"/>
        </w:rPr>
        <w:t>activity</w:t>
      </w:r>
      <w:r>
        <w:rPr>
          <w:spacing w:val="5"/>
          <w:sz w:val="10"/>
        </w:rPr>
        <w:t> </w:t>
      </w:r>
      <w:r>
        <w:rPr>
          <w:sz w:val="10"/>
        </w:rPr>
        <w:t>delivered.</w:t>
      </w:r>
      <w:r>
        <w:rPr>
          <w:spacing w:val="7"/>
          <w:sz w:val="10"/>
        </w:rPr>
        <w:t> </w:t>
      </w:r>
      <w:r>
        <w:rPr>
          <w:sz w:val="10"/>
        </w:rPr>
        <w:t>This</w:t>
      </w:r>
      <w:r>
        <w:rPr>
          <w:spacing w:val="5"/>
          <w:sz w:val="10"/>
        </w:rPr>
        <w:t> </w:t>
      </w:r>
      <w:r>
        <w:rPr>
          <w:sz w:val="10"/>
        </w:rPr>
        <w:t>has</w:t>
      </w:r>
      <w:r>
        <w:rPr>
          <w:spacing w:val="6"/>
          <w:sz w:val="10"/>
        </w:rPr>
        <w:t> </w:t>
      </w:r>
      <w:r>
        <w:rPr>
          <w:sz w:val="10"/>
        </w:rPr>
        <w:t>therefore</w:t>
      </w:r>
      <w:r>
        <w:rPr>
          <w:spacing w:val="4"/>
          <w:sz w:val="10"/>
        </w:rPr>
        <w:t> </w:t>
      </w:r>
      <w:r>
        <w:rPr>
          <w:sz w:val="10"/>
        </w:rPr>
        <w:t>resulted</w:t>
      </w:r>
      <w:r>
        <w:rPr>
          <w:spacing w:val="7"/>
          <w:sz w:val="10"/>
        </w:rPr>
        <w:t> </w:t>
      </w:r>
      <w:r>
        <w:rPr>
          <w:sz w:val="10"/>
        </w:rPr>
        <w:t>in</w:t>
      </w:r>
      <w:r>
        <w:rPr>
          <w:spacing w:val="4"/>
          <w:sz w:val="10"/>
        </w:rPr>
        <w:t> </w:t>
      </w:r>
      <w:r>
        <w:rPr>
          <w:sz w:val="10"/>
        </w:rPr>
        <w:t>credits</w:t>
      </w:r>
      <w:r>
        <w:rPr>
          <w:spacing w:val="6"/>
          <w:sz w:val="10"/>
        </w:rPr>
        <w:t> </w:t>
      </w:r>
      <w:r>
        <w:rPr>
          <w:sz w:val="10"/>
        </w:rPr>
        <w:t>due</w:t>
      </w:r>
      <w:r>
        <w:rPr>
          <w:spacing w:val="6"/>
          <w:sz w:val="10"/>
        </w:rPr>
        <w:t> </w:t>
      </w:r>
      <w:r>
        <w:rPr>
          <w:sz w:val="10"/>
        </w:rPr>
        <w:t>on</w:t>
      </w:r>
      <w:r>
        <w:rPr>
          <w:spacing w:val="7"/>
          <w:sz w:val="10"/>
        </w:rPr>
        <w:t> </w:t>
      </w:r>
      <w:r>
        <w:rPr>
          <w:sz w:val="10"/>
        </w:rPr>
        <w:t>account.</w:t>
      </w:r>
    </w:p>
    <w:p>
      <w:pPr>
        <w:pStyle w:val="BodyText"/>
        <w:spacing w:before="7"/>
        <w:rPr>
          <w:sz w:val="13"/>
        </w:rPr>
      </w:pPr>
    </w:p>
    <w:p>
      <w:pPr>
        <w:spacing w:before="0"/>
        <w:ind w:left="529" w:right="0" w:firstLine="0"/>
        <w:jc w:val="left"/>
        <w:rPr>
          <w:sz w:val="10"/>
        </w:rPr>
      </w:pPr>
      <w:r>
        <w:rPr>
          <w:b/>
          <w:sz w:val="10"/>
        </w:rPr>
        <w:t>3* </w:t>
      </w:r>
      <w:r>
        <w:rPr>
          <w:sz w:val="10"/>
        </w:rPr>
        <w:t>Other receivables and accruals includes £66k of overpaid GP pension contribution in 2021/22 (nil for 2020/21)</w:t>
      </w:r>
    </w:p>
    <w:p>
      <w:pPr>
        <w:pStyle w:val="BodyText"/>
        <w:rPr>
          <w:sz w:val="10"/>
        </w:rPr>
      </w:pPr>
    </w:p>
    <w:p>
      <w:pPr>
        <w:pStyle w:val="BodyText"/>
        <w:spacing w:before="4"/>
        <w:rPr>
          <w:sz w:val="13"/>
        </w:rPr>
      </w:pPr>
    </w:p>
    <w:p>
      <w:pPr>
        <w:pStyle w:val="ListParagraph"/>
        <w:numPr>
          <w:ilvl w:val="1"/>
          <w:numId w:val="33"/>
        </w:numPr>
        <w:tabs>
          <w:tab w:pos="849" w:val="left" w:leader="none"/>
        </w:tabs>
        <w:spacing w:line="240" w:lineRule="auto" w:before="0" w:after="13"/>
        <w:ind w:left="848" w:right="0" w:hanging="173"/>
        <w:jc w:val="left"/>
        <w:rPr>
          <w:b/>
          <w:sz w:val="10"/>
        </w:rPr>
      </w:pPr>
      <w:r>
        <w:rPr>
          <w:b/>
          <w:w w:val="105"/>
          <w:sz w:val="10"/>
        </w:rPr>
        <w:t>Receivables past their due date but not</w:t>
      </w:r>
      <w:r>
        <w:rPr>
          <w:b/>
          <w:spacing w:val="-17"/>
          <w:w w:val="105"/>
          <w:sz w:val="10"/>
        </w:rPr>
        <w:t> </w:t>
      </w:r>
      <w:r>
        <w:rPr>
          <w:b/>
          <w:w w:val="105"/>
          <w:sz w:val="10"/>
        </w:rPr>
        <w:t>impaired</w:t>
      </w:r>
    </w:p>
    <w:tbl>
      <w:tblPr>
        <w:tblW w:w="0" w:type="auto"/>
        <w:jc w:val="left"/>
        <w:tblInd w:w="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00"/>
        <w:gridCol w:w="526"/>
        <w:gridCol w:w="689"/>
        <w:gridCol w:w="945"/>
        <w:gridCol w:w="1023"/>
      </w:tblGrid>
      <w:tr>
        <w:trPr>
          <w:trHeight w:val="367" w:hRule="atLeast"/>
        </w:trPr>
        <w:tc>
          <w:tcPr>
            <w:tcW w:w="5400" w:type="dxa"/>
          </w:tcPr>
          <w:p>
            <w:pPr>
              <w:pStyle w:val="TableParagraph"/>
              <w:spacing w:line="112" w:lineRule="exact"/>
              <w:ind w:left="4759" w:right="18"/>
              <w:jc w:val="center"/>
              <w:rPr>
                <w:b/>
                <w:sz w:val="10"/>
              </w:rPr>
            </w:pPr>
            <w:r>
              <w:rPr>
                <w:b/>
                <w:w w:val="105"/>
                <w:sz w:val="10"/>
              </w:rPr>
              <w:t>2021-22</w:t>
            </w:r>
          </w:p>
          <w:p>
            <w:pPr>
              <w:pStyle w:val="TableParagraph"/>
              <w:spacing w:line="132" w:lineRule="exact" w:before="3"/>
              <w:ind w:left="4759" w:right="23"/>
              <w:jc w:val="center"/>
              <w:rPr>
                <w:b/>
                <w:sz w:val="10"/>
              </w:rPr>
            </w:pPr>
            <w:r>
              <w:rPr>
                <w:b/>
                <w:w w:val="105"/>
                <w:sz w:val="10"/>
              </w:rPr>
              <w:t>DHSC </w:t>
            </w:r>
            <w:r>
              <w:rPr>
                <w:b/>
                <w:spacing w:val="-8"/>
                <w:w w:val="105"/>
                <w:sz w:val="10"/>
              </w:rPr>
              <w:t>Group </w:t>
            </w:r>
            <w:r>
              <w:rPr>
                <w:b/>
                <w:w w:val="105"/>
                <w:sz w:val="10"/>
              </w:rPr>
              <w:t>Bodies</w:t>
            </w:r>
          </w:p>
        </w:tc>
        <w:tc>
          <w:tcPr>
            <w:tcW w:w="1215" w:type="dxa"/>
            <w:gridSpan w:val="2"/>
          </w:tcPr>
          <w:p>
            <w:pPr>
              <w:pStyle w:val="TableParagraph"/>
              <w:spacing w:line="112" w:lineRule="exact"/>
              <w:ind w:left="291" w:right="178"/>
              <w:jc w:val="center"/>
              <w:rPr>
                <w:b/>
                <w:sz w:val="10"/>
              </w:rPr>
            </w:pPr>
            <w:r>
              <w:rPr>
                <w:b/>
                <w:w w:val="105"/>
                <w:sz w:val="10"/>
              </w:rPr>
              <w:t>2021-22</w:t>
            </w:r>
          </w:p>
          <w:p>
            <w:pPr>
              <w:pStyle w:val="TableParagraph"/>
              <w:spacing w:before="14"/>
              <w:ind w:left="287" w:right="189"/>
              <w:jc w:val="center"/>
              <w:rPr>
                <w:b/>
                <w:sz w:val="10"/>
              </w:rPr>
            </w:pPr>
            <w:r>
              <w:rPr>
                <w:b/>
                <w:w w:val="105"/>
                <w:sz w:val="10"/>
              </w:rPr>
              <w:t>Non DHSC</w:t>
            </w:r>
          </w:p>
          <w:p>
            <w:pPr>
              <w:pStyle w:val="TableParagraph"/>
              <w:spacing w:line="105" w:lineRule="exact" w:before="1"/>
              <w:ind w:left="291" w:right="189"/>
              <w:jc w:val="center"/>
              <w:rPr>
                <w:b/>
                <w:sz w:val="10"/>
              </w:rPr>
            </w:pPr>
            <w:r>
              <w:rPr>
                <w:b/>
                <w:w w:val="105"/>
                <w:sz w:val="10"/>
              </w:rPr>
              <w:t>Group Bodies</w:t>
            </w:r>
          </w:p>
        </w:tc>
        <w:tc>
          <w:tcPr>
            <w:tcW w:w="945" w:type="dxa"/>
          </w:tcPr>
          <w:p>
            <w:pPr>
              <w:pStyle w:val="TableParagraph"/>
              <w:spacing w:line="112" w:lineRule="exact"/>
              <w:ind w:left="134" w:right="205"/>
              <w:jc w:val="center"/>
              <w:rPr>
                <w:sz w:val="10"/>
              </w:rPr>
            </w:pPr>
            <w:r>
              <w:rPr>
                <w:sz w:val="10"/>
              </w:rPr>
              <w:t>2020-21</w:t>
            </w:r>
          </w:p>
          <w:p>
            <w:pPr>
              <w:pStyle w:val="TableParagraph"/>
              <w:spacing w:line="120" w:lineRule="atLeast" w:before="12"/>
              <w:ind w:left="134" w:right="215"/>
              <w:jc w:val="center"/>
              <w:rPr>
                <w:sz w:val="10"/>
              </w:rPr>
            </w:pPr>
            <w:r>
              <w:rPr>
                <w:sz w:val="10"/>
              </w:rPr>
              <w:t>DHSC </w:t>
            </w:r>
            <w:r>
              <w:rPr>
                <w:spacing w:val="-7"/>
                <w:sz w:val="10"/>
              </w:rPr>
              <w:t>Group </w:t>
            </w:r>
            <w:r>
              <w:rPr>
                <w:sz w:val="10"/>
              </w:rPr>
              <w:t>Bodies</w:t>
            </w:r>
          </w:p>
        </w:tc>
        <w:tc>
          <w:tcPr>
            <w:tcW w:w="1023" w:type="dxa"/>
          </w:tcPr>
          <w:p>
            <w:pPr>
              <w:pStyle w:val="TableParagraph"/>
              <w:spacing w:line="112" w:lineRule="exact"/>
              <w:ind w:left="70" w:right="136"/>
              <w:jc w:val="center"/>
              <w:rPr>
                <w:sz w:val="10"/>
              </w:rPr>
            </w:pPr>
            <w:r>
              <w:rPr>
                <w:sz w:val="10"/>
              </w:rPr>
              <w:t>2020-21</w:t>
            </w:r>
          </w:p>
          <w:p>
            <w:pPr>
              <w:pStyle w:val="TableParagraph"/>
              <w:spacing w:line="120" w:lineRule="atLeast" w:before="12"/>
              <w:ind w:left="70" w:right="146"/>
              <w:jc w:val="center"/>
              <w:rPr>
                <w:sz w:val="10"/>
              </w:rPr>
            </w:pPr>
            <w:r>
              <w:rPr>
                <w:sz w:val="10"/>
              </w:rPr>
              <w:t>Non DHSC </w:t>
            </w:r>
            <w:r>
              <w:rPr>
                <w:spacing w:val="-7"/>
                <w:sz w:val="10"/>
              </w:rPr>
              <w:t>Group </w:t>
            </w:r>
            <w:r>
              <w:rPr>
                <w:sz w:val="10"/>
              </w:rPr>
              <w:t>Bodies</w:t>
            </w:r>
          </w:p>
        </w:tc>
      </w:tr>
      <w:tr>
        <w:trPr>
          <w:trHeight w:val="105" w:hRule="atLeast"/>
        </w:trPr>
        <w:tc>
          <w:tcPr>
            <w:tcW w:w="5400" w:type="dxa"/>
          </w:tcPr>
          <w:p>
            <w:pPr>
              <w:pStyle w:val="TableParagraph"/>
              <w:spacing w:line="85" w:lineRule="exact"/>
              <w:ind w:right="198"/>
              <w:jc w:val="right"/>
              <w:rPr>
                <w:b/>
                <w:sz w:val="10"/>
              </w:rPr>
            </w:pPr>
            <w:r>
              <w:rPr>
                <w:b/>
                <w:sz w:val="10"/>
              </w:rPr>
              <w:t>£'000</w:t>
            </w:r>
          </w:p>
        </w:tc>
        <w:tc>
          <w:tcPr>
            <w:tcW w:w="526" w:type="dxa"/>
          </w:tcPr>
          <w:p>
            <w:pPr>
              <w:pStyle w:val="TableParagraph"/>
              <w:rPr>
                <w:rFonts w:ascii="Times New Roman"/>
                <w:sz w:val="4"/>
              </w:rPr>
            </w:pPr>
          </w:p>
        </w:tc>
        <w:tc>
          <w:tcPr>
            <w:tcW w:w="689" w:type="dxa"/>
          </w:tcPr>
          <w:p>
            <w:pPr>
              <w:pStyle w:val="TableParagraph"/>
              <w:spacing w:line="85" w:lineRule="exact"/>
              <w:ind w:left="7"/>
              <w:rPr>
                <w:b/>
                <w:sz w:val="10"/>
              </w:rPr>
            </w:pPr>
            <w:r>
              <w:rPr>
                <w:b/>
                <w:w w:val="105"/>
                <w:sz w:val="10"/>
              </w:rPr>
              <w:t>£'000</w:t>
            </w:r>
          </w:p>
        </w:tc>
        <w:tc>
          <w:tcPr>
            <w:tcW w:w="945" w:type="dxa"/>
          </w:tcPr>
          <w:p>
            <w:pPr>
              <w:pStyle w:val="TableParagraph"/>
              <w:spacing w:line="85" w:lineRule="exact"/>
              <w:ind w:left="309"/>
              <w:rPr>
                <w:sz w:val="10"/>
              </w:rPr>
            </w:pPr>
            <w:r>
              <w:rPr>
                <w:sz w:val="10"/>
              </w:rPr>
              <w:t>£'000</w:t>
            </w:r>
          </w:p>
        </w:tc>
        <w:tc>
          <w:tcPr>
            <w:tcW w:w="1023" w:type="dxa"/>
          </w:tcPr>
          <w:p>
            <w:pPr>
              <w:pStyle w:val="TableParagraph"/>
              <w:spacing w:line="85" w:lineRule="exact"/>
              <w:ind w:left="70" w:right="136"/>
              <w:jc w:val="center"/>
              <w:rPr>
                <w:sz w:val="10"/>
              </w:rPr>
            </w:pPr>
            <w:r>
              <w:rPr>
                <w:sz w:val="10"/>
              </w:rPr>
              <w:t>£'000</w:t>
            </w:r>
          </w:p>
        </w:tc>
      </w:tr>
      <w:tr>
        <w:trPr>
          <w:trHeight w:val="127" w:hRule="atLeast"/>
        </w:trPr>
        <w:tc>
          <w:tcPr>
            <w:tcW w:w="5400" w:type="dxa"/>
          </w:tcPr>
          <w:p>
            <w:pPr>
              <w:pStyle w:val="TableParagraph"/>
              <w:spacing w:line="102" w:lineRule="exact" w:before="4"/>
              <w:ind w:left="101"/>
              <w:rPr>
                <w:sz w:val="10"/>
              </w:rPr>
            </w:pPr>
            <w:r>
              <w:rPr>
                <w:sz w:val="10"/>
              </w:rPr>
              <w:t>By up to three months</w:t>
            </w:r>
          </w:p>
        </w:tc>
        <w:tc>
          <w:tcPr>
            <w:tcW w:w="526" w:type="dxa"/>
          </w:tcPr>
          <w:p>
            <w:pPr>
              <w:pStyle w:val="TableParagraph"/>
              <w:spacing w:line="100" w:lineRule="exact" w:before="7"/>
              <w:ind w:left="27"/>
              <w:rPr>
                <w:sz w:val="10"/>
              </w:rPr>
            </w:pPr>
            <w:r>
              <w:rPr>
                <w:w w:val="100"/>
                <w:sz w:val="10"/>
              </w:rPr>
              <w:t>3</w:t>
            </w:r>
          </w:p>
        </w:tc>
        <w:tc>
          <w:tcPr>
            <w:tcW w:w="689" w:type="dxa"/>
          </w:tcPr>
          <w:p>
            <w:pPr>
              <w:pStyle w:val="TableParagraph"/>
              <w:spacing w:line="100" w:lineRule="exact" w:before="7"/>
              <w:ind w:right="136"/>
              <w:jc w:val="right"/>
              <w:rPr>
                <w:sz w:val="10"/>
              </w:rPr>
            </w:pPr>
            <w:r>
              <w:rPr>
                <w:sz w:val="10"/>
              </w:rPr>
              <w:t>64</w:t>
            </w:r>
          </w:p>
        </w:tc>
        <w:tc>
          <w:tcPr>
            <w:tcW w:w="945" w:type="dxa"/>
          </w:tcPr>
          <w:p>
            <w:pPr>
              <w:pStyle w:val="TableParagraph"/>
              <w:spacing w:line="100" w:lineRule="exact" w:before="7"/>
              <w:ind w:right="97"/>
              <w:jc w:val="right"/>
              <w:rPr>
                <w:sz w:val="10"/>
              </w:rPr>
            </w:pPr>
            <w:r>
              <w:rPr>
                <w:sz w:val="10"/>
              </w:rPr>
              <w:t>322</w:t>
            </w:r>
          </w:p>
        </w:tc>
        <w:tc>
          <w:tcPr>
            <w:tcW w:w="1023" w:type="dxa"/>
          </w:tcPr>
          <w:p>
            <w:pPr>
              <w:pStyle w:val="TableParagraph"/>
              <w:spacing w:line="100" w:lineRule="exact" w:before="7"/>
              <w:ind w:right="129"/>
              <w:jc w:val="right"/>
              <w:rPr>
                <w:sz w:val="10"/>
              </w:rPr>
            </w:pPr>
            <w:r>
              <w:rPr>
                <w:sz w:val="10"/>
              </w:rPr>
              <w:t>40</w:t>
            </w:r>
          </w:p>
        </w:tc>
      </w:tr>
      <w:tr>
        <w:trPr>
          <w:trHeight w:val="123" w:hRule="atLeast"/>
        </w:trPr>
        <w:tc>
          <w:tcPr>
            <w:tcW w:w="5400" w:type="dxa"/>
          </w:tcPr>
          <w:p>
            <w:pPr>
              <w:pStyle w:val="TableParagraph"/>
              <w:spacing w:line="101" w:lineRule="exact" w:before="2"/>
              <w:ind w:left="101"/>
              <w:rPr>
                <w:sz w:val="10"/>
              </w:rPr>
            </w:pPr>
            <w:r>
              <w:rPr>
                <w:sz w:val="10"/>
              </w:rPr>
              <w:t>By three to six months</w:t>
            </w:r>
          </w:p>
        </w:tc>
        <w:tc>
          <w:tcPr>
            <w:tcW w:w="526" w:type="dxa"/>
          </w:tcPr>
          <w:p>
            <w:pPr>
              <w:pStyle w:val="TableParagraph"/>
              <w:spacing w:line="101" w:lineRule="exact" w:before="2"/>
              <w:ind w:left="51"/>
              <w:rPr>
                <w:sz w:val="10"/>
              </w:rPr>
            </w:pPr>
            <w:r>
              <w:rPr>
                <w:w w:val="100"/>
                <w:sz w:val="10"/>
              </w:rPr>
              <w:t>-</w:t>
            </w:r>
          </w:p>
        </w:tc>
        <w:tc>
          <w:tcPr>
            <w:tcW w:w="689" w:type="dxa"/>
          </w:tcPr>
          <w:p>
            <w:pPr>
              <w:pStyle w:val="TableParagraph"/>
              <w:spacing w:line="101" w:lineRule="exact" w:before="2"/>
              <w:ind w:right="134"/>
              <w:jc w:val="right"/>
              <w:rPr>
                <w:sz w:val="10"/>
              </w:rPr>
            </w:pPr>
            <w:r>
              <w:rPr>
                <w:w w:val="100"/>
                <w:sz w:val="10"/>
              </w:rPr>
              <w:t>-</w:t>
            </w:r>
          </w:p>
        </w:tc>
        <w:tc>
          <w:tcPr>
            <w:tcW w:w="945" w:type="dxa"/>
          </w:tcPr>
          <w:p>
            <w:pPr>
              <w:pStyle w:val="TableParagraph"/>
              <w:spacing w:line="101" w:lineRule="exact" w:before="2"/>
              <w:ind w:right="95"/>
              <w:jc w:val="right"/>
              <w:rPr>
                <w:sz w:val="10"/>
              </w:rPr>
            </w:pPr>
            <w:r>
              <w:rPr>
                <w:sz w:val="10"/>
              </w:rPr>
              <w:t>42</w:t>
            </w:r>
          </w:p>
        </w:tc>
        <w:tc>
          <w:tcPr>
            <w:tcW w:w="1023" w:type="dxa"/>
          </w:tcPr>
          <w:p>
            <w:pPr>
              <w:pStyle w:val="TableParagraph"/>
              <w:spacing w:line="101" w:lineRule="exact" w:before="2"/>
              <w:ind w:right="129"/>
              <w:jc w:val="right"/>
              <w:rPr>
                <w:sz w:val="10"/>
              </w:rPr>
            </w:pPr>
            <w:r>
              <w:rPr>
                <w:sz w:val="10"/>
              </w:rPr>
              <w:t>21</w:t>
            </w:r>
          </w:p>
        </w:tc>
      </w:tr>
      <w:tr>
        <w:trPr>
          <w:trHeight w:val="127" w:hRule="atLeast"/>
        </w:trPr>
        <w:tc>
          <w:tcPr>
            <w:tcW w:w="5400" w:type="dxa"/>
          </w:tcPr>
          <w:p>
            <w:pPr>
              <w:pStyle w:val="TableParagraph"/>
              <w:tabs>
                <w:tab w:pos="4623" w:val="left" w:leader="none"/>
                <w:tab w:pos="5448" w:val="left" w:leader="none"/>
              </w:tabs>
              <w:spacing w:line="104" w:lineRule="exact" w:before="3"/>
              <w:ind w:left="101" w:right="-58"/>
              <w:rPr>
                <w:sz w:val="10"/>
              </w:rPr>
            </w:pPr>
            <w:r>
              <w:rPr>
                <w:sz w:val="10"/>
              </w:rPr>
              <w:t>By  more than  six</w:t>
            </w:r>
            <w:r>
              <w:rPr>
                <w:spacing w:val="-13"/>
                <w:sz w:val="10"/>
              </w:rPr>
              <w:t> </w:t>
            </w:r>
            <w:r>
              <w:rPr>
                <w:sz w:val="10"/>
              </w:rPr>
              <w:t>months</w:t>
              <w:tab/>
            </w:r>
            <w:r>
              <w:rPr>
                <w:w w:val="100"/>
                <w:sz w:val="10"/>
                <w:u w:val="single"/>
              </w:rPr>
              <w:t> </w:t>
            </w:r>
            <w:r>
              <w:rPr>
                <w:sz w:val="10"/>
                <w:u w:val="single"/>
              </w:rPr>
              <w:tab/>
            </w:r>
          </w:p>
        </w:tc>
        <w:tc>
          <w:tcPr>
            <w:tcW w:w="1215" w:type="dxa"/>
            <w:gridSpan w:val="2"/>
          </w:tcPr>
          <w:p>
            <w:pPr>
              <w:pStyle w:val="TableParagraph"/>
              <w:tabs>
                <w:tab w:pos="1037" w:val="left" w:leader="none"/>
              </w:tabs>
              <w:spacing w:line="104" w:lineRule="exact" w:before="3"/>
              <w:ind w:left="48"/>
              <w:rPr>
                <w:sz w:val="10"/>
              </w:rPr>
            </w:pPr>
            <w:r>
              <w:rPr>
                <w:sz w:val="10"/>
                <w:u w:val="single"/>
              </w:rPr>
              <w:t>-</w:t>
              <w:tab/>
              <w:t>-</w:t>
            </w:r>
            <w:r>
              <w:rPr>
                <w:spacing w:val="-2"/>
                <w:sz w:val="10"/>
                <w:u w:val="single"/>
              </w:rPr>
              <w:t> </w:t>
            </w:r>
          </w:p>
        </w:tc>
        <w:tc>
          <w:tcPr>
            <w:tcW w:w="945" w:type="dxa"/>
          </w:tcPr>
          <w:p>
            <w:pPr>
              <w:pStyle w:val="TableParagraph"/>
              <w:tabs>
                <w:tab w:pos="803" w:val="left" w:leader="none"/>
              </w:tabs>
              <w:spacing w:line="104" w:lineRule="exact" w:before="3"/>
              <w:ind w:right="65"/>
              <w:jc w:val="right"/>
              <w:rPr>
                <w:sz w:val="10"/>
              </w:rPr>
            </w:pPr>
            <w:r>
              <w:rPr>
                <w:w w:val="100"/>
                <w:sz w:val="10"/>
                <w:u w:val="single"/>
              </w:rPr>
              <w:t> </w:t>
            </w:r>
            <w:r>
              <w:rPr>
                <w:sz w:val="10"/>
                <w:u w:val="single"/>
              </w:rPr>
              <w:tab/>
              <w:t>7</w:t>
            </w:r>
          </w:p>
        </w:tc>
        <w:tc>
          <w:tcPr>
            <w:tcW w:w="1023" w:type="dxa"/>
          </w:tcPr>
          <w:p>
            <w:pPr>
              <w:pStyle w:val="TableParagraph"/>
              <w:tabs>
                <w:tab w:pos="746" w:val="left" w:leader="none"/>
              </w:tabs>
              <w:spacing w:line="104" w:lineRule="exact" w:before="3"/>
              <w:ind w:right="100"/>
              <w:jc w:val="right"/>
              <w:rPr>
                <w:sz w:val="10"/>
              </w:rPr>
            </w:pPr>
            <w:r>
              <w:rPr>
                <w:w w:val="100"/>
                <w:sz w:val="10"/>
                <w:u w:val="single"/>
              </w:rPr>
              <w:t> </w:t>
            </w:r>
            <w:r>
              <w:rPr>
                <w:sz w:val="10"/>
                <w:u w:val="single"/>
              </w:rPr>
              <w:tab/>
            </w:r>
            <w:r>
              <w:rPr>
                <w:spacing w:val="-1"/>
                <w:sz w:val="10"/>
                <w:u w:val="single"/>
              </w:rPr>
              <w:t>51</w:t>
            </w:r>
          </w:p>
        </w:tc>
      </w:tr>
      <w:tr>
        <w:trPr>
          <w:trHeight w:val="121" w:hRule="atLeast"/>
        </w:trPr>
        <w:tc>
          <w:tcPr>
            <w:tcW w:w="5400" w:type="dxa"/>
          </w:tcPr>
          <w:p>
            <w:pPr>
              <w:pStyle w:val="TableParagraph"/>
              <w:tabs>
                <w:tab w:pos="4623" w:val="left" w:leader="none"/>
                <w:tab w:pos="5424" w:val="left" w:leader="none"/>
              </w:tabs>
              <w:spacing w:line="95" w:lineRule="exact" w:before="6"/>
              <w:ind w:left="101" w:right="-29"/>
              <w:rPr>
                <w:b/>
                <w:sz w:val="10"/>
              </w:rPr>
            </w:pPr>
            <w:r>
              <w:rPr>
                <w:b/>
                <w:w w:val="105"/>
                <w:sz w:val="10"/>
              </w:rPr>
              <w:t>Total</w:t>
            </w:r>
            <w:r>
              <w:rPr>
                <w:b/>
                <w:sz w:val="10"/>
              </w:rPr>
              <w:tab/>
            </w:r>
            <w:r>
              <w:rPr>
                <w:b/>
                <w:w w:val="105"/>
                <w:sz w:val="10"/>
                <w:u w:val="single"/>
              </w:rPr>
              <w:t> </w:t>
            </w:r>
            <w:r>
              <w:rPr>
                <w:b/>
                <w:sz w:val="10"/>
                <w:u w:val="single"/>
              </w:rPr>
              <w:tab/>
            </w:r>
          </w:p>
        </w:tc>
        <w:tc>
          <w:tcPr>
            <w:tcW w:w="1215" w:type="dxa"/>
            <w:gridSpan w:val="2"/>
          </w:tcPr>
          <w:p>
            <w:pPr>
              <w:pStyle w:val="TableParagraph"/>
              <w:tabs>
                <w:tab w:pos="958" w:val="left" w:leader="none"/>
              </w:tabs>
              <w:spacing w:line="95" w:lineRule="exact" w:before="6"/>
              <w:ind w:left="24"/>
              <w:rPr>
                <w:b/>
                <w:sz w:val="10"/>
              </w:rPr>
            </w:pPr>
            <w:r>
              <w:rPr>
                <w:b/>
                <w:w w:val="105"/>
                <w:sz w:val="10"/>
                <w:u w:val="single"/>
              </w:rPr>
              <w:t>3</w:t>
              <w:tab/>
              <w:t>64</w:t>
            </w:r>
            <w:r>
              <w:rPr>
                <w:b/>
                <w:spacing w:val="-1"/>
                <w:sz w:val="10"/>
                <w:u w:val="single"/>
              </w:rPr>
              <w:t> </w:t>
            </w:r>
          </w:p>
        </w:tc>
        <w:tc>
          <w:tcPr>
            <w:tcW w:w="945" w:type="dxa"/>
          </w:tcPr>
          <w:p>
            <w:pPr>
              <w:pStyle w:val="TableParagraph"/>
              <w:tabs>
                <w:tab w:pos="688" w:val="left" w:leader="none"/>
              </w:tabs>
              <w:spacing w:line="95" w:lineRule="exact" w:before="6"/>
              <w:ind w:right="66"/>
              <w:jc w:val="right"/>
              <w:rPr>
                <w:b/>
                <w:sz w:val="10"/>
              </w:rPr>
            </w:pPr>
            <w:r>
              <w:rPr>
                <w:b/>
                <w:w w:val="100"/>
                <w:sz w:val="10"/>
                <w:u w:val="single"/>
              </w:rPr>
              <w:t> </w:t>
            </w:r>
            <w:r>
              <w:rPr>
                <w:b/>
                <w:sz w:val="10"/>
                <w:u w:val="single"/>
              </w:rPr>
              <w:tab/>
            </w:r>
            <w:r>
              <w:rPr>
                <w:b/>
                <w:spacing w:val="-1"/>
                <w:sz w:val="10"/>
                <w:u w:val="single"/>
              </w:rPr>
              <w:t>372</w:t>
            </w:r>
          </w:p>
        </w:tc>
        <w:tc>
          <w:tcPr>
            <w:tcW w:w="1023" w:type="dxa"/>
          </w:tcPr>
          <w:p>
            <w:pPr>
              <w:pStyle w:val="TableParagraph"/>
              <w:tabs>
                <w:tab w:pos="688" w:val="left" w:leader="none"/>
              </w:tabs>
              <w:spacing w:line="95" w:lineRule="exact" w:before="6"/>
              <w:ind w:right="100"/>
              <w:jc w:val="right"/>
              <w:rPr>
                <w:b/>
                <w:sz w:val="10"/>
              </w:rPr>
            </w:pPr>
            <w:r>
              <w:rPr>
                <w:b/>
                <w:w w:val="100"/>
                <w:sz w:val="10"/>
                <w:u w:val="single"/>
              </w:rPr>
              <w:t> </w:t>
            </w:r>
            <w:r>
              <w:rPr>
                <w:b/>
                <w:sz w:val="10"/>
                <w:u w:val="single"/>
              </w:rPr>
              <w:tab/>
            </w:r>
            <w:r>
              <w:rPr>
                <w:b/>
                <w:spacing w:val="-1"/>
                <w:sz w:val="10"/>
                <w:u w:val="single"/>
              </w:rPr>
              <w:t>112</w:t>
            </w:r>
          </w:p>
        </w:tc>
      </w:tr>
    </w:tbl>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ListParagraph"/>
        <w:numPr>
          <w:ilvl w:val="1"/>
          <w:numId w:val="33"/>
        </w:numPr>
        <w:tabs>
          <w:tab w:pos="849" w:val="left" w:leader="none"/>
        </w:tabs>
        <w:spacing w:line="240" w:lineRule="auto" w:before="73" w:after="0"/>
        <w:ind w:left="848" w:right="0" w:hanging="173"/>
        <w:jc w:val="left"/>
        <w:rPr>
          <w:b/>
          <w:sz w:val="10"/>
        </w:rPr>
      </w:pPr>
      <w:r>
        <w:rPr>
          <w:b/>
          <w:w w:val="105"/>
          <w:sz w:val="10"/>
        </w:rPr>
        <w:t>Loss allowance on asset</w:t>
      </w:r>
      <w:r>
        <w:rPr>
          <w:b/>
          <w:spacing w:val="-21"/>
          <w:w w:val="105"/>
          <w:sz w:val="10"/>
        </w:rPr>
        <w:t> </w:t>
      </w:r>
      <w:r>
        <w:rPr>
          <w:b/>
          <w:w w:val="105"/>
          <w:sz w:val="10"/>
        </w:rPr>
        <w:t>classes</w:t>
      </w:r>
    </w:p>
    <w:p>
      <w:pPr>
        <w:pStyle w:val="BodyText"/>
        <w:spacing w:before="2"/>
        <w:rPr>
          <w:b/>
          <w:sz w:val="12"/>
        </w:rPr>
      </w:pPr>
    </w:p>
    <w:p>
      <w:pPr>
        <w:spacing w:before="0"/>
        <w:ind w:left="676" w:right="0" w:firstLine="0"/>
        <w:jc w:val="left"/>
        <w:rPr>
          <w:sz w:val="10"/>
        </w:rPr>
      </w:pPr>
      <w:r>
        <w:rPr>
          <w:sz w:val="10"/>
        </w:rPr>
        <w:t>North Lincolnshire  CCG  has  no loss  allowances to</w:t>
      </w:r>
      <w:r>
        <w:rPr>
          <w:spacing w:val="-13"/>
          <w:sz w:val="10"/>
        </w:rPr>
        <w:t> </w:t>
      </w:r>
      <w:r>
        <w:rPr>
          <w:sz w:val="10"/>
        </w:rPr>
        <w:t>report.</w:t>
      </w:r>
    </w:p>
    <w:p>
      <w:pPr>
        <w:spacing w:after="0"/>
        <w:jc w:val="left"/>
        <w:rPr>
          <w:sz w:val="10"/>
        </w:rPr>
        <w:sectPr>
          <w:pgSz w:w="11920" w:h="16850"/>
          <w:pgMar w:header="0" w:footer="407" w:top="1080" w:bottom="600" w:left="740" w:right="520"/>
        </w:sectPr>
      </w:pPr>
    </w:p>
    <w:tbl>
      <w:tblPr>
        <w:tblW w:w="0" w:type="auto"/>
        <w:jc w:val="lef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82"/>
        <w:gridCol w:w="1128"/>
        <w:gridCol w:w="161"/>
        <w:gridCol w:w="953"/>
      </w:tblGrid>
      <w:tr>
        <w:trPr>
          <w:trHeight w:val="735" w:hRule="atLeast"/>
        </w:trPr>
        <w:tc>
          <w:tcPr>
            <w:tcW w:w="6582" w:type="dxa"/>
          </w:tcPr>
          <w:p>
            <w:pPr>
              <w:pStyle w:val="TableParagraph"/>
              <w:spacing w:line="186" w:lineRule="exact"/>
              <w:ind w:left="200"/>
              <w:rPr>
                <w:sz w:val="17"/>
              </w:rPr>
            </w:pPr>
            <w:r>
              <w:rPr>
                <w:sz w:val="17"/>
              </w:rPr>
              <w:t>NHS North Lincolnshire CCG - Annual Accounts 2021-22</w:t>
            </w:r>
          </w:p>
          <w:p>
            <w:pPr>
              <w:pStyle w:val="TableParagraph"/>
              <w:spacing w:before="1"/>
              <w:rPr>
                <w:sz w:val="20"/>
              </w:rPr>
            </w:pPr>
          </w:p>
          <w:p>
            <w:pPr>
              <w:pStyle w:val="TableParagraph"/>
              <w:ind w:left="200"/>
              <w:rPr>
                <w:b/>
                <w:sz w:val="17"/>
              </w:rPr>
            </w:pPr>
            <w:r>
              <w:rPr>
                <w:b/>
                <w:sz w:val="17"/>
              </w:rPr>
              <w:t>9 Cash and cash equivalents</w:t>
            </w:r>
          </w:p>
        </w:tc>
        <w:tc>
          <w:tcPr>
            <w:tcW w:w="1128" w:type="dxa"/>
          </w:tcPr>
          <w:p>
            <w:pPr>
              <w:pStyle w:val="TableParagraph"/>
              <w:rPr>
                <w:rFonts w:ascii="Times New Roman"/>
                <w:sz w:val="16"/>
              </w:rPr>
            </w:pPr>
          </w:p>
        </w:tc>
        <w:tc>
          <w:tcPr>
            <w:tcW w:w="161" w:type="dxa"/>
          </w:tcPr>
          <w:p>
            <w:pPr>
              <w:pStyle w:val="TableParagraph"/>
              <w:rPr>
                <w:rFonts w:ascii="Times New Roman"/>
                <w:sz w:val="16"/>
              </w:rPr>
            </w:pPr>
          </w:p>
        </w:tc>
        <w:tc>
          <w:tcPr>
            <w:tcW w:w="953" w:type="dxa"/>
          </w:tcPr>
          <w:p>
            <w:pPr>
              <w:pStyle w:val="TableParagraph"/>
              <w:rPr>
                <w:rFonts w:ascii="Times New Roman"/>
                <w:sz w:val="16"/>
              </w:rPr>
            </w:pPr>
          </w:p>
        </w:tc>
      </w:tr>
      <w:tr>
        <w:trPr>
          <w:trHeight w:val="320" w:hRule="atLeast"/>
        </w:trPr>
        <w:tc>
          <w:tcPr>
            <w:tcW w:w="6582" w:type="dxa"/>
          </w:tcPr>
          <w:p>
            <w:pPr>
              <w:pStyle w:val="TableParagraph"/>
              <w:rPr>
                <w:rFonts w:ascii="Times New Roman"/>
                <w:sz w:val="16"/>
              </w:rPr>
            </w:pPr>
          </w:p>
        </w:tc>
        <w:tc>
          <w:tcPr>
            <w:tcW w:w="1128" w:type="dxa"/>
          </w:tcPr>
          <w:p>
            <w:pPr>
              <w:pStyle w:val="TableParagraph"/>
              <w:spacing w:line="191" w:lineRule="exact" w:before="109"/>
              <w:ind w:left="258"/>
              <w:rPr>
                <w:b/>
                <w:sz w:val="17"/>
              </w:rPr>
            </w:pPr>
            <w:r>
              <w:rPr>
                <w:b/>
                <w:sz w:val="17"/>
              </w:rPr>
              <w:t>2021-22</w:t>
            </w:r>
          </w:p>
        </w:tc>
        <w:tc>
          <w:tcPr>
            <w:tcW w:w="161" w:type="dxa"/>
            <w:vMerge w:val="restart"/>
          </w:tcPr>
          <w:p>
            <w:pPr>
              <w:pStyle w:val="TableParagraph"/>
              <w:rPr>
                <w:rFonts w:ascii="Times New Roman"/>
                <w:sz w:val="16"/>
              </w:rPr>
            </w:pPr>
          </w:p>
        </w:tc>
        <w:tc>
          <w:tcPr>
            <w:tcW w:w="953" w:type="dxa"/>
          </w:tcPr>
          <w:p>
            <w:pPr>
              <w:pStyle w:val="TableParagraph"/>
              <w:spacing w:line="191" w:lineRule="exact" w:before="109"/>
              <w:ind w:left="172"/>
              <w:rPr>
                <w:sz w:val="17"/>
              </w:rPr>
            </w:pPr>
            <w:r>
              <w:rPr>
                <w:sz w:val="17"/>
              </w:rPr>
              <w:t>2020-21</w:t>
            </w:r>
          </w:p>
        </w:tc>
      </w:tr>
      <w:tr>
        <w:trPr>
          <w:trHeight w:val="210" w:hRule="atLeast"/>
        </w:trPr>
        <w:tc>
          <w:tcPr>
            <w:tcW w:w="6582" w:type="dxa"/>
          </w:tcPr>
          <w:p>
            <w:pPr>
              <w:pStyle w:val="TableParagraph"/>
              <w:rPr>
                <w:rFonts w:ascii="Times New Roman"/>
                <w:sz w:val="14"/>
              </w:rPr>
            </w:pPr>
          </w:p>
        </w:tc>
        <w:tc>
          <w:tcPr>
            <w:tcW w:w="1128" w:type="dxa"/>
          </w:tcPr>
          <w:p>
            <w:pPr>
              <w:pStyle w:val="TableParagraph"/>
              <w:spacing w:line="187" w:lineRule="exact" w:before="2"/>
              <w:ind w:left="361"/>
              <w:rPr>
                <w:b/>
                <w:sz w:val="17"/>
              </w:rPr>
            </w:pPr>
            <w:r>
              <w:rPr>
                <w:b/>
                <w:sz w:val="17"/>
              </w:rPr>
              <w:t>£'000</w:t>
            </w:r>
          </w:p>
        </w:tc>
        <w:tc>
          <w:tcPr>
            <w:tcW w:w="161" w:type="dxa"/>
            <w:vMerge/>
            <w:tcBorders>
              <w:top w:val="nil"/>
            </w:tcBorders>
          </w:tcPr>
          <w:p>
            <w:pPr>
              <w:rPr>
                <w:sz w:val="2"/>
                <w:szCs w:val="2"/>
              </w:rPr>
            </w:pPr>
          </w:p>
        </w:tc>
        <w:tc>
          <w:tcPr>
            <w:tcW w:w="953" w:type="dxa"/>
          </w:tcPr>
          <w:p>
            <w:pPr>
              <w:pStyle w:val="TableParagraph"/>
              <w:spacing w:line="187" w:lineRule="exact" w:before="2"/>
              <w:ind w:left="277"/>
              <w:rPr>
                <w:sz w:val="17"/>
              </w:rPr>
            </w:pPr>
            <w:r>
              <w:rPr>
                <w:sz w:val="17"/>
              </w:rPr>
              <w:t>£'000</w:t>
            </w:r>
          </w:p>
        </w:tc>
      </w:tr>
      <w:tr>
        <w:trPr>
          <w:trHeight w:val="209" w:hRule="atLeast"/>
        </w:trPr>
        <w:tc>
          <w:tcPr>
            <w:tcW w:w="6582" w:type="dxa"/>
          </w:tcPr>
          <w:p>
            <w:pPr>
              <w:pStyle w:val="TableParagraph"/>
              <w:spacing w:line="190" w:lineRule="exact"/>
              <w:ind w:left="200"/>
              <w:rPr>
                <w:b/>
                <w:sz w:val="17"/>
              </w:rPr>
            </w:pPr>
            <w:r>
              <w:rPr>
                <w:b/>
                <w:sz w:val="17"/>
              </w:rPr>
              <w:t>Balance at 01 April 2021</w:t>
            </w:r>
          </w:p>
        </w:tc>
        <w:tc>
          <w:tcPr>
            <w:tcW w:w="1128" w:type="dxa"/>
          </w:tcPr>
          <w:p>
            <w:pPr>
              <w:pStyle w:val="TableParagraph"/>
              <w:spacing w:line="190" w:lineRule="exact"/>
              <w:ind w:right="34"/>
              <w:jc w:val="right"/>
              <w:rPr>
                <w:sz w:val="17"/>
              </w:rPr>
            </w:pPr>
            <w:r>
              <w:rPr>
                <w:sz w:val="17"/>
              </w:rPr>
              <w:t>16</w:t>
            </w:r>
          </w:p>
        </w:tc>
        <w:tc>
          <w:tcPr>
            <w:tcW w:w="161" w:type="dxa"/>
            <w:vMerge/>
            <w:tcBorders>
              <w:top w:val="nil"/>
            </w:tcBorders>
          </w:tcPr>
          <w:p>
            <w:pPr>
              <w:rPr>
                <w:sz w:val="2"/>
                <w:szCs w:val="2"/>
              </w:rPr>
            </w:pPr>
          </w:p>
        </w:tc>
        <w:tc>
          <w:tcPr>
            <w:tcW w:w="953" w:type="dxa"/>
          </w:tcPr>
          <w:p>
            <w:pPr>
              <w:pStyle w:val="TableParagraph"/>
              <w:spacing w:line="190" w:lineRule="exact"/>
              <w:ind w:right="34"/>
              <w:jc w:val="right"/>
              <w:rPr>
                <w:sz w:val="17"/>
              </w:rPr>
            </w:pPr>
            <w:r>
              <w:rPr>
                <w:sz w:val="17"/>
              </w:rPr>
              <w:t>16</w:t>
            </w:r>
          </w:p>
        </w:tc>
      </w:tr>
      <w:tr>
        <w:trPr>
          <w:trHeight w:val="216" w:hRule="atLeast"/>
        </w:trPr>
        <w:tc>
          <w:tcPr>
            <w:tcW w:w="6582" w:type="dxa"/>
          </w:tcPr>
          <w:p>
            <w:pPr>
              <w:pStyle w:val="TableParagraph"/>
              <w:spacing w:line="193" w:lineRule="exact" w:before="2"/>
              <w:ind w:left="200"/>
              <w:rPr>
                <w:sz w:val="17"/>
              </w:rPr>
            </w:pPr>
            <w:r>
              <w:rPr>
                <w:sz w:val="17"/>
              </w:rPr>
              <w:t>Net change in year</w:t>
            </w:r>
          </w:p>
        </w:tc>
        <w:tc>
          <w:tcPr>
            <w:tcW w:w="1128" w:type="dxa"/>
          </w:tcPr>
          <w:p>
            <w:pPr>
              <w:pStyle w:val="TableParagraph"/>
              <w:tabs>
                <w:tab w:pos="880" w:val="left" w:leader="none"/>
              </w:tabs>
              <w:spacing w:line="193" w:lineRule="exact" w:before="2"/>
              <w:ind w:right="1"/>
              <w:jc w:val="right"/>
              <w:rPr>
                <w:sz w:val="17"/>
              </w:rPr>
            </w:pPr>
            <w:r>
              <w:rPr>
                <w:w w:val="100"/>
                <w:sz w:val="17"/>
                <w:u w:val="single"/>
              </w:rPr>
              <w:t> </w:t>
            </w:r>
            <w:r>
              <w:rPr>
                <w:sz w:val="17"/>
                <w:u w:val="single"/>
              </w:rPr>
              <w:tab/>
            </w:r>
            <w:r>
              <w:rPr>
                <w:spacing w:val="-2"/>
                <w:sz w:val="17"/>
                <w:u w:val="single"/>
              </w:rPr>
              <w:t>(4)</w:t>
            </w:r>
          </w:p>
        </w:tc>
        <w:tc>
          <w:tcPr>
            <w:tcW w:w="161" w:type="dxa"/>
          </w:tcPr>
          <w:p>
            <w:pPr>
              <w:pStyle w:val="TableParagraph"/>
              <w:rPr>
                <w:rFonts w:ascii="Times New Roman"/>
                <w:sz w:val="14"/>
              </w:rPr>
            </w:pPr>
          </w:p>
        </w:tc>
        <w:tc>
          <w:tcPr>
            <w:tcW w:w="953" w:type="dxa"/>
          </w:tcPr>
          <w:p>
            <w:pPr>
              <w:pStyle w:val="TableParagraph"/>
              <w:tabs>
                <w:tab w:pos="705" w:val="left" w:leader="none"/>
              </w:tabs>
              <w:spacing w:line="193" w:lineRule="exact" w:before="2"/>
              <w:ind w:right="1"/>
              <w:jc w:val="right"/>
              <w:rPr>
                <w:sz w:val="17"/>
              </w:rPr>
            </w:pPr>
            <w:r>
              <w:rPr>
                <w:w w:val="100"/>
                <w:sz w:val="17"/>
                <w:u w:val="single"/>
              </w:rPr>
              <w:t> </w:t>
            </w:r>
            <w:r>
              <w:rPr>
                <w:sz w:val="17"/>
                <w:u w:val="single"/>
              </w:rPr>
              <w:tab/>
            </w:r>
            <w:r>
              <w:rPr>
                <w:spacing w:val="-2"/>
                <w:sz w:val="17"/>
                <w:u w:val="single"/>
              </w:rPr>
              <w:t>(0)</w:t>
            </w:r>
          </w:p>
        </w:tc>
      </w:tr>
      <w:tr>
        <w:trPr>
          <w:trHeight w:val="322" w:hRule="atLeast"/>
        </w:trPr>
        <w:tc>
          <w:tcPr>
            <w:tcW w:w="6582" w:type="dxa"/>
          </w:tcPr>
          <w:p>
            <w:pPr>
              <w:pStyle w:val="TableParagraph"/>
              <w:spacing w:before="5"/>
              <w:ind w:left="200"/>
              <w:rPr>
                <w:b/>
                <w:sz w:val="17"/>
              </w:rPr>
            </w:pPr>
            <w:r>
              <w:rPr>
                <w:b/>
                <w:sz w:val="17"/>
              </w:rPr>
              <w:t>Balance at 31 March 2022</w:t>
            </w:r>
          </w:p>
        </w:tc>
        <w:tc>
          <w:tcPr>
            <w:tcW w:w="1128" w:type="dxa"/>
          </w:tcPr>
          <w:p>
            <w:pPr>
              <w:pStyle w:val="TableParagraph"/>
              <w:tabs>
                <w:tab w:pos="899" w:val="left" w:leader="none"/>
              </w:tabs>
              <w:spacing w:before="5"/>
              <w:ind w:right="-15"/>
              <w:jc w:val="right"/>
              <w:rPr>
                <w:b/>
                <w:sz w:val="17"/>
              </w:rPr>
            </w:pPr>
            <w:r>
              <w:rPr>
                <w:b/>
                <w:w w:val="100"/>
                <w:sz w:val="17"/>
                <w:u w:val="single"/>
              </w:rPr>
              <w:t> </w:t>
            </w:r>
            <w:r>
              <w:rPr>
                <w:b/>
                <w:sz w:val="17"/>
                <w:u w:val="single"/>
              </w:rPr>
              <w:tab/>
              <w:t>12</w:t>
            </w:r>
          </w:p>
        </w:tc>
        <w:tc>
          <w:tcPr>
            <w:tcW w:w="161" w:type="dxa"/>
          </w:tcPr>
          <w:p>
            <w:pPr>
              <w:pStyle w:val="TableParagraph"/>
              <w:rPr>
                <w:rFonts w:ascii="Times New Roman"/>
                <w:sz w:val="16"/>
              </w:rPr>
            </w:pPr>
          </w:p>
        </w:tc>
        <w:tc>
          <w:tcPr>
            <w:tcW w:w="953" w:type="dxa"/>
          </w:tcPr>
          <w:p>
            <w:pPr>
              <w:pStyle w:val="TableParagraph"/>
              <w:tabs>
                <w:tab w:pos="724" w:val="left" w:leader="none"/>
              </w:tabs>
              <w:spacing w:before="5"/>
              <w:ind w:right="-15"/>
              <w:jc w:val="right"/>
              <w:rPr>
                <w:b/>
                <w:sz w:val="17"/>
              </w:rPr>
            </w:pPr>
            <w:r>
              <w:rPr>
                <w:b/>
                <w:w w:val="100"/>
                <w:sz w:val="17"/>
                <w:u w:val="single"/>
              </w:rPr>
              <w:t> </w:t>
            </w:r>
            <w:r>
              <w:rPr>
                <w:b/>
                <w:sz w:val="17"/>
                <w:u w:val="single"/>
              </w:rPr>
              <w:tab/>
              <w:t>16</w:t>
            </w:r>
          </w:p>
        </w:tc>
      </w:tr>
      <w:tr>
        <w:trPr>
          <w:trHeight w:val="528" w:hRule="atLeast"/>
        </w:trPr>
        <w:tc>
          <w:tcPr>
            <w:tcW w:w="6582" w:type="dxa"/>
          </w:tcPr>
          <w:p>
            <w:pPr>
              <w:pStyle w:val="TableParagraph"/>
              <w:spacing w:before="109"/>
              <w:ind w:left="200"/>
              <w:rPr>
                <w:sz w:val="17"/>
              </w:rPr>
            </w:pPr>
            <w:r>
              <w:rPr>
                <w:sz w:val="17"/>
              </w:rPr>
              <w:t>Made up of:</w:t>
            </w:r>
          </w:p>
          <w:p>
            <w:pPr>
              <w:pStyle w:val="TableParagraph"/>
              <w:spacing w:line="192" w:lineRule="exact" w:before="11"/>
              <w:ind w:left="200"/>
              <w:rPr>
                <w:sz w:val="17"/>
              </w:rPr>
            </w:pPr>
            <w:r>
              <w:rPr>
                <w:sz w:val="17"/>
              </w:rPr>
              <w:t>Cash with the Government Banking Service</w:t>
            </w:r>
          </w:p>
        </w:tc>
        <w:tc>
          <w:tcPr>
            <w:tcW w:w="1128" w:type="dxa"/>
          </w:tcPr>
          <w:p>
            <w:pPr>
              <w:pStyle w:val="TableParagraph"/>
              <w:rPr>
                <w:sz w:val="18"/>
              </w:rPr>
            </w:pPr>
          </w:p>
          <w:p>
            <w:pPr>
              <w:pStyle w:val="TableParagraph"/>
              <w:spacing w:line="190" w:lineRule="exact" w:before="111"/>
              <w:ind w:right="29"/>
              <w:jc w:val="right"/>
              <w:rPr>
                <w:sz w:val="17"/>
              </w:rPr>
            </w:pPr>
            <w:r>
              <w:rPr>
                <w:sz w:val="17"/>
              </w:rPr>
              <w:t>12</w:t>
            </w:r>
          </w:p>
        </w:tc>
        <w:tc>
          <w:tcPr>
            <w:tcW w:w="161" w:type="dxa"/>
          </w:tcPr>
          <w:p>
            <w:pPr>
              <w:pStyle w:val="TableParagraph"/>
              <w:rPr>
                <w:rFonts w:ascii="Times New Roman"/>
                <w:sz w:val="16"/>
              </w:rPr>
            </w:pPr>
          </w:p>
        </w:tc>
        <w:tc>
          <w:tcPr>
            <w:tcW w:w="953" w:type="dxa"/>
          </w:tcPr>
          <w:p>
            <w:pPr>
              <w:pStyle w:val="TableParagraph"/>
              <w:rPr>
                <w:sz w:val="18"/>
              </w:rPr>
            </w:pPr>
          </w:p>
          <w:p>
            <w:pPr>
              <w:pStyle w:val="TableParagraph"/>
              <w:spacing w:line="190" w:lineRule="exact" w:before="111"/>
              <w:ind w:right="32"/>
              <w:jc w:val="right"/>
              <w:rPr>
                <w:sz w:val="17"/>
              </w:rPr>
            </w:pPr>
            <w:r>
              <w:rPr>
                <w:sz w:val="17"/>
              </w:rPr>
              <w:t>16</w:t>
            </w:r>
          </w:p>
        </w:tc>
      </w:tr>
      <w:tr>
        <w:trPr>
          <w:trHeight w:val="215" w:hRule="atLeast"/>
        </w:trPr>
        <w:tc>
          <w:tcPr>
            <w:tcW w:w="6582" w:type="dxa"/>
          </w:tcPr>
          <w:p>
            <w:pPr>
              <w:pStyle w:val="TableParagraph"/>
              <w:spacing w:line="195" w:lineRule="exact" w:before="1"/>
              <w:ind w:left="200"/>
              <w:rPr>
                <w:sz w:val="17"/>
              </w:rPr>
            </w:pPr>
            <w:r>
              <w:rPr>
                <w:sz w:val="17"/>
              </w:rPr>
              <w:t>Cash with Commercial banks</w:t>
            </w:r>
          </w:p>
        </w:tc>
        <w:tc>
          <w:tcPr>
            <w:tcW w:w="1128" w:type="dxa"/>
          </w:tcPr>
          <w:p>
            <w:pPr>
              <w:pStyle w:val="TableParagraph"/>
              <w:spacing w:line="195" w:lineRule="exact" w:before="1"/>
              <w:ind w:right="32"/>
              <w:jc w:val="right"/>
              <w:rPr>
                <w:sz w:val="17"/>
              </w:rPr>
            </w:pPr>
            <w:r>
              <w:rPr>
                <w:w w:val="100"/>
                <w:sz w:val="17"/>
              </w:rPr>
              <w:t>-</w:t>
            </w:r>
          </w:p>
        </w:tc>
        <w:tc>
          <w:tcPr>
            <w:tcW w:w="161" w:type="dxa"/>
          </w:tcPr>
          <w:p>
            <w:pPr>
              <w:pStyle w:val="TableParagraph"/>
              <w:rPr>
                <w:rFonts w:ascii="Times New Roman"/>
                <w:sz w:val="14"/>
              </w:rPr>
            </w:pPr>
          </w:p>
        </w:tc>
        <w:tc>
          <w:tcPr>
            <w:tcW w:w="953" w:type="dxa"/>
          </w:tcPr>
          <w:p>
            <w:pPr>
              <w:pStyle w:val="TableParagraph"/>
              <w:spacing w:line="195" w:lineRule="exact" w:before="1"/>
              <w:ind w:right="35"/>
              <w:jc w:val="right"/>
              <w:rPr>
                <w:sz w:val="17"/>
              </w:rPr>
            </w:pPr>
            <w:r>
              <w:rPr>
                <w:w w:val="100"/>
                <w:sz w:val="17"/>
              </w:rPr>
              <w:t>-</w:t>
            </w:r>
          </w:p>
        </w:tc>
      </w:tr>
      <w:tr>
        <w:trPr>
          <w:trHeight w:val="217" w:hRule="atLeast"/>
        </w:trPr>
        <w:tc>
          <w:tcPr>
            <w:tcW w:w="6582" w:type="dxa"/>
          </w:tcPr>
          <w:p>
            <w:pPr>
              <w:pStyle w:val="TableParagraph"/>
              <w:spacing w:line="191" w:lineRule="exact" w:before="6"/>
              <w:ind w:left="200"/>
              <w:rPr>
                <w:sz w:val="17"/>
              </w:rPr>
            </w:pPr>
            <w:r>
              <w:rPr>
                <w:sz w:val="17"/>
              </w:rPr>
              <w:t>Cash in hand</w:t>
            </w:r>
          </w:p>
        </w:tc>
        <w:tc>
          <w:tcPr>
            <w:tcW w:w="1128" w:type="dxa"/>
          </w:tcPr>
          <w:p>
            <w:pPr>
              <w:pStyle w:val="TableParagraph"/>
              <w:spacing w:line="191" w:lineRule="exact" w:before="6"/>
              <w:ind w:right="33"/>
              <w:jc w:val="right"/>
              <w:rPr>
                <w:sz w:val="17"/>
              </w:rPr>
            </w:pPr>
            <w:r>
              <w:rPr>
                <w:w w:val="100"/>
                <w:sz w:val="17"/>
              </w:rPr>
              <w:t>0</w:t>
            </w:r>
          </w:p>
        </w:tc>
        <w:tc>
          <w:tcPr>
            <w:tcW w:w="161" w:type="dxa"/>
            <w:vMerge w:val="restart"/>
          </w:tcPr>
          <w:p>
            <w:pPr>
              <w:pStyle w:val="TableParagraph"/>
              <w:rPr>
                <w:rFonts w:ascii="Times New Roman"/>
                <w:sz w:val="16"/>
              </w:rPr>
            </w:pPr>
          </w:p>
        </w:tc>
        <w:tc>
          <w:tcPr>
            <w:tcW w:w="953" w:type="dxa"/>
          </w:tcPr>
          <w:p>
            <w:pPr>
              <w:pStyle w:val="TableParagraph"/>
              <w:spacing w:line="191" w:lineRule="exact" w:before="6"/>
              <w:ind w:right="36"/>
              <w:jc w:val="right"/>
              <w:rPr>
                <w:sz w:val="17"/>
              </w:rPr>
            </w:pPr>
            <w:r>
              <w:rPr>
                <w:w w:val="100"/>
                <w:sz w:val="17"/>
              </w:rPr>
              <w:t>0</w:t>
            </w:r>
          </w:p>
        </w:tc>
      </w:tr>
      <w:tr>
        <w:trPr>
          <w:trHeight w:val="213" w:hRule="atLeast"/>
        </w:trPr>
        <w:tc>
          <w:tcPr>
            <w:tcW w:w="6582" w:type="dxa"/>
          </w:tcPr>
          <w:p>
            <w:pPr>
              <w:pStyle w:val="TableParagraph"/>
              <w:spacing w:line="191" w:lineRule="exact" w:before="2"/>
              <w:ind w:left="200"/>
              <w:rPr>
                <w:sz w:val="17"/>
              </w:rPr>
            </w:pPr>
            <w:r>
              <w:rPr>
                <w:sz w:val="17"/>
              </w:rPr>
              <w:t>Current investments</w:t>
            </w:r>
          </w:p>
        </w:tc>
        <w:tc>
          <w:tcPr>
            <w:tcW w:w="1128" w:type="dxa"/>
          </w:tcPr>
          <w:p>
            <w:pPr>
              <w:pStyle w:val="TableParagraph"/>
              <w:tabs>
                <w:tab w:pos="1031" w:val="left" w:leader="none"/>
              </w:tabs>
              <w:spacing w:line="191" w:lineRule="exact" w:before="2"/>
              <w:ind w:right="1"/>
              <w:jc w:val="right"/>
              <w:rPr>
                <w:sz w:val="17"/>
              </w:rPr>
            </w:pPr>
            <w:r>
              <w:rPr>
                <w:w w:val="100"/>
                <w:sz w:val="17"/>
                <w:u w:val="single"/>
              </w:rPr>
              <w:t> </w:t>
            </w:r>
            <w:r>
              <w:rPr>
                <w:sz w:val="17"/>
                <w:u w:val="single"/>
              </w:rPr>
              <w:tab/>
              <w:t>-</w:t>
            </w:r>
          </w:p>
        </w:tc>
        <w:tc>
          <w:tcPr>
            <w:tcW w:w="161" w:type="dxa"/>
            <w:vMerge/>
            <w:tcBorders>
              <w:top w:val="nil"/>
            </w:tcBorders>
          </w:tcPr>
          <w:p>
            <w:pPr>
              <w:rPr>
                <w:sz w:val="2"/>
                <w:szCs w:val="2"/>
              </w:rPr>
            </w:pPr>
          </w:p>
        </w:tc>
        <w:tc>
          <w:tcPr>
            <w:tcW w:w="953" w:type="dxa"/>
          </w:tcPr>
          <w:p>
            <w:pPr>
              <w:pStyle w:val="TableParagraph"/>
              <w:tabs>
                <w:tab w:pos="859" w:val="left" w:leader="none"/>
              </w:tabs>
              <w:spacing w:line="191" w:lineRule="exact" w:before="2"/>
              <w:ind w:right="1"/>
              <w:jc w:val="right"/>
              <w:rPr>
                <w:sz w:val="17"/>
              </w:rPr>
            </w:pPr>
            <w:r>
              <w:rPr>
                <w:w w:val="100"/>
                <w:sz w:val="17"/>
                <w:u w:val="single"/>
              </w:rPr>
              <w:t> </w:t>
            </w:r>
            <w:r>
              <w:rPr>
                <w:sz w:val="17"/>
                <w:u w:val="single"/>
              </w:rPr>
              <w:tab/>
              <w:t>-</w:t>
            </w:r>
          </w:p>
        </w:tc>
      </w:tr>
      <w:tr>
        <w:trPr>
          <w:trHeight w:val="319" w:hRule="atLeast"/>
        </w:trPr>
        <w:tc>
          <w:tcPr>
            <w:tcW w:w="6582" w:type="dxa"/>
          </w:tcPr>
          <w:p>
            <w:pPr>
              <w:pStyle w:val="TableParagraph"/>
              <w:spacing w:before="2"/>
              <w:ind w:left="200"/>
              <w:rPr>
                <w:b/>
                <w:sz w:val="17"/>
              </w:rPr>
            </w:pPr>
            <w:r>
              <w:rPr>
                <w:b/>
                <w:sz w:val="17"/>
              </w:rPr>
              <w:t>Cash and cash equivalents as in statement of financial position</w:t>
            </w:r>
          </w:p>
        </w:tc>
        <w:tc>
          <w:tcPr>
            <w:tcW w:w="1128" w:type="dxa"/>
          </w:tcPr>
          <w:p>
            <w:pPr>
              <w:pStyle w:val="TableParagraph"/>
              <w:spacing w:before="2"/>
              <w:ind w:right="29"/>
              <w:jc w:val="right"/>
              <w:rPr>
                <w:b/>
                <w:sz w:val="17"/>
              </w:rPr>
            </w:pPr>
            <w:r>
              <w:rPr>
                <w:b/>
                <w:sz w:val="17"/>
              </w:rPr>
              <w:t>12</w:t>
            </w:r>
          </w:p>
        </w:tc>
        <w:tc>
          <w:tcPr>
            <w:tcW w:w="161" w:type="dxa"/>
            <w:vMerge/>
            <w:tcBorders>
              <w:top w:val="nil"/>
            </w:tcBorders>
          </w:tcPr>
          <w:p>
            <w:pPr>
              <w:rPr>
                <w:sz w:val="2"/>
                <w:szCs w:val="2"/>
              </w:rPr>
            </w:pPr>
          </w:p>
        </w:tc>
        <w:tc>
          <w:tcPr>
            <w:tcW w:w="953" w:type="dxa"/>
          </w:tcPr>
          <w:p>
            <w:pPr>
              <w:pStyle w:val="TableParagraph"/>
              <w:spacing w:before="2"/>
              <w:ind w:right="30"/>
              <w:jc w:val="right"/>
              <w:rPr>
                <w:b/>
                <w:sz w:val="17"/>
              </w:rPr>
            </w:pPr>
            <w:r>
              <w:rPr>
                <w:b/>
                <w:sz w:val="17"/>
              </w:rPr>
              <w:t>16</w:t>
            </w:r>
          </w:p>
        </w:tc>
      </w:tr>
      <w:tr>
        <w:trPr>
          <w:trHeight w:val="320" w:hRule="atLeast"/>
        </w:trPr>
        <w:tc>
          <w:tcPr>
            <w:tcW w:w="6582" w:type="dxa"/>
          </w:tcPr>
          <w:p>
            <w:pPr>
              <w:pStyle w:val="TableParagraph"/>
              <w:spacing w:line="190" w:lineRule="exact" w:before="110"/>
              <w:ind w:left="200"/>
              <w:rPr>
                <w:sz w:val="17"/>
              </w:rPr>
            </w:pPr>
            <w:r>
              <w:rPr>
                <w:sz w:val="17"/>
              </w:rPr>
              <w:t>Bank overdraft: Government Banking Service</w:t>
            </w:r>
          </w:p>
        </w:tc>
        <w:tc>
          <w:tcPr>
            <w:tcW w:w="1128" w:type="dxa"/>
          </w:tcPr>
          <w:p>
            <w:pPr>
              <w:pStyle w:val="TableParagraph"/>
              <w:spacing w:line="192" w:lineRule="exact" w:before="108"/>
              <w:ind w:right="32"/>
              <w:jc w:val="right"/>
              <w:rPr>
                <w:sz w:val="17"/>
              </w:rPr>
            </w:pPr>
            <w:r>
              <w:rPr>
                <w:w w:val="100"/>
                <w:sz w:val="17"/>
              </w:rPr>
              <w:t>-</w:t>
            </w:r>
          </w:p>
        </w:tc>
        <w:tc>
          <w:tcPr>
            <w:tcW w:w="161" w:type="dxa"/>
            <w:vMerge w:val="restart"/>
          </w:tcPr>
          <w:p>
            <w:pPr>
              <w:pStyle w:val="TableParagraph"/>
              <w:rPr>
                <w:rFonts w:ascii="Times New Roman"/>
                <w:sz w:val="16"/>
              </w:rPr>
            </w:pPr>
          </w:p>
        </w:tc>
        <w:tc>
          <w:tcPr>
            <w:tcW w:w="953" w:type="dxa"/>
          </w:tcPr>
          <w:p>
            <w:pPr>
              <w:pStyle w:val="TableParagraph"/>
              <w:spacing w:line="192" w:lineRule="exact" w:before="108"/>
              <w:ind w:right="35"/>
              <w:jc w:val="right"/>
              <w:rPr>
                <w:sz w:val="17"/>
              </w:rPr>
            </w:pPr>
            <w:r>
              <w:rPr>
                <w:w w:val="100"/>
                <w:sz w:val="17"/>
              </w:rPr>
              <w:t>-</w:t>
            </w:r>
          </w:p>
        </w:tc>
      </w:tr>
      <w:tr>
        <w:trPr>
          <w:trHeight w:val="212" w:hRule="atLeast"/>
        </w:trPr>
        <w:tc>
          <w:tcPr>
            <w:tcW w:w="6582" w:type="dxa"/>
          </w:tcPr>
          <w:p>
            <w:pPr>
              <w:pStyle w:val="TableParagraph"/>
              <w:spacing w:line="191" w:lineRule="exact" w:before="1"/>
              <w:ind w:left="200"/>
              <w:rPr>
                <w:sz w:val="17"/>
              </w:rPr>
            </w:pPr>
            <w:r>
              <w:rPr>
                <w:sz w:val="17"/>
              </w:rPr>
              <w:t>Bank overdraft: Commercial banks</w:t>
            </w:r>
          </w:p>
        </w:tc>
        <w:tc>
          <w:tcPr>
            <w:tcW w:w="1128" w:type="dxa"/>
          </w:tcPr>
          <w:p>
            <w:pPr>
              <w:pStyle w:val="TableParagraph"/>
              <w:tabs>
                <w:tab w:pos="1034" w:val="left" w:leader="none"/>
              </w:tabs>
              <w:spacing w:line="191" w:lineRule="exact" w:before="1"/>
              <w:ind w:right="1"/>
              <w:jc w:val="right"/>
              <w:rPr>
                <w:sz w:val="17"/>
              </w:rPr>
            </w:pPr>
            <w:r>
              <w:rPr>
                <w:w w:val="100"/>
                <w:sz w:val="17"/>
                <w:u w:val="single"/>
              </w:rPr>
              <w:t> </w:t>
            </w:r>
            <w:r>
              <w:rPr>
                <w:sz w:val="17"/>
                <w:u w:val="single"/>
              </w:rPr>
              <w:tab/>
              <w:t>-</w:t>
            </w:r>
          </w:p>
        </w:tc>
        <w:tc>
          <w:tcPr>
            <w:tcW w:w="161" w:type="dxa"/>
            <w:vMerge/>
            <w:tcBorders>
              <w:top w:val="nil"/>
            </w:tcBorders>
          </w:tcPr>
          <w:p>
            <w:pPr>
              <w:rPr>
                <w:sz w:val="2"/>
                <w:szCs w:val="2"/>
              </w:rPr>
            </w:pPr>
          </w:p>
        </w:tc>
        <w:tc>
          <w:tcPr>
            <w:tcW w:w="953" w:type="dxa"/>
          </w:tcPr>
          <w:p>
            <w:pPr>
              <w:pStyle w:val="TableParagraph"/>
              <w:tabs>
                <w:tab w:pos="856" w:val="left" w:leader="none"/>
              </w:tabs>
              <w:spacing w:line="191" w:lineRule="exact" w:before="1"/>
              <w:ind w:right="1"/>
              <w:jc w:val="right"/>
              <w:rPr>
                <w:sz w:val="17"/>
              </w:rPr>
            </w:pPr>
            <w:r>
              <w:rPr>
                <w:w w:val="100"/>
                <w:sz w:val="17"/>
                <w:u w:val="single"/>
              </w:rPr>
              <w:t> </w:t>
            </w:r>
            <w:r>
              <w:rPr>
                <w:sz w:val="17"/>
                <w:u w:val="single"/>
              </w:rPr>
              <w:tab/>
              <w:t>-</w:t>
            </w:r>
          </w:p>
        </w:tc>
      </w:tr>
      <w:tr>
        <w:trPr>
          <w:trHeight w:val="424" w:hRule="atLeast"/>
        </w:trPr>
        <w:tc>
          <w:tcPr>
            <w:tcW w:w="6582" w:type="dxa"/>
          </w:tcPr>
          <w:p>
            <w:pPr>
              <w:pStyle w:val="TableParagraph"/>
              <w:spacing w:before="2"/>
              <w:ind w:left="200"/>
              <w:rPr>
                <w:b/>
                <w:sz w:val="17"/>
              </w:rPr>
            </w:pPr>
            <w:r>
              <w:rPr>
                <w:b/>
                <w:sz w:val="17"/>
              </w:rPr>
              <w:t>Total bank overdrafts</w:t>
            </w:r>
          </w:p>
        </w:tc>
        <w:tc>
          <w:tcPr>
            <w:tcW w:w="1128" w:type="dxa"/>
            <w:tcBorders>
              <w:bottom w:val="single" w:sz="8" w:space="0" w:color="000000"/>
            </w:tcBorders>
          </w:tcPr>
          <w:p>
            <w:pPr>
              <w:pStyle w:val="TableParagraph"/>
              <w:spacing w:before="2"/>
              <w:ind w:right="32"/>
              <w:jc w:val="right"/>
              <w:rPr>
                <w:b/>
                <w:sz w:val="17"/>
              </w:rPr>
            </w:pPr>
            <w:r>
              <w:rPr>
                <w:b/>
                <w:w w:val="100"/>
                <w:sz w:val="17"/>
              </w:rPr>
              <w:t>-</w:t>
            </w:r>
          </w:p>
        </w:tc>
        <w:tc>
          <w:tcPr>
            <w:tcW w:w="161" w:type="dxa"/>
            <w:vMerge/>
            <w:tcBorders>
              <w:top w:val="nil"/>
            </w:tcBorders>
          </w:tcPr>
          <w:p>
            <w:pPr>
              <w:rPr>
                <w:sz w:val="2"/>
                <w:szCs w:val="2"/>
              </w:rPr>
            </w:pPr>
          </w:p>
        </w:tc>
        <w:tc>
          <w:tcPr>
            <w:tcW w:w="953" w:type="dxa"/>
            <w:tcBorders>
              <w:bottom w:val="single" w:sz="8" w:space="0" w:color="000000"/>
            </w:tcBorders>
          </w:tcPr>
          <w:p>
            <w:pPr>
              <w:pStyle w:val="TableParagraph"/>
              <w:spacing w:before="2"/>
              <w:ind w:right="33"/>
              <w:jc w:val="right"/>
              <w:rPr>
                <w:b/>
                <w:sz w:val="17"/>
              </w:rPr>
            </w:pPr>
            <w:r>
              <w:rPr>
                <w:b/>
                <w:w w:val="100"/>
                <w:sz w:val="17"/>
              </w:rPr>
              <w:t>-</w:t>
            </w:r>
          </w:p>
        </w:tc>
      </w:tr>
      <w:tr>
        <w:trPr>
          <w:trHeight w:val="400" w:hRule="atLeast"/>
        </w:trPr>
        <w:tc>
          <w:tcPr>
            <w:tcW w:w="6582" w:type="dxa"/>
          </w:tcPr>
          <w:p>
            <w:pPr>
              <w:pStyle w:val="TableParagraph"/>
              <w:spacing w:line="181" w:lineRule="exact"/>
              <w:ind w:left="200"/>
              <w:rPr>
                <w:b/>
                <w:sz w:val="17"/>
              </w:rPr>
            </w:pPr>
            <w:r>
              <w:rPr>
                <w:b/>
                <w:sz w:val="17"/>
              </w:rPr>
              <w:t>Balance at 31 March 2022</w:t>
            </w:r>
          </w:p>
        </w:tc>
        <w:tc>
          <w:tcPr>
            <w:tcW w:w="1128" w:type="dxa"/>
            <w:tcBorders>
              <w:top w:val="single" w:sz="8" w:space="0" w:color="000000"/>
            </w:tcBorders>
          </w:tcPr>
          <w:p>
            <w:pPr>
              <w:pStyle w:val="TableParagraph"/>
              <w:tabs>
                <w:tab w:pos="899" w:val="left" w:leader="none"/>
              </w:tabs>
              <w:spacing w:line="181" w:lineRule="exact"/>
              <w:ind w:right="-15"/>
              <w:jc w:val="right"/>
              <w:rPr>
                <w:b/>
                <w:sz w:val="17"/>
              </w:rPr>
            </w:pPr>
            <w:r>
              <w:rPr>
                <w:b/>
                <w:w w:val="100"/>
                <w:sz w:val="17"/>
                <w:u w:val="single"/>
              </w:rPr>
              <w:t> </w:t>
            </w:r>
            <w:r>
              <w:rPr>
                <w:b/>
                <w:sz w:val="17"/>
                <w:u w:val="single"/>
              </w:rPr>
              <w:tab/>
              <w:t>12</w:t>
            </w:r>
          </w:p>
        </w:tc>
        <w:tc>
          <w:tcPr>
            <w:tcW w:w="161" w:type="dxa"/>
          </w:tcPr>
          <w:p>
            <w:pPr>
              <w:pStyle w:val="TableParagraph"/>
              <w:rPr>
                <w:rFonts w:ascii="Times New Roman"/>
                <w:sz w:val="16"/>
              </w:rPr>
            </w:pPr>
          </w:p>
        </w:tc>
        <w:tc>
          <w:tcPr>
            <w:tcW w:w="953" w:type="dxa"/>
            <w:tcBorders>
              <w:top w:val="single" w:sz="8" w:space="0" w:color="000000"/>
            </w:tcBorders>
          </w:tcPr>
          <w:p>
            <w:pPr>
              <w:pStyle w:val="TableParagraph"/>
              <w:tabs>
                <w:tab w:pos="724" w:val="left" w:leader="none"/>
              </w:tabs>
              <w:spacing w:line="181" w:lineRule="exact"/>
              <w:ind w:right="-15"/>
              <w:jc w:val="right"/>
              <w:rPr>
                <w:b/>
                <w:sz w:val="17"/>
              </w:rPr>
            </w:pPr>
            <w:r>
              <w:rPr>
                <w:b/>
                <w:w w:val="100"/>
                <w:sz w:val="17"/>
                <w:u w:val="single"/>
              </w:rPr>
              <w:t> </w:t>
            </w:r>
            <w:r>
              <w:rPr>
                <w:b/>
                <w:sz w:val="17"/>
                <w:u w:val="single"/>
              </w:rPr>
              <w:tab/>
              <w:t>16</w:t>
            </w:r>
          </w:p>
        </w:tc>
      </w:tr>
      <w:tr>
        <w:trPr>
          <w:trHeight w:val="408" w:hRule="atLeast"/>
        </w:trPr>
        <w:tc>
          <w:tcPr>
            <w:tcW w:w="6582" w:type="dxa"/>
          </w:tcPr>
          <w:p>
            <w:pPr>
              <w:pStyle w:val="TableParagraph"/>
              <w:spacing w:before="11"/>
              <w:rPr>
                <w:sz w:val="17"/>
              </w:rPr>
            </w:pPr>
          </w:p>
          <w:p>
            <w:pPr>
              <w:pStyle w:val="TableParagraph"/>
              <w:spacing w:line="182" w:lineRule="exact"/>
              <w:ind w:left="200"/>
              <w:rPr>
                <w:sz w:val="17"/>
              </w:rPr>
            </w:pPr>
            <w:r>
              <w:rPr>
                <w:sz w:val="17"/>
              </w:rPr>
              <w:t>Patients’ money held by the clinical commissioning group, not included above</w:t>
            </w:r>
          </w:p>
        </w:tc>
        <w:tc>
          <w:tcPr>
            <w:tcW w:w="1128" w:type="dxa"/>
          </w:tcPr>
          <w:p>
            <w:pPr>
              <w:pStyle w:val="TableParagraph"/>
              <w:spacing w:before="1"/>
              <w:rPr>
                <w:sz w:val="18"/>
              </w:rPr>
            </w:pPr>
          </w:p>
          <w:p>
            <w:pPr>
              <w:pStyle w:val="TableParagraph"/>
              <w:spacing w:line="179" w:lineRule="exact" w:before="1"/>
              <w:ind w:right="32"/>
              <w:jc w:val="right"/>
              <w:rPr>
                <w:sz w:val="17"/>
              </w:rPr>
            </w:pPr>
            <w:r>
              <w:rPr>
                <w:w w:val="100"/>
                <w:sz w:val="17"/>
              </w:rPr>
              <w:t>-</w:t>
            </w:r>
          </w:p>
        </w:tc>
        <w:tc>
          <w:tcPr>
            <w:tcW w:w="161" w:type="dxa"/>
          </w:tcPr>
          <w:p>
            <w:pPr>
              <w:pStyle w:val="TableParagraph"/>
              <w:rPr>
                <w:rFonts w:ascii="Times New Roman"/>
                <w:sz w:val="16"/>
              </w:rPr>
            </w:pPr>
          </w:p>
        </w:tc>
        <w:tc>
          <w:tcPr>
            <w:tcW w:w="953" w:type="dxa"/>
          </w:tcPr>
          <w:p>
            <w:pPr>
              <w:pStyle w:val="TableParagraph"/>
              <w:spacing w:before="1"/>
              <w:rPr>
                <w:sz w:val="18"/>
              </w:rPr>
            </w:pPr>
          </w:p>
          <w:p>
            <w:pPr>
              <w:pStyle w:val="TableParagraph"/>
              <w:spacing w:line="179" w:lineRule="exact" w:before="1"/>
              <w:ind w:right="35"/>
              <w:jc w:val="right"/>
              <w:rPr>
                <w:sz w:val="17"/>
              </w:rPr>
            </w:pPr>
            <w:r>
              <w:rPr>
                <w:w w:val="100"/>
                <w:sz w:val="17"/>
              </w:rPr>
              <w:t>-</w:t>
            </w:r>
          </w:p>
        </w:tc>
      </w:tr>
    </w:tbl>
    <w:p>
      <w:pPr>
        <w:spacing w:after="0" w:line="179" w:lineRule="exact"/>
        <w:jc w:val="right"/>
        <w:rPr>
          <w:sz w:val="17"/>
        </w:rPr>
        <w:sectPr>
          <w:footerReference w:type="default" r:id="rId59"/>
          <w:pgSz w:w="11920" w:h="16850"/>
          <w:pgMar w:footer="369" w:header="0" w:top="1080" w:bottom="560" w:left="740" w:right="520"/>
          <w:pgNumType w:start="1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before="94"/>
        <w:ind w:left="0" w:right="689" w:firstLine="0"/>
        <w:jc w:val="right"/>
        <w:rPr>
          <w:sz w:val="14"/>
        </w:rPr>
      </w:pPr>
      <w:r>
        <w:rPr/>
        <w:pict>
          <v:shape style="position:absolute;margin-left:42.5pt;margin-top:-56.834785pt;width:495.25pt;height:273.6pt;mso-position-horizontal-relative:page;mso-position-vertical-relative:paragraph;z-index:2516899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18"/>
                    <w:gridCol w:w="1070"/>
                    <w:gridCol w:w="1037"/>
                    <w:gridCol w:w="244"/>
                    <w:gridCol w:w="1070"/>
                    <w:gridCol w:w="1088"/>
                    <w:gridCol w:w="75"/>
                  </w:tblGrid>
                  <w:tr>
                    <w:trPr>
                      <w:trHeight w:val="695" w:hRule="atLeast"/>
                    </w:trPr>
                    <w:tc>
                      <w:tcPr>
                        <w:tcW w:w="5318" w:type="dxa"/>
                      </w:tcPr>
                      <w:p>
                        <w:pPr>
                          <w:pStyle w:val="TableParagraph"/>
                          <w:spacing w:line="156" w:lineRule="exact"/>
                          <w:ind w:left="738"/>
                          <w:rPr>
                            <w:sz w:val="14"/>
                          </w:rPr>
                        </w:pPr>
                        <w:r>
                          <w:rPr>
                            <w:w w:val="105"/>
                            <w:sz w:val="14"/>
                          </w:rPr>
                          <w:t>NHS North Lincolnshire CCG - Annual Accounts 2021-22</w:t>
                        </w:r>
                      </w:p>
                    </w:tc>
                    <w:tc>
                      <w:tcPr>
                        <w:tcW w:w="1070" w:type="dxa"/>
                      </w:tcPr>
                      <w:p>
                        <w:pPr>
                          <w:pStyle w:val="TableParagraph"/>
                          <w:rPr>
                            <w:sz w:val="16"/>
                          </w:rPr>
                        </w:pPr>
                      </w:p>
                      <w:p>
                        <w:pPr>
                          <w:pStyle w:val="TableParagraph"/>
                          <w:rPr>
                            <w:sz w:val="16"/>
                          </w:rPr>
                        </w:pPr>
                      </w:p>
                      <w:p>
                        <w:pPr>
                          <w:pStyle w:val="TableParagraph"/>
                          <w:spacing w:before="2"/>
                          <w:rPr>
                            <w:sz w:val="13"/>
                          </w:rPr>
                        </w:pPr>
                      </w:p>
                      <w:p>
                        <w:pPr>
                          <w:pStyle w:val="TableParagraph"/>
                          <w:spacing w:line="155" w:lineRule="exact" w:before="1"/>
                          <w:ind w:left="283"/>
                          <w:rPr>
                            <w:b/>
                            <w:sz w:val="14"/>
                          </w:rPr>
                        </w:pPr>
                        <w:r>
                          <w:rPr>
                            <w:b/>
                            <w:w w:val="105"/>
                            <w:sz w:val="14"/>
                          </w:rPr>
                          <w:t>Current</w:t>
                        </w:r>
                      </w:p>
                    </w:tc>
                    <w:tc>
                      <w:tcPr>
                        <w:tcW w:w="1037" w:type="dxa"/>
                      </w:tcPr>
                      <w:p>
                        <w:pPr>
                          <w:pStyle w:val="TableParagraph"/>
                          <w:rPr>
                            <w:sz w:val="16"/>
                          </w:rPr>
                        </w:pPr>
                      </w:p>
                      <w:p>
                        <w:pPr>
                          <w:pStyle w:val="TableParagraph"/>
                          <w:rPr>
                            <w:sz w:val="16"/>
                          </w:rPr>
                        </w:pPr>
                      </w:p>
                      <w:p>
                        <w:pPr>
                          <w:pStyle w:val="TableParagraph"/>
                          <w:spacing w:before="2"/>
                          <w:rPr>
                            <w:sz w:val="13"/>
                          </w:rPr>
                        </w:pPr>
                      </w:p>
                      <w:p>
                        <w:pPr>
                          <w:pStyle w:val="TableParagraph"/>
                          <w:spacing w:line="155" w:lineRule="exact" w:before="1"/>
                          <w:ind w:right="25"/>
                          <w:jc w:val="right"/>
                          <w:rPr>
                            <w:b/>
                            <w:sz w:val="14"/>
                          </w:rPr>
                        </w:pPr>
                        <w:r>
                          <w:rPr>
                            <w:b/>
                            <w:sz w:val="14"/>
                          </w:rPr>
                          <w:t>Non-current</w:t>
                        </w:r>
                      </w:p>
                    </w:tc>
                    <w:tc>
                      <w:tcPr>
                        <w:tcW w:w="1314" w:type="dxa"/>
                        <w:gridSpan w:val="2"/>
                      </w:tcPr>
                      <w:p>
                        <w:pPr>
                          <w:pStyle w:val="TableParagraph"/>
                          <w:rPr>
                            <w:sz w:val="16"/>
                          </w:rPr>
                        </w:pPr>
                      </w:p>
                      <w:p>
                        <w:pPr>
                          <w:pStyle w:val="TableParagraph"/>
                          <w:rPr>
                            <w:sz w:val="16"/>
                          </w:rPr>
                        </w:pPr>
                      </w:p>
                      <w:p>
                        <w:pPr>
                          <w:pStyle w:val="TableParagraph"/>
                          <w:spacing w:before="2"/>
                          <w:rPr>
                            <w:sz w:val="13"/>
                          </w:rPr>
                        </w:pPr>
                      </w:p>
                      <w:p>
                        <w:pPr>
                          <w:pStyle w:val="TableParagraph"/>
                          <w:spacing w:line="155" w:lineRule="exact" w:before="1"/>
                          <w:ind w:left="549"/>
                          <w:rPr>
                            <w:sz w:val="14"/>
                          </w:rPr>
                        </w:pPr>
                        <w:r>
                          <w:rPr>
                            <w:w w:val="105"/>
                            <w:sz w:val="14"/>
                          </w:rPr>
                          <w:t>Current</w:t>
                        </w:r>
                      </w:p>
                    </w:tc>
                    <w:tc>
                      <w:tcPr>
                        <w:tcW w:w="1088" w:type="dxa"/>
                      </w:tcPr>
                      <w:p>
                        <w:pPr>
                          <w:pStyle w:val="TableParagraph"/>
                          <w:rPr>
                            <w:sz w:val="16"/>
                          </w:rPr>
                        </w:pPr>
                      </w:p>
                      <w:p>
                        <w:pPr>
                          <w:pStyle w:val="TableParagraph"/>
                          <w:rPr>
                            <w:sz w:val="16"/>
                          </w:rPr>
                        </w:pPr>
                      </w:p>
                      <w:p>
                        <w:pPr>
                          <w:pStyle w:val="TableParagraph"/>
                          <w:spacing w:before="2"/>
                          <w:rPr>
                            <w:sz w:val="13"/>
                          </w:rPr>
                        </w:pPr>
                      </w:p>
                      <w:p>
                        <w:pPr>
                          <w:pStyle w:val="TableParagraph"/>
                          <w:spacing w:line="155" w:lineRule="exact" w:before="1"/>
                          <w:ind w:left="218" w:right="52"/>
                          <w:jc w:val="center"/>
                          <w:rPr>
                            <w:sz w:val="14"/>
                          </w:rPr>
                        </w:pPr>
                        <w:r>
                          <w:rPr>
                            <w:w w:val="105"/>
                            <w:sz w:val="14"/>
                          </w:rPr>
                          <w:t>Non-current</w:t>
                        </w:r>
                      </w:p>
                    </w:tc>
                    <w:tc>
                      <w:tcPr>
                        <w:tcW w:w="75" w:type="dxa"/>
                        <w:vMerge w:val="restart"/>
                      </w:tcPr>
                      <w:p>
                        <w:pPr>
                          <w:pStyle w:val="TableParagraph"/>
                          <w:rPr>
                            <w:rFonts w:ascii="Times New Roman"/>
                            <w:sz w:val="14"/>
                          </w:rPr>
                        </w:pPr>
                      </w:p>
                    </w:tc>
                  </w:tr>
                  <w:tr>
                    <w:trPr>
                      <w:trHeight w:val="181" w:hRule="atLeast"/>
                    </w:trPr>
                    <w:tc>
                      <w:tcPr>
                        <w:tcW w:w="5318" w:type="dxa"/>
                      </w:tcPr>
                      <w:p>
                        <w:pPr>
                          <w:pStyle w:val="TableParagraph"/>
                          <w:spacing w:line="152" w:lineRule="exact" w:before="9"/>
                          <w:ind w:left="738"/>
                          <w:rPr>
                            <w:b/>
                            <w:sz w:val="14"/>
                          </w:rPr>
                        </w:pPr>
                        <w:r>
                          <w:rPr>
                            <w:b/>
                            <w:w w:val="105"/>
                            <w:sz w:val="14"/>
                          </w:rPr>
                          <w:t>10 Trade and other payables</w:t>
                        </w:r>
                      </w:p>
                    </w:tc>
                    <w:tc>
                      <w:tcPr>
                        <w:tcW w:w="1070" w:type="dxa"/>
                      </w:tcPr>
                      <w:p>
                        <w:pPr>
                          <w:pStyle w:val="TableParagraph"/>
                          <w:spacing w:line="152" w:lineRule="exact" w:before="9"/>
                          <w:ind w:left="280"/>
                          <w:rPr>
                            <w:b/>
                            <w:sz w:val="14"/>
                          </w:rPr>
                        </w:pPr>
                        <w:r>
                          <w:rPr>
                            <w:b/>
                            <w:w w:val="105"/>
                            <w:sz w:val="14"/>
                          </w:rPr>
                          <w:t>2021-22</w:t>
                        </w:r>
                      </w:p>
                    </w:tc>
                    <w:tc>
                      <w:tcPr>
                        <w:tcW w:w="1037" w:type="dxa"/>
                      </w:tcPr>
                      <w:p>
                        <w:pPr>
                          <w:pStyle w:val="TableParagraph"/>
                          <w:spacing w:line="152" w:lineRule="exact" w:before="9"/>
                          <w:ind w:right="138"/>
                          <w:jc w:val="right"/>
                          <w:rPr>
                            <w:b/>
                            <w:sz w:val="14"/>
                          </w:rPr>
                        </w:pPr>
                        <w:r>
                          <w:rPr>
                            <w:b/>
                            <w:sz w:val="14"/>
                          </w:rPr>
                          <w:t>2021-22</w:t>
                        </w:r>
                      </w:p>
                    </w:tc>
                    <w:tc>
                      <w:tcPr>
                        <w:tcW w:w="1314" w:type="dxa"/>
                        <w:gridSpan w:val="2"/>
                      </w:tcPr>
                      <w:p>
                        <w:pPr>
                          <w:pStyle w:val="TableParagraph"/>
                          <w:spacing w:line="152" w:lineRule="exact" w:before="9"/>
                          <w:ind w:left="525"/>
                          <w:rPr>
                            <w:sz w:val="14"/>
                          </w:rPr>
                        </w:pPr>
                        <w:r>
                          <w:rPr>
                            <w:w w:val="105"/>
                            <w:sz w:val="14"/>
                          </w:rPr>
                          <w:t>2020-21</w:t>
                        </w:r>
                      </w:p>
                    </w:tc>
                    <w:tc>
                      <w:tcPr>
                        <w:tcW w:w="1088" w:type="dxa"/>
                      </w:tcPr>
                      <w:p>
                        <w:pPr>
                          <w:pStyle w:val="TableParagraph"/>
                          <w:spacing w:line="152" w:lineRule="exact" w:before="9"/>
                          <w:ind w:left="217" w:right="52"/>
                          <w:jc w:val="center"/>
                          <w:rPr>
                            <w:sz w:val="14"/>
                          </w:rPr>
                        </w:pPr>
                        <w:r>
                          <w:rPr>
                            <w:w w:val="105"/>
                            <w:sz w:val="14"/>
                          </w:rPr>
                          <w:t>2020-21</w:t>
                        </w:r>
                      </w:p>
                    </w:tc>
                    <w:tc>
                      <w:tcPr>
                        <w:tcW w:w="75" w:type="dxa"/>
                        <w:vMerge/>
                        <w:tcBorders>
                          <w:top w:val="nil"/>
                        </w:tcBorders>
                      </w:tcPr>
                      <w:p>
                        <w:pPr>
                          <w:rPr>
                            <w:sz w:val="2"/>
                            <w:szCs w:val="2"/>
                          </w:rPr>
                        </w:pPr>
                      </w:p>
                    </w:tc>
                  </w:tr>
                  <w:tr>
                    <w:trPr>
                      <w:trHeight w:val="262" w:hRule="atLeast"/>
                    </w:trPr>
                    <w:tc>
                      <w:tcPr>
                        <w:tcW w:w="5318" w:type="dxa"/>
                      </w:tcPr>
                      <w:p>
                        <w:pPr>
                          <w:pStyle w:val="TableParagraph"/>
                          <w:rPr>
                            <w:rFonts w:ascii="Times New Roman"/>
                            <w:sz w:val="14"/>
                          </w:rPr>
                        </w:pPr>
                      </w:p>
                    </w:tc>
                    <w:tc>
                      <w:tcPr>
                        <w:tcW w:w="1070" w:type="dxa"/>
                      </w:tcPr>
                      <w:p>
                        <w:pPr>
                          <w:pStyle w:val="TableParagraph"/>
                          <w:spacing w:before="5"/>
                          <w:ind w:left="367"/>
                          <w:rPr>
                            <w:b/>
                            <w:sz w:val="14"/>
                          </w:rPr>
                        </w:pPr>
                        <w:r>
                          <w:rPr>
                            <w:b/>
                            <w:w w:val="105"/>
                            <w:sz w:val="14"/>
                          </w:rPr>
                          <w:t>£'000</w:t>
                        </w:r>
                      </w:p>
                    </w:tc>
                    <w:tc>
                      <w:tcPr>
                        <w:tcW w:w="1037" w:type="dxa"/>
                      </w:tcPr>
                      <w:p>
                        <w:pPr>
                          <w:pStyle w:val="TableParagraph"/>
                          <w:spacing w:before="5"/>
                          <w:ind w:left="444"/>
                          <w:rPr>
                            <w:b/>
                            <w:sz w:val="14"/>
                          </w:rPr>
                        </w:pPr>
                        <w:r>
                          <w:rPr>
                            <w:b/>
                            <w:w w:val="105"/>
                            <w:sz w:val="14"/>
                          </w:rPr>
                          <w:t>£'000</w:t>
                        </w:r>
                      </w:p>
                    </w:tc>
                    <w:tc>
                      <w:tcPr>
                        <w:tcW w:w="1314" w:type="dxa"/>
                        <w:gridSpan w:val="2"/>
                      </w:tcPr>
                      <w:p>
                        <w:pPr>
                          <w:pStyle w:val="TableParagraph"/>
                          <w:spacing w:before="5"/>
                          <w:ind w:left="617"/>
                          <w:rPr>
                            <w:sz w:val="14"/>
                          </w:rPr>
                        </w:pPr>
                        <w:r>
                          <w:rPr>
                            <w:w w:val="105"/>
                            <w:sz w:val="14"/>
                          </w:rPr>
                          <w:t>£'000</w:t>
                        </w:r>
                      </w:p>
                    </w:tc>
                    <w:tc>
                      <w:tcPr>
                        <w:tcW w:w="1088" w:type="dxa"/>
                      </w:tcPr>
                      <w:p>
                        <w:pPr>
                          <w:pStyle w:val="TableParagraph"/>
                          <w:spacing w:before="5"/>
                          <w:ind w:left="218" w:right="51"/>
                          <w:jc w:val="center"/>
                          <w:rPr>
                            <w:sz w:val="14"/>
                          </w:rPr>
                        </w:pPr>
                        <w:r>
                          <w:rPr>
                            <w:w w:val="105"/>
                            <w:sz w:val="14"/>
                          </w:rPr>
                          <w:t>£'000</w:t>
                        </w:r>
                      </w:p>
                    </w:tc>
                    <w:tc>
                      <w:tcPr>
                        <w:tcW w:w="75" w:type="dxa"/>
                        <w:vMerge/>
                        <w:tcBorders>
                          <w:top w:val="nil"/>
                        </w:tcBorders>
                      </w:tcPr>
                      <w:p>
                        <w:pPr>
                          <w:rPr>
                            <w:sz w:val="2"/>
                            <w:szCs w:val="2"/>
                          </w:rPr>
                        </w:pPr>
                      </w:p>
                    </w:tc>
                  </w:tr>
                  <w:tr>
                    <w:trPr>
                      <w:trHeight w:val="266" w:hRule="atLeast"/>
                    </w:trPr>
                    <w:tc>
                      <w:tcPr>
                        <w:tcW w:w="5318" w:type="dxa"/>
                      </w:tcPr>
                      <w:p>
                        <w:pPr>
                          <w:pStyle w:val="TableParagraph"/>
                          <w:spacing w:line="155" w:lineRule="exact" w:before="91"/>
                          <w:ind w:left="738"/>
                          <w:rPr>
                            <w:sz w:val="14"/>
                          </w:rPr>
                        </w:pPr>
                        <w:r>
                          <w:rPr>
                            <w:w w:val="105"/>
                            <w:sz w:val="14"/>
                          </w:rPr>
                          <w:t>Interest payable</w:t>
                        </w:r>
                      </w:p>
                    </w:tc>
                    <w:tc>
                      <w:tcPr>
                        <w:tcW w:w="1070" w:type="dxa"/>
                      </w:tcPr>
                      <w:p>
                        <w:pPr>
                          <w:pStyle w:val="TableParagraph"/>
                          <w:spacing w:line="155" w:lineRule="exact" w:before="91"/>
                          <w:ind w:right="30"/>
                          <w:jc w:val="right"/>
                          <w:rPr>
                            <w:sz w:val="14"/>
                          </w:rPr>
                        </w:pPr>
                        <w:r>
                          <w:rPr>
                            <w:w w:val="99"/>
                            <w:sz w:val="14"/>
                          </w:rPr>
                          <w:t>-</w:t>
                        </w:r>
                      </w:p>
                    </w:tc>
                    <w:tc>
                      <w:tcPr>
                        <w:tcW w:w="1037" w:type="dxa"/>
                      </w:tcPr>
                      <w:p>
                        <w:pPr>
                          <w:pStyle w:val="TableParagraph"/>
                          <w:rPr>
                            <w:rFonts w:ascii="Times New Roman"/>
                            <w:sz w:val="14"/>
                          </w:rPr>
                        </w:pPr>
                      </w:p>
                    </w:tc>
                    <w:tc>
                      <w:tcPr>
                        <w:tcW w:w="1314" w:type="dxa"/>
                        <w:gridSpan w:val="2"/>
                      </w:tcPr>
                      <w:p>
                        <w:pPr>
                          <w:pStyle w:val="TableParagraph"/>
                          <w:tabs>
                            <w:tab w:pos="1233" w:val="left" w:leader="none"/>
                          </w:tabs>
                          <w:spacing w:line="155" w:lineRule="exact" w:before="91"/>
                          <w:ind w:left="28"/>
                          <w:rPr>
                            <w:sz w:val="14"/>
                          </w:rPr>
                        </w:pPr>
                        <w:r>
                          <w:rPr>
                            <w:w w:val="105"/>
                            <w:sz w:val="14"/>
                          </w:rPr>
                          <w:t>-</w:t>
                          <w:tab/>
                          <w:t>-</w:t>
                        </w:r>
                      </w:p>
                    </w:tc>
                    <w:tc>
                      <w:tcPr>
                        <w:tcW w:w="1088" w:type="dxa"/>
                      </w:tcPr>
                      <w:p>
                        <w:pPr>
                          <w:pStyle w:val="TableParagraph"/>
                          <w:rPr>
                            <w:rFonts w:ascii="Times New Roman"/>
                            <w:sz w:val="14"/>
                          </w:rPr>
                        </w:pPr>
                      </w:p>
                    </w:tc>
                    <w:tc>
                      <w:tcPr>
                        <w:tcW w:w="75" w:type="dxa"/>
                        <w:vMerge/>
                        <w:tcBorders>
                          <w:top w:val="nil"/>
                        </w:tcBorders>
                      </w:tcPr>
                      <w:p>
                        <w:pPr>
                          <w:rPr>
                            <w:sz w:val="2"/>
                            <w:szCs w:val="2"/>
                          </w:rPr>
                        </w:pPr>
                      </w:p>
                    </w:tc>
                  </w:tr>
                  <w:tr>
                    <w:trPr>
                      <w:trHeight w:val="333" w:hRule="atLeast"/>
                    </w:trPr>
                    <w:tc>
                      <w:tcPr>
                        <w:tcW w:w="5318" w:type="dxa"/>
                      </w:tcPr>
                      <w:p>
                        <w:pPr>
                          <w:pStyle w:val="TableParagraph"/>
                          <w:spacing w:line="160" w:lineRule="atLeast" w:before="9"/>
                          <w:ind w:left="738" w:right="2950"/>
                          <w:rPr>
                            <w:sz w:val="14"/>
                          </w:rPr>
                        </w:pPr>
                        <w:r>
                          <w:rPr>
                            <w:w w:val="105"/>
                            <w:sz w:val="14"/>
                          </w:rPr>
                          <w:t>NHS payables: Revenue NHS payables: Capital</w:t>
                        </w:r>
                      </w:p>
                    </w:tc>
                    <w:tc>
                      <w:tcPr>
                        <w:tcW w:w="1070" w:type="dxa"/>
                      </w:tcPr>
                      <w:p>
                        <w:pPr>
                          <w:pStyle w:val="TableParagraph"/>
                          <w:spacing w:before="9"/>
                          <w:ind w:right="28"/>
                          <w:jc w:val="right"/>
                          <w:rPr>
                            <w:sz w:val="14"/>
                          </w:rPr>
                        </w:pPr>
                        <w:r>
                          <w:rPr>
                            <w:sz w:val="14"/>
                          </w:rPr>
                          <w:t>149</w:t>
                        </w:r>
                      </w:p>
                      <w:p>
                        <w:pPr>
                          <w:pStyle w:val="TableParagraph"/>
                          <w:spacing w:line="141" w:lineRule="exact" w:before="2"/>
                          <w:ind w:right="30"/>
                          <w:jc w:val="right"/>
                          <w:rPr>
                            <w:sz w:val="14"/>
                          </w:rPr>
                        </w:pPr>
                        <w:r>
                          <w:rPr>
                            <w:w w:val="99"/>
                            <w:sz w:val="14"/>
                          </w:rPr>
                          <w:t>-</w:t>
                        </w:r>
                      </w:p>
                    </w:tc>
                    <w:tc>
                      <w:tcPr>
                        <w:tcW w:w="1037" w:type="dxa"/>
                      </w:tcPr>
                      <w:p>
                        <w:pPr>
                          <w:pStyle w:val="TableParagraph"/>
                          <w:rPr>
                            <w:rFonts w:ascii="Times New Roman"/>
                            <w:sz w:val="14"/>
                          </w:rPr>
                        </w:pPr>
                      </w:p>
                    </w:tc>
                    <w:tc>
                      <w:tcPr>
                        <w:tcW w:w="1314" w:type="dxa"/>
                        <w:gridSpan w:val="2"/>
                      </w:tcPr>
                      <w:p>
                        <w:pPr>
                          <w:pStyle w:val="TableParagraph"/>
                          <w:tabs>
                            <w:tab w:pos="1044" w:val="left" w:leader="none"/>
                          </w:tabs>
                          <w:spacing w:before="9"/>
                          <w:ind w:left="28"/>
                          <w:rPr>
                            <w:sz w:val="14"/>
                          </w:rPr>
                        </w:pPr>
                        <w:r>
                          <w:rPr>
                            <w:w w:val="105"/>
                            <w:sz w:val="14"/>
                          </w:rPr>
                          <w:t>-</w:t>
                          <w:tab/>
                          <w:t>224</w:t>
                        </w:r>
                      </w:p>
                      <w:p>
                        <w:pPr>
                          <w:pStyle w:val="TableParagraph"/>
                          <w:tabs>
                            <w:tab w:pos="1233" w:val="left" w:leader="none"/>
                          </w:tabs>
                          <w:spacing w:line="141" w:lineRule="exact" w:before="2"/>
                          <w:ind w:left="28"/>
                          <w:rPr>
                            <w:sz w:val="14"/>
                          </w:rPr>
                        </w:pPr>
                        <w:r>
                          <w:rPr>
                            <w:w w:val="105"/>
                            <w:sz w:val="14"/>
                          </w:rPr>
                          <w:t>-</w:t>
                          <w:tab/>
                          <w:t>-</w:t>
                        </w:r>
                      </w:p>
                    </w:tc>
                    <w:tc>
                      <w:tcPr>
                        <w:tcW w:w="1088" w:type="dxa"/>
                      </w:tcPr>
                      <w:p>
                        <w:pPr>
                          <w:pStyle w:val="TableParagraph"/>
                          <w:rPr>
                            <w:rFonts w:ascii="Times New Roman"/>
                            <w:sz w:val="14"/>
                          </w:rPr>
                        </w:pPr>
                      </w:p>
                    </w:tc>
                    <w:tc>
                      <w:tcPr>
                        <w:tcW w:w="75" w:type="dxa"/>
                        <w:vMerge/>
                        <w:tcBorders>
                          <w:top w:val="nil"/>
                        </w:tcBorders>
                      </w:tcPr>
                      <w:p>
                        <w:pPr>
                          <w:rPr>
                            <w:sz w:val="2"/>
                            <w:szCs w:val="2"/>
                          </w:rPr>
                        </w:pPr>
                      </w:p>
                    </w:tc>
                  </w:tr>
                  <w:tr>
                    <w:trPr>
                      <w:trHeight w:val="185" w:hRule="atLeast"/>
                    </w:trPr>
                    <w:tc>
                      <w:tcPr>
                        <w:tcW w:w="5318" w:type="dxa"/>
                      </w:tcPr>
                      <w:p>
                        <w:pPr>
                          <w:pStyle w:val="TableParagraph"/>
                          <w:spacing w:line="153" w:lineRule="exact"/>
                          <w:ind w:left="541"/>
                          <w:rPr>
                            <w:sz w:val="14"/>
                          </w:rPr>
                        </w:pPr>
                        <w:r>
                          <w:rPr>
                            <w:b/>
                            <w:w w:val="105"/>
                            <w:sz w:val="14"/>
                          </w:rPr>
                          <w:t>1* </w:t>
                        </w:r>
                        <w:r>
                          <w:rPr>
                            <w:w w:val="105"/>
                            <w:sz w:val="14"/>
                          </w:rPr>
                          <w:t>NHS accruals</w:t>
                        </w:r>
                      </w:p>
                    </w:tc>
                    <w:tc>
                      <w:tcPr>
                        <w:tcW w:w="1070" w:type="dxa"/>
                      </w:tcPr>
                      <w:p>
                        <w:pPr>
                          <w:pStyle w:val="TableParagraph"/>
                          <w:spacing w:line="153" w:lineRule="exact"/>
                          <w:ind w:right="31"/>
                          <w:jc w:val="right"/>
                          <w:rPr>
                            <w:sz w:val="14"/>
                          </w:rPr>
                        </w:pPr>
                        <w:r>
                          <w:rPr>
                            <w:w w:val="95"/>
                            <w:sz w:val="14"/>
                          </w:rPr>
                          <w:t>215</w:t>
                        </w:r>
                      </w:p>
                    </w:tc>
                    <w:tc>
                      <w:tcPr>
                        <w:tcW w:w="1281" w:type="dxa"/>
                        <w:gridSpan w:val="2"/>
                      </w:tcPr>
                      <w:p>
                        <w:pPr>
                          <w:pStyle w:val="TableParagraph"/>
                          <w:spacing w:line="153" w:lineRule="exact"/>
                          <w:ind w:right="164"/>
                          <w:jc w:val="right"/>
                          <w:rPr>
                            <w:sz w:val="14"/>
                          </w:rPr>
                        </w:pPr>
                        <w:r>
                          <w:rPr>
                            <w:w w:val="99"/>
                            <w:sz w:val="14"/>
                          </w:rPr>
                          <w:t>-</w:t>
                        </w:r>
                      </w:p>
                    </w:tc>
                    <w:tc>
                      <w:tcPr>
                        <w:tcW w:w="1070" w:type="dxa"/>
                      </w:tcPr>
                      <w:p>
                        <w:pPr>
                          <w:pStyle w:val="TableParagraph"/>
                          <w:spacing w:line="153" w:lineRule="exact"/>
                          <w:ind w:right="29"/>
                          <w:jc w:val="right"/>
                          <w:rPr>
                            <w:sz w:val="14"/>
                          </w:rPr>
                        </w:pPr>
                        <w:r>
                          <w:rPr>
                            <w:w w:val="99"/>
                            <w:sz w:val="14"/>
                          </w:rPr>
                          <w:t>-</w:t>
                        </w:r>
                      </w:p>
                    </w:tc>
                    <w:tc>
                      <w:tcPr>
                        <w:tcW w:w="1163" w:type="dxa"/>
                        <w:gridSpan w:val="2"/>
                      </w:tcPr>
                      <w:p>
                        <w:pPr>
                          <w:pStyle w:val="TableParagraph"/>
                          <w:spacing w:line="153" w:lineRule="exact"/>
                          <w:ind w:right="45"/>
                          <w:jc w:val="right"/>
                          <w:rPr>
                            <w:sz w:val="14"/>
                          </w:rPr>
                        </w:pPr>
                        <w:r>
                          <w:rPr>
                            <w:w w:val="99"/>
                            <w:sz w:val="14"/>
                          </w:rPr>
                          <w:t>-</w:t>
                        </w:r>
                      </w:p>
                    </w:tc>
                  </w:tr>
                  <w:tr>
                    <w:trPr>
                      <w:trHeight w:val="183" w:hRule="atLeast"/>
                    </w:trPr>
                    <w:tc>
                      <w:tcPr>
                        <w:tcW w:w="5318" w:type="dxa"/>
                      </w:tcPr>
                      <w:p>
                        <w:pPr>
                          <w:pStyle w:val="TableParagraph"/>
                          <w:spacing w:line="152" w:lineRule="exact" w:before="11"/>
                          <w:ind w:left="738"/>
                          <w:rPr>
                            <w:sz w:val="14"/>
                          </w:rPr>
                        </w:pPr>
                        <w:r>
                          <w:rPr>
                            <w:w w:val="105"/>
                            <w:sz w:val="14"/>
                          </w:rPr>
                          <w:t>NHS deferred income</w:t>
                        </w:r>
                      </w:p>
                    </w:tc>
                    <w:tc>
                      <w:tcPr>
                        <w:tcW w:w="1070" w:type="dxa"/>
                      </w:tcPr>
                      <w:p>
                        <w:pPr>
                          <w:pStyle w:val="TableParagraph"/>
                          <w:spacing w:line="152" w:lineRule="exact" w:before="11"/>
                          <w:ind w:right="30"/>
                          <w:jc w:val="right"/>
                          <w:rPr>
                            <w:sz w:val="14"/>
                          </w:rPr>
                        </w:pPr>
                        <w:r>
                          <w:rPr>
                            <w:w w:val="99"/>
                            <w:sz w:val="14"/>
                          </w:rPr>
                          <w:t>-</w:t>
                        </w:r>
                      </w:p>
                    </w:tc>
                    <w:tc>
                      <w:tcPr>
                        <w:tcW w:w="1281" w:type="dxa"/>
                        <w:gridSpan w:val="2"/>
                      </w:tcPr>
                      <w:p>
                        <w:pPr>
                          <w:pStyle w:val="TableParagraph"/>
                          <w:spacing w:line="152" w:lineRule="exact" w:before="11"/>
                          <w:ind w:right="164"/>
                          <w:jc w:val="right"/>
                          <w:rPr>
                            <w:sz w:val="14"/>
                          </w:rPr>
                        </w:pPr>
                        <w:r>
                          <w:rPr>
                            <w:w w:val="99"/>
                            <w:sz w:val="14"/>
                          </w:rPr>
                          <w:t>-</w:t>
                        </w:r>
                      </w:p>
                    </w:tc>
                    <w:tc>
                      <w:tcPr>
                        <w:tcW w:w="1070" w:type="dxa"/>
                      </w:tcPr>
                      <w:p>
                        <w:pPr>
                          <w:pStyle w:val="TableParagraph"/>
                          <w:spacing w:line="152" w:lineRule="exact" w:before="11"/>
                          <w:ind w:right="29"/>
                          <w:jc w:val="right"/>
                          <w:rPr>
                            <w:sz w:val="14"/>
                          </w:rPr>
                        </w:pPr>
                        <w:r>
                          <w:rPr>
                            <w:w w:val="99"/>
                            <w:sz w:val="14"/>
                          </w:rPr>
                          <w:t>-</w:t>
                        </w:r>
                      </w:p>
                    </w:tc>
                    <w:tc>
                      <w:tcPr>
                        <w:tcW w:w="1163" w:type="dxa"/>
                        <w:gridSpan w:val="2"/>
                      </w:tcPr>
                      <w:p>
                        <w:pPr>
                          <w:pStyle w:val="TableParagraph"/>
                          <w:spacing w:line="152" w:lineRule="exact" w:before="11"/>
                          <w:ind w:right="45"/>
                          <w:jc w:val="right"/>
                          <w:rPr>
                            <w:sz w:val="14"/>
                          </w:rPr>
                        </w:pPr>
                        <w:r>
                          <w:rPr>
                            <w:w w:val="99"/>
                            <w:sz w:val="14"/>
                          </w:rPr>
                          <w:t>-</w:t>
                        </w:r>
                      </w:p>
                    </w:tc>
                  </w:tr>
                  <w:tr>
                    <w:trPr>
                      <w:trHeight w:val="177" w:hRule="atLeast"/>
                    </w:trPr>
                    <w:tc>
                      <w:tcPr>
                        <w:tcW w:w="5318" w:type="dxa"/>
                      </w:tcPr>
                      <w:p>
                        <w:pPr>
                          <w:pStyle w:val="TableParagraph"/>
                          <w:spacing w:line="152" w:lineRule="exact" w:before="5"/>
                          <w:ind w:left="738"/>
                          <w:rPr>
                            <w:sz w:val="14"/>
                          </w:rPr>
                        </w:pPr>
                        <w:r>
                          <w:rPr>
                            <w:w w:val="105"/>
                            <w:sz w:val="14"/>
                          </w:rPr>
                          <w:t>NHS Contract Liabilities</w:t>
                        </w:r>
                      </w:p>
                    </w:tc>
                    <w:tc>
                      <w:tcPr>
                        <w:tcW w:w="1070" w:type="dxa"/>
                      </w:tcPr>
                      <w:p>
                        <w:pPr>
                          <w:pStyle w:val="TableParagraph"/>
                          <w:spacing w:line="152" w:lineRule="exact" w:before="5"/>
                          <w:ind w:right="30"/>
                          <w:jc w:val="right"/>
                          <w:rPr>
                            <w:sz w:val="14"/>
                          </w:rPr>
                        </w:pPr>
                        <w:r>
                          <w:rPr>
                            <w:w w:val="99"/>
                            <w:sz w:val="14"/>
                          </w:rPr>
                          <w:t>-</w:t>
                        </w:r>
                      </w:p>
                    </w:tc>
                    <w:tc>
                      <w:tcPr>
                        <w:tcW w:w="1281" w:type="dxa"/>
                        <w:gridSpan w:val="2"/>
                      </w:tcPr>
                      <w:p>
                        <w:pPr>
                          <w:pStyle w:val="TableParagraph"/>
                          <w:spacing w:line="152" w:lineRule="exact" w:before="5"/>
                          <w:ind w:right="164"/>
                          <w:jc w:val="right"/>
                          <w:rPr>
                            <w:sz w:val="14"/>
                          </w:rPr>
                        </w:pPr>
                        <w:r>
                          <w:rPr>
                            <w:w w:val="99"/>
                            <w:sz w:val="14"/>
                          </w:rPr>
                          <w:t>-</w:t>
                        </w:r>
                      </w:p>
                    </w:tc>
                    <w:tc>
                      <w:tcPr>
                        <w:tcW w:w="1070" w:type="dxa"/>
                      </w:tcPr>
                      <w:p>
                        <w:pPr>
                          <w:pStyle w:val="TableParagraph"/>
                          <w:spacing w:line="152" w:lineRule="exact" w:before="5"/>
                          <w:ind w:right="29"/>
                          <w:jc w:val="right"/>
                          <w:rPr>
                            <w:sz w:val="14"/>
                          </w:rPr>
                        </w:pPr>
                        <w:r>
                          <w:rPr>
                            <w:w w:val="99"/>
                            <w:sz w:val="14"/>
                          </w:rPr>
                          <w:t>-</w:t>
                        </w:r>
                      </w:p>
                    </w:tc>
                    <w:tc>
                      <w:tcPr>
                        <w:tcW w:w="1163" w:type="dxa"/>
                        <w:gridSpan w:val="2"/>
                      </w:tcPr>
                      <w:p>
                        <w:pPr>
                          <w:pStyle w:val="TableParagraph"/>
                          <w:spacing w:line="152" w:lineRule="exact" w:before="5"/>
                          <w:ind w:right="45"/>
                          <w:jc w:val="right"/>
                          <w:rPr>
                            <w:sz w:val="14"/>
                          </w:rPr>
                        </w:pPr>
                        <w:r>
                          <w:rPr>
                            <w:w w:val="99"/>
                            <w:sz w:val="14"/>
                          </w:rPr>
                          <w:t>-</w:t>
                        </w:r>
                      </w:p>
                    </w:tc>
                  </w:tr>
                  <w:tr>
                    <w:trPr>
                      <w:trHeight w:val="176" w:hRule="atLeast"/>
                    </w:trPr>
                    <w:tc>
                      <w:tcPr>
                        <w:tcW w:w="5318" w:type="dxa"/>
                      </w:tcPr>
                      <w:p>
                        <w:pPr>
                          <w:pStyle w:val="TableParagraph"/>
                          <w:spacing w:line="151" w:lineRule="exact" w:before="5"/>
                          <w:ind w:left="738"/>
                          <w:rPr>
                            <w:sz w:val="14"/>
                          </w:rPr>
                        </w:pPr>
                        <w:r>
                          <w:rPr>
                            <w:w w:val="105"/>
                            <w:sz w:val="14"/>
                          </w:rPr>
                          <w:t>Non-NHS and Other WGA payables: Revenue</w:t>
                        </w:r>
                      </w:p>
                    </w:tc>
                    <w:tc>
                      <w:tcPr>
                        <w:tcW w:w="1070" w:type="dxa"/>
                      </w:tcPr>
                      <w:p>
                        <w:pPr>
                          <w:pStyle w:val="TableParagraph"/>
                          <w:spacing w:line="151" w:lineRule="exact" w:before="5"/>
                          <w:ind w:right="31"/>
                          <w:jc w:val="right"/>
                          <w:rPr>
                            <w:sz w:val="14"/>
                          </w:rPr>
                        </w:pPr>
                        <w:r>
                          <w:rPr>
                            <w:sz w:val="14"/>
                          </w:rPr>
                          <w:t>2,097</w:t>
                        </w:r>
                      </w:p>
                    </w:tc>
                    <w:tc>
                      <w:tcPr>
                        <w:tcW w:w="1281" w:type="dxa"/>
                        <w:gridSpan w:val="2"/>
                      </w:tcPr>
                      <w:p>
                        <w:pPr>
                          <w:pStyle w:val="TableParagraph"/>
                          <w:spacing w:line="151" w:lineRule="exact" w:before="5"/>
                          <w:ind w:right="164"/>
                          <w:jc w:val="right"/>
                          <w:rPr>
                            <w:sz w:val="14"/>
                          </w:rPr>
                        </w:pPr>
                        <w:r>
                          <w:rPr>
                            <w:w w:val="99"/>
                            <w:sz w:val="14"/>
                          </w:rPr>
                          <w:t>-</w:t>
                        </w:r>
                      </w:p>
                    </w:tc>
                    <w:tc>
                      <w:tcPr>
                        <w:tcW w:w="1070" w:type="dxa"/>
                      </w:tcPr>
                      <w:p>
                        <w:pPr>
                          <w:pStyle w:val="TableParagraph"/>
                          <w:spacing w:line="151" w:lineRule="exact" w:before="5"/>
                          <w:ind w:right="30"/>
                          <w:jc w:val="right"/>
                          <w:rPr>
                            <w:sz w:val="14"/>
                          </w:rPr>
                        </w:pPr>
                        <w:r>
                          <w:rPr>
                            <w:sz w:val="14"/>
                          </w:rPr>
                          <w:t>2,413</w:t>
                        </w:r>
                      </w:p>
                    </w:tc>
                    <w:tc>
                      <w:tcPr>
                        <w:tcW w:w="1163" w:type="dxa"/>
                        <w:gridSpan w:val="2"/>
                      </w:tcPr>
                      <w:p>
                        <w:pPr>
                          <w:pStyle w:val="TableParagraph"/>
                          <w:spacing w:line="151" w:lineRule="exact" w:before="5"/>
                          <w:ind w:right="45"/>
                          <w:jc w:val="right"/>
                          <w:rPr>
                            <w:sz w:val="14"/>
                          </w:rPr>
                        </w:pPr>
                        <w:r>
                          <w:rPr>
                            <w:w w:val="99"/>
                            <w:sz w:val="14"/>
                          </w:rPr>
                          <w:t>-</w:t>
                        </w:r>
                      </w:p>
                    </w:tc>
                  </w:tr>
                  <w:tr>
                    <w:trPr>
                      <w:trHeight w:val="176" w:hRule="atLeast"/>
                    </w:trPr>
                    <w:tc>
                      <w:tcPr>
                        <w:tcW w:w="5318" w:type="dxa"/>
                      </w:tcPr>
                      <w:p>
                        <w:pPr>
                          <w:pStyle w:val="TableParagraph"/>
                          <w:spacing w:line="152" w:lineRule="exact" w:before="4"/>
                          <w:ind w:left="738"/>
                          <w:rPr>
                            <w:sz w:val="14"/>
                          </w:rPr>
                        </w:pPr>
                        <w:r>
                          <w:rPr>
                            <w:w w:val="105"/>
                            <w:sz w:val="14"/>
                          </w:rPr>
                          <w:t>Non-NHS and Other WGA payables: Capital</w:t>
                        </w:r>
                      </w:p>
                    </w:tc>
                    <w:tc>
                      <w:tcPr>
                        <w:tcW w:w="1070" w:type="dxa"/>
                      </w:tcPr>
                      <w:p>
                        <w:pPr>
                          <w:pStyle w:val="TableParagraph"/>
                          <w:spacing w:line="152" w:lineRule="exact" w:before="4"/>
                          <w:ind w:right="30"/>
                          <w:jc w:val="right"/>
                          <w:rPr>
                            <w:sz w:val="14"/>
                          </w:rPr>
                        </w:pPr>
                        <w:r>
                          <w:rPr>
                            <w:w w:val="99"/>
                            <w:sz w:val="14"/>
                          </w:rPr>
                          <w:t>-</w:t>
                        </w:r>
                      </w:p>
                    </w:tc>
                    <w:tc>
                      <w:tcPr>
                        <w:tcW w:w="1281" w:type="dxa"/>
                        <w:gridSpan w:val="2"/>
                      </w:tcPr>
                      <w:p>
                        <w:pPr>
                          <w:pStyle w:val="TableParagraph"/>
                          <w:spacing w:line="152" w:lineRule="exact" w:before="4"/>
                          <w:ind w:right="164"/>
                          <w:jc w:val="right"/>
                          <w:rPr>
                            <w:sz w:val="14"/>
                          </w:rPr>
                        </w:pPr>
                        <w:r>
                          <w:rPr>
                            <w:w w:val="99"/>
                            <w:sz w:val="14"/>
                          </w:rPr>
                          <w:t>-</w:t>
                        </w:r>
                      </w:p>
                    </w:tc>
                    <w:tc>
                      <w:tcPr>
                        <w:tcW w:w="1070" w:type="dxa"/>
                      </w:tcPr>
                      <w:p>
                        <w:pPr>
                          <w:pStyle w:val="TableParagraph"/>
                          <w:spacing w:line="152" w:lineRule="exact" w:before="4"/>
                          <w:ind w:right="29"/>
                          <w:jc w:val="right"/>
                          <w:rPr>
                            <w:sz w:val="14"/>
                          </w:rPr>
                        </w:pPr>
                        <w:r>
                          <w:rPr>
                            <w:w w:val="99"/>
                            <w:sz w:val="14"/>
                          </w:rPr>
                          <w:t>-</w:t>
                        </w:r>
                      </w:p>
                    </w:tc>
                    <w:tc>
                      <w:tcPr>
                        <w:tcW w:w="1163" w:type="dxa"/>
                        <w:gridSpan w:val="2"/>
                      </w:tcPr>
                      <w:p>
                        <w:pPr>
                          <w:pStyle w:val="TableParagraph"/>
                          <w:spacing w:line="152" w:lineRule="exact" w:before="4"/>
                          <w:ind w:right="45"/>
                          <w:jc w:val="right"/>
                          <w:rPr>
                            <w:sz w:val="14"/>
                          </w:rPr>
                        </w:pPr>
                        <w:r>
                          <w:rPr>
                            <w:w w:val="99"/>
                            <w:sz w:val="14"/>
                          </w:rPr>
                          <w:t>-</w:t>
                        </w:r>
                      </w:p>
                    </w:tc>
                  </w:tr>
                  <w:tr>
                    <w:trPr>
                      <w:trHeight w:val="177" w:hRule="atLeast"/>
                    </w:trPr>
                    <w:tc>
                      <w:tcPr>
                        <w:tcW w:w="5318" w:type="dxa"/>
                      </w:tcPr>
                      <w:p>
                        <w:pPr>
                          <w:pStyle w:val="TableParagraph"/>
                          <w:spacing w:line="152" w:lineRule="exact" w:before="5"/>
                          <w:ind w:left="738"/>
                          <w:rPr>
                            <w:sz w:val="14"/>
                          </w:rPr>
                        </w:pPr>
                        <w:r>
                          <w:rPr>
                            <w:w w:val="105"/>
                            <w:sz w:val="14"/>
                          </w:rPr>
                          <w:t>Non-NHS and Other WGA accruals</w:t>
                        </w:r>
                      </w:p>
                    </w:tc>
                    <w:tc>
                      <w:tcPr>
                        <w:tcW w:w="1070" w:type="dxa"/>
                      </w:tcPr>
                      <w:p>
                        <w:pPr>
                          <w:pStyle w:val="TableParagraph"/>
                          <w:spacing w:line="152" w:lineRule="exact" w:before="5"/>
                          <w:ind w:right="28"/>
                          <w:jc w:val="right"/>
                          <w:rPr>
                            <w:sz w:val="14"/>
                          </w:rPr>
                        </w:pPr>
                        <w:r>
                          <w:rPr>
                            <w:sz w:val="14"/>
                          </w:rPr>
                          <w:t>17,067</w:t>
                        </w:r>
                      </w:p>
                    </w:tc>
                    <w:tc>
                      <w:tcPr>
                        <w:tcW w:w="1281" w:type="dxa"/>
                        <w:gridSpan w:val="2"/>
                      </w:tcPr>
                      <w:p>
                        <w:pPr>
                          <w:pStyle w:val="TableParagraph"/>
                          <w:spacing w:line="152" w:lineRule="exact" w:before="5"/>
                          <w:ind w:right="164"/>
                          <w:jc w:val="right"/>
                          <w:rPr>
                            <w:sz w:val="14"/>
                          </w:rPr>
                        </w:pPr>
                        <w:r>
                          <w:rPr>
                            <w:w w:val="99"/>
                            <w:sz w:val="14"/>
                          </w:rPr>
                          <w:t>-</w:t>
                        </w:r>
                      </w:p>
                    </w:tc>
                    <w:tc>
                      <w:tcPr>
                        <w:tcW w:w="1070" w:type="dxa"/>
                      </w:tcPr>
                      <w:p>
                        <w:pPr>
                          <w:pStyle w:val="TableParagraph"/>
                          <w:spacing w:line="152" w:lineRule="exact" w:before="5"/>
                          <w:ind w:right="30"/>
                          <w:jc w:val="right"/>
                          <w:rPr>
                            <w:sz w:val="14"/>
                          </w:rPr>
                        </w:pPr>
                        <w:r>
                          <w:rPr>
                            <w:sz w:val="14"/>
                          </w:rPr>
                          <w:t>14,998</w:t>
                        </w:r>
                      </w:p>
                    </w:tc>
                    <w:tc>
                      <w:tcPr>
                        <w:tcW w:w="1163" w:type="dxa"/>
                        <w:gridSpan w:val="2"/>
                      </w:tcPr>
                      <w:p>
                        <w:pPr>
                          <w:pStyle w:val="TableParagraph"/>
                          <w:spacing w:line="152" w:lineRule="exact" w:before="5"/>
                          <w:ind w:right="45"/>
                          <w:jc w:val="right"/>
                          <w:rPr>
                            <w:sz w:val="14"/>
                          </w:rPr>
                        </w:pPr>
                        <w:r>
                          <w:rPr>
                            <w:w w:val="99"/>
                            <w:sz w:val="14"/>
                          </w:rPr>
                          <w:t>-</w:t>
                        </w:r>
                      </w:p>
                    </w:tc>
                  </w:tr>
                  <w:tr>
                    <w:trPr>
                      <w:trHeight w:val="177" w:hRule="atLeast"/>
                    </w:trPr>
                    <w:tc>
                      <w:tcPr>
                        <w:tcW w:w="5318" w:type="dxa"/>
                      </w:tcPr>
                      <w:p>
                        <w:pPr>
                          <w:pStyle w:val="TableParagraph"/>
                          <w:spacing w:line="152" w:lineRule="exact" w:before="5"/>
                          <w:ind w:left="738"/>
                          <w:rPr>
                            <w:sz w:val="14"/>
                          </w:rPr>
                        </w:pPr>
                        <w:r>
                          <w:rPr>
                            <w:w w:val="105"/>
                            <w:sz w:val="14"/>
                          </w:rPr>
                          <w:t>Non-NHS and Other WGA deferred income</w:t>
                        </w:r>
                      </w:p>
                    </w:tc>
                    <w:tc>
                      <w:tcPr>
                        <w:tcW w:w="1070" w:type="dxa"/>
                      </w:tcPr>
                      <w:p>
                        <w:pPr>
                          <w:pStyle w:val="TableParagraph"/>
                          <w:spacing w:line="152" w:lineRule="exact" w:before="5"/>
                          <w:ind w:right="30"/>
                          <w:jc w:val="right"/>
                          <w:rPr>
                            <w:sz w:val="14"/>
                          </w:rPr>
                        </w:pPr>
                        <w:r>
                          <w:rPr>
                            <w:w w:val="99"/>
                            <w:sz w:val="14"/>
                          </w:rPr>
                          <w:t>-</w:t>
                        </w:r>
                      </w:p>
                    </w:tc>
                    <w:tc>
                      <w:tcPr>
                        <w:tcW w:w="1281" w:type="dxa"/>
                        <w:gridSpan w:val="2"/>
                      </w:tcPr>
                      <w:p>
                        <w:pPr>
                          <w:pStyle w:val="TableParagraph"/>
                          <w:spacing w:line="152" w:lineRule="exact" w:before="5"/>
                          <w:ind w:right="164"/>
                          <w:jc w:val="right"/>
                          <w:rPr>
                            <w:sz w:val="14"/>
                          </w:rPr>
                        </w:pPr>
                        <w:r>
                          <w:rPr>
                            <w:w w:val="99"/>
                            <w:sz w:val="14"/>
                          </w:rPr>
                          <w:t>-</w:t>
                        </w:r>
                      </w:p>
                    </w:tc>
                    <w:tc>
                      <w:tcPr>
                        <w:tcW w:w="1070" w:type="dxa"/>
                      </w:tcPr>
                      <w:p>
                        <w:pPr>
                          <w:pStyle w:val="TableParagraph"/>
                          <w:spacing w:line="152" w:lineRule="exact" w:before="5"/>
                          <w:ind w:right="29"/>
                          <w:jc w:val="right"/>
                          <w:rPr>
                            <w:sz w:val="14"/>
                          </w:rPr>
                        </w:pPr>
                        <w:r>
                          <w:rPr>
                            <w:w w:val="99"/>
                            <w:sz w:val="14"/>
                          </w:rPr>
                          <w:t>-</w:t>
                        </w:r>
                      </w:p>
                    </w:tc>
                    <w:tc>
                      <w:tcPr>
                        <w:tcW w:w="1163" w:type="dxa"/>
                        <w:gridSpan w:val="2"/>
                      </w:tcPr>
                      <w:p>
                        <w:pPr>
                          <w:pStyle w:val="TableParagraph"/>
                          <w:spacing w:line="152" w:lineRule="exact" w:before="5"/>
                          <w:ind w:right="45"/>
                          <w:jc w:val="right"/>
                          <w:rPr>
                            <w:sz w:val="14"/>
                          </w:rPr>
                        </w:pPr>
                        <w:r>
                          <w:rPr>
                            <w:w w:val="99"/>
                            <w:sz w:val="14"/>
                          </w:rPr>
                          <w:t>-</w:t>
                        </w:r>
                      </w:p>
                    </w:tc>
                  </w:tr>
                  <w:tr>
                    <w:trPr>
                      <w:trHeight w:val="176" w:hRule="atLeast"/>
                    </w:trPr>
                    <w:tc>
                      <w:tcPr>
                        <w:tcW w:w="5318" w:type="dxa"/>
                      </w:tcPr>
                      <w:p>
                        <w:pPr>
                          <w:pStyle w:val="TableParagraph"/>
                          <w:spacing w:line="151" w:lineRule="exact" w:before="5"/>
                          <w:ind w:left="738"/>
                          <w:rPr>
                            <w:sz w:val="14"/>
                          </w:rPr>
                        </w:pPr>
                        <w:r>
                          <w:rPr>
                            <w:w w:val="105"/>
                            <w:sz w:val="14"/>
                          </w:rPr>
                          <w:t>Non-NHS Contract Liabilities</w:t>
                        </w:r>
                      </w:p>
                    </w:tc>
                    <w:tc>
                      <w:tcPr>
                        <w:tcW w:w="1070" w:type="dxa"/>
                      </w:tcPr>
                      <w:p>
                        <w:pPr>
                          <w:pStyle w:val="TableParagraph"/>
                          <w:spacing w:line="151" w:lineRule="exact" w:before="5"/>
                          <w:ind w:right="30"/>
                          <w:jc w:val="right"/>
                          <w:rPr>
                            <w:sz w:val="14"/>
                          </w:rPr>
                        </w:pPr>
                        <w:r>
                          <w:rPr>
                            <w:w w:val="99"/>
                            <w:sz w:val="14"/>
                          </w:rPr>
                          <w:t>-</w:t>
                        </w:r>
                      </w:p>
                    </w:tc>
                    <w:tc>
                      <w:tcPr>
                        <w:tcW w:w="1281" w:type="dxa"/>
                        <w:gridSpan w:val="2"/>
                      </w:tcPr>
                      <w:p>
                        <w:pPr>
                          <w:pStyle w:val="TableParagraph"/>
                          <w:spacing w:line="151" w:lineRule="exact" w:before="5"/>
                          <w:ind w:right="164"/>
                          <w:jc w:val="right"/>
                          <w:rPr>
                            <w:sz w:val="14"/>
                          </w:rPr>
                        </w:pPr>
                        <w:r>
                          <w:rPr>
                            <w:w w:val="99"/>
                            <w:sz w:val="14"/>
                          </w:rPr>
                          <w:t>-</w:t>
                        </w:r>
                      </w:p>
                    </w:tc>
                    <w:tc>
                      <w:tcPr>
                        <w:tcW w:w="1070" w:type="dxa"/>
                      </w:tcPr>
                      <w:p>
                        <w:pPr>
                          <w:pStyle w:val="TableParagraph"/>
                          <w:spacing w:line="151" w:lineRule="exact" w:before="5"/>
                          <w:ind w:right="29"/>
                          <w:jc w:val="right"/>
                          <w:rPr>
                            <w:sz w:val="14"/>
                          </w:rPr>
                        </w:pPr>
                        <w:r>
                          <w:rPr>
                            <w:w w:val="99"/>
                            <w:sz w:val="14"/>
                          </w:rPr>
                          <w:t>-</w:t>
                        </w:r>
                      </w:p>
                    </w:tc>
                    <w:tc>
                      <w:tcPr>
                        <w:tcW w:w="1163" w:type="dxa"/>
                        <w:gridSpan w:val="2"/>
                      </w:tcPr>
                      <w:p>
                        <w:pPr>
                          <w:pStyle w:val="TableParagraph"/>
                          <w:spacing w:line="151" w:lineRule="exact" w:before="5"/>
                          <w:ind w:right="45"/>
                          <w:jc w:val="right"/>
                          <w:rPr>
                            <w:sz w:val="14"/>
                          </w:rPr>
                        </w:pPr>
                        <w:r>
                          <w:rPr>
                            <w:w w:val="99"/>
                            <w:sz w:val="14"/>
                          </w:rPr>
                          <w:t>-</w:t>
                        </w:r>
                      </w:p>
                    </w:tc>
                  </w:tr>
                  <w:tr>
                    <w:trPr>
                      <w:trHeight w:val="176" w:hRule="atLeast"/>
                    </w:trPr>
                    <w:tc>
                      <w:tcPr>
                        <w:tcW w:w="5318" w:type="dxa"/>
                      </w:tcPr>
                      <w:p>
                        <w:pPr>
                          <w:pStyle w:val="TableParagraph"/>
                          <w:spacing w:line="152" w:lineRule="exact" w:before="4"/>
                          <w:ind w:left="738"/>
                          <w:rPr>
                            <w:sz w:val="14"/>
                          </w:rPr>
                        </w:pPr>
                        <w:r>
                          <w:rPr>
                            <w:w w:val="105"/>
                            <w:sz w:val="14"/>
                          </w:rPr>
                          <w:t>Social security costs</w:t>
                        </w:r>
                      </w:p>
                    </w:tc>
                    <w:tc>
                      <w:tcPr>
                        <w:tcW w:w="1070" w:type="dxa"/>
                      </w:tcPr>
                      <w:p>
                        <w:pPr>
                          <w:pStyle w:val="TableParagraph"/>
                          <w:spacing w:line="152" w:lineRule="exact" w:before="4"/>
                          <w:ind w:right="31"/>
                          <w:jc w:val="right"/>
                          <w:rPr>
                            <w:sz w:val="14"/>
                          </w:rPr>
                        </w:pPr>
                        <w:r>
                          <w:rPr>
                            <w:w w:val="95"/>
                            <w:sz w:val="14"/>
                          </w:rPr>
                          <w:t>46</w:t>
                        </w:r>
                      </w:p>
                    </w:tc>
                    <w:tc>
                      <w:tcPr>
                        <w:tcW w:w="1281" w:type="dxa"/>
                        <w:gridSpan w:val="2"/>
                      </w:tcPr>
                      <w:p>
                        <w:pPr>
                          <w:pStyle w:val="TableParagraph"/>
                          <w:spacing w:line="152" w:lineRule="exact" w:before="4"/>
                          <w:ind w:right="164"/>
                          <w:jc w:val="right"/>
                          <w:rPr>
                            <w:sz w:val="14"/>
                          </w:rPr>
                        </w:pPr>
                        <w:r>
                          <w:rPr>
                            <w:w w:val="99"/>
                            <w:sz w:val="14"/>
                          </w:rPr>
                          <w:t>-</w:t>
                        </w:r>
                      </w:p>
                    </w:tc>
                    <w:tc>
                      <w:tcPr>
                        <w:tcW w:w="1070" w:type="dxa"/>
                      </w:tcPr>
                      <w:p>
                        <w:pPr>
                          <w:pStyle w:val="TableParagraph"/>
                          <w:spacing w:line="152" w:lineRule="exact" w:before="4"/>
                          <w:ind w:right="27"/>
                          <w:jc w:val="right"/>
                          <w:rPr>
                            <w:sz w:val="14"/>
                          </w:rPr>
                        </w:pPr>
                        <w:r>
                          <w:rPr>
                            <w:w w:val="95"/>
                            <w:sz w:val="14"/>
                          </w:rPr>
                          <w:t>45</w:t>
                        </w:r>
                      </w:p>
                    </w:tc>
                    <w:tc>
                      <w:tcPr>
                        <w:tcW w:w="1163" w:type="dxa"/>
                        <w:gridSpan w:val="2"/>
                      </w:tcPr>
                      <w:p>
                        <w:pPr>
                          <w:pStyle w:val="TableParagraph"/>
                          <w:spacing w:line="152" w:lineRule="exact" w:before="4"/>
                          <w:ind w:right="45"/>
                          <w:jc w:val="right"/>
                          <w:rPr>
                            <w:sz w:val="14"/>
                          </w:rPr>
                        </w:pPr>
                        <w:r>
                          <w:rPr>
                            <w:w w:val="99"/>
                            <w:sz w:val="14"/>
                          </w:rPr>
                          <w:t>-</w:t>
                        </w:r>
                      </w:p>
                    </w:tc>
                  </w:tr>
                  <w:tr>
                    <w:trPr>
                      <w:trHeight w:val="177" w:hRule="atLeast"/>
                    </w:trPr>
                    <w:tc>
                      <w:tcPr>
                        <w:tcW w:w="5318" w:type="dxa"/>
                      </w:tcPr>
                      <w:p>
                        <w:pPr>
                          <w:pStyle w:val="TableParagraph"/>
                          <w:spacing w:line="152" w:lineRule="exact" w:before="5"/>
                          <w:ind w:left="738"/>
                          <w:rPr>
                            <w:sz w:val="14"/>
                          </w:rPr>
                        </w:pPr>
                        <w:r>
                          <w:rPr>
                            <w:w w:val="105"/>
                            <w:sz w:val="14"/>
                          </w:rPr>
                          <w:t>VAT</w:t>
                        </w:r>
                      </w:p>
                    </w:tc>
                    <w:tc>
                      <w:tcPr>
                        <w:tcW w:w="1070" w:type="dxa"/>
                      </w:tcPr>
                      <w:p>
                        <w:pPr>
                          <w:pStyle w:val="TableParagraph"/>
                          <w:spacing w:line="152" w:lineRule="exact" w:before="5"/>
                          <w:ind w:right="30"/>
                          <w:jc w:val="right"/>
                          <w:rPr>
                            <w:sz w:val="14"/>
                          </w:rPr>
                        </w:pPr>
                        <w:r>
                          <w:rPr>
                            <w:w w:val="99"/>
                            <w:sz w:val="14"/>
                          </w:rPr>
                          <w:t>-</w:t>
                        </w:r>
                      </w:p>
                    </w:tc>
                    <w:tc>
                      <w:tcPr>
                        <w:tcW w:w="1281" w:type="dxa"/>
                        <w:gridSpan w:val="2"/>
                      </w:tcPr>
                      <w:p>
                        <w:pPr>
                          <w:pStyle w:val="TableParagraph"/>
                          <w:spacing w:line="152" w:lineRule="exact" w:before="5"/>
                          <w:ind w:right="164"/>
                          <w:jc w:val="right"/>
                          <w:rPr>
                            <w:sz w:val="14"/>
                          </w:rPr>
                        </w:pPr>
                        <w:r>
                          <w:rPr>
                            <w:w w:val="99"/>
                            <w:sz w:val="14"/>
                          </w:rPr>
                          <w:t>-</w:t>
                        </w:r>
                      </w:p>
                    </w:tc>
                    <w:tc>
                      <w:tcPr>
                        <w:tcW w:w="1070" w:type="dxa"/>
                      </w:tcPr>
                      <w:p>
                        <w:pPr>
                          <w:pStyle w:val="TableParagraph"/>
                          <w:spacing w:line="152" w:lineRule="exact" w:before="5"/>
                          <w:ind w:right="29"/>
                          <w:jc w:val="right"/>
                          <w:rPr>
                            <w:sz w:val="14"/>
                          </w:rPr>
                        </w:pPr>
                        <w:r>
                          <w:rPr>
                            <w:w w:val="99"/>
                            <w:sz w:val="14"/>
                          </w:rPr>
                          <w:t>-</w:t>
                        </w:r>
                      </w:p>
                    </w:tc>
                    <w:tc>
                      <w:tcPr>
                        <w:tcW w:w="1163" w:type="dxa"/>
                        <w:gridSpan w:val="2"/>
                      </w:tcPr>
                      <w:p>
                        <w:pPr>
                          <w:pStyle w:val="TableParagraph"/>
                          <w:spacing w:line="152" w:lineRule="exact" w:before="5"/>
                          <w:ind w:right="45"/>
                          <w:jc w:val="right"/>
                          <w:rPr>
                            <w:sz w:val="14"/>
                          </w:rPr>
                        </w:pPr>
                        <w:r>
                          <w:rPr>
                            <w:w w:val="99"/>
                            <w:sz w:val="14"/>
                          </w:rPr>
                          <w:t>-</w:t>
                        </w:r>
                      </w:p>
                    </w:tc>
                  </w:tr>
                  <w:tr>
                    <w:trPr>
                      <w:trHeight w:val="177" w:hRule="atLeast"/>
                    </w:trPr>
                    <w:tc>
                      <w:tcPr>
                        <w:tcW w:w="5318" w:type="dxa"/>
                      </w:tcPr>
                      <w:p>
                        <w:pPr>
                          <w:pStyle w:val="TableParagraph"/>
                          <w:spacing w:line="152" w:lineRule="exact" w:before="5"/>
                          <w:ind w:left="738"/>
                          <w:rPr>
                            <w:sz w:val="14"/>
                          </w:rPr>
                        </w:pPr>
                        <w:r>
                          <w:rPr>
                            <w:w w:val="105"/>
                            <w:sz w:val="14"/>
                          </w:rPr>
                          <w:t>Tax</w:t>
                        </w:r>
                      </w:p>
                    </w:tc>
                    <w:tc>
                      <w:tcPr>
                        <w:tcW w:w="1070" w:type="dxa"/>
                      </w:tcPr>
                      <w:p>
                        <w:pPr>
                          <w:pStyle w:val="TableParagraph"/>
                          <w:spacing w:line="152" w:lineRule="exact" w:before="5"/>
                          <w:ind w:right="31"/>
                          <w:jc w:val="right"/>
                          <w:rPr>
                            <w:sz w:val="14"/>
                          </w:rPr>
                        </w:pPr>
                        <w:r>
                          <w:rPr>
                            <w:w w:val="95"/>
                            <w:sz w:val="14"/>
                          </w:rPr>
                          <w:t>46</w:t>
                        </w:r>
                      </w:p>
                    </w:tc>
                    <w:tc>
                      <w:tcPr>
                        <w:tcW w:w="1281" w:type="dxa"/>
                        <w:gridSpan w:val="2"/>
                      </w:tcPr>
                      <w:p>
                        <w:pPr>
                          <w:pStyle w:val="TableParagraph"/>
                          <w:spacing w:line="152" w:lineRule="exact" w:before="5"/>
                          <w:ind w:right="164"/>
                          <w:jc w:val="right"/>
                          <w:rPr>
                            <w:sz w:val="14"/>
                          </w:rPr>
                        </w:pPr>
                        <w:r>
                          <w:rPr>
                            <w:w w:val="99"/>
                            <w:sz w:val="14"/>
                          </w:rPr>
                          <w:t>-</w:t>
                        </w:r>
                      </w:p>
                    </w:tc>
                    <w:tc>
                      <w:tcPr>
                        <w:tcW w:w="1070" w:type="dxa"/>
                      </w:tcPr>
                      <w:p>
                        <w:pPr>
                          <w:pStyle w:val="TableParagraph"/>
                          <w:spacing w:line="152" w:lineRule="exact" w:before="5"/>
                          <w:ind w:right="30"/>
                          <w:jc w:val="right"/>
                          <w:rPr>
                            <w:sz w:val="14"/>
                          </w:rPr>
                        </w:pPr>
                        <w:r>
                          <w:rPr>
                            <w:w w:val="95"/>
                            <w:sz w:val="14"/>
                          </w:rPr>
                          <w:t>43</w:t>
                        </w:r>
                      </w:p>
                    </w:tc>
                    <w:tc>
                      <w:tcPr>
                        <w:tcW w:w="1163" w:type="dxa"/>
                        <w:gridSpan w:val="2"/>
                      </w:tcPr>
                      <w:p>
                        <w:pPr>
                          <w:pStyle w:val="TableParagraph"/>
                          <w:spacing w:line="152" w:lineRule="exact" w:before="5"/>
                          <w:ind w:right="45"/>
                          <w:jc w:val="right"/>
                          <w:rPr>
                            <w:sz w:val="14"/>
                          </w:rPr>
                        </w:pPr>
                        <w:r>
                          <w:rPr>
                            <w:w w:val="99"/>
                            <w:sz w:val="14"/>
                          </w:rPr>
                          <w:t>-</w:t>
                        </w:r>
                      </w:p>
                    </w:tc>
                  </w:tr>
                  <w:tr>
                    <w:trPr>
                      <w:trHeight w:val="176" w:hRule="atLeast"/>
                    </w:trPr>
                    <w:tc>
                      <w:tcPr>
                        <w:tcW w:w="5318" w:type="dxa"/>
                      </w:tcPr>
                      <w:p>
                        <w:pPr>
                          <w:pStyle w:val="TableParagraph"/>
                          <w:spacing w:line="151" w:lineRule="exact" w:before="5"/>
                          <w:ind w:left="738"/>
                          <w:rPr>
                            <w:sz w:val="14"/>
                          </w:rPr>
                        </w:pPr>
                        <w:r>
                          <w:rPr>
                            <w:w w:val="105"/>
                            <w:sz w:val="14"/>
                          </w:rPr>
                          <w:t>Payments received on account</w:t>
                        </w:r>
                      </w:p>
                    </w:tc>
                    <w:tc>
                      <w:tcPr>
                        <w:tcW w:w="1070" w:type="dxa"/>
                      </w:tcPr>
                      <w:p>
                        <w:pPr>
                          <w:pStyle w:val="TableParagraph"/>
                          <w:spacing w:line="151" w:lineRule="exact" w:before="5"/>
                          <w:ind w:right="30"/>
                          <w:jc w:val="right"/>
                          <w:rPr>
                            <w:sz w:val="14"/>
                          </w:rPr>
                        </w:pPr>
                        <w:r>
                          <w:rPr>
                            <w:w w:val="99"/>
                            <w:sz w:val="14"/>
                          </w:rPr>
                          <w:t>-</w:t>
                        </w:r>
                      </w:p>
                    </w:tc>
                    <w:tc>
                      <w:tcPr>
                        <w:tcW w:w="1281" w:type="dxa"/>
                        <w:gridSpan w:val="2"/>
                      </w:tcPr>
                      <w:p>
                        <w:pPr>
                          <w:pStyle w:val="TableParagraph"/>
                          <w:spacing w:line="151" w:lineRule="exact" w:before="5"/>
                          <w:ind w:right="164"/>
                          <w:jc w:val="right"/>
                          <w:rPr>
                            <w:sz w:val="14"/>
                          </w:rPr>
                        </w:pPr>
                        <w:r>
                          <w:rPr>
                            <w:w w:val="99"/>
                            <w:sz w:val="14"/>
                          </w:rPr>
                          <w:t>-</w:t>
                        </w:r>
                      </w:p>
                    </w:tc>
                    <w:tc>
                      <w:tcPr>
                        <w:tcW w:w="1070" w:type="dxa"/>
                      </w:tcPr>
                      <w:p>
                        <w:pPr>
                          <w:pStyle w:val="TableParagraph"/>
                          <w:spacing w:line="151" w:lineRule="exact" w:before="5"/>
                          <w:ind w:right="29"/>
                          <w:jc w:val="right"/>
                          <w:rPr>
                            <w:sz w:val="14"/>
                          </w:rPr>
                        </w:pPr>
                        <w:r>
                          <w:rPr>
                            <w:w w:val="99"/>
                            <w:sz w:val="14"/>
                          </w:rPr>
                          <w:t>-</w:t>
                        </w:r>
                      </w:p>
                    </w:tc>
                    <w:tc>
                      <w:tcPr>
                        <w:tcW w:w="1163" w:type="dxa"/>
                        <w:gridSpan w:val="2"/>
                      </w:tcPr>
                      <w:p>
                        <w:pPr>
                          <w:pStyle w:val="TableParagraph"/>
                          <w:spacing w:line="151" w:lineRule="exact" w:before="5"/>
                          <w:ind w:right="45"/>
                          <w:jc w:val="right"/>
                          <w:rPr>
                            <w:sz w:val="14"/>
                          </w:rPr>
                        </w:pPr>
                        <w:r>
                          <w:rPr>
                            <w:w w:val="99"/>
                            <w:sz w:val="14"/>
                          </w:rPr>
                          <w:t>-</w:t>
                        </w:r>
                      </w:p>
                    </w:tc>
                  </w:tr>
                  <w:tr>
                    <w:trPr>
                      <w:trHeight w:val="181" w:hRule="atLeast"/>
                    </w:trPr>
                    <w:tc>
                      <w:tcPr>
                        <w:tcW w:w="5318" w:type="dxa"/>
                      </w:tcPr>
                      <w:p>
                        <w:pPr>
                          <w:pStyle w:val="TableParagraph"/>
                          <w:spacing w:line="157" w:lineRule="exact" w:before="4"/>
                          <w:ind w:left="541"/>
                          <w:rPr>
                            <w:sz w:val="14"/>
                          </w:rPr>
                        </w:pPr>
                        <w:r>
                          <w:rPr>
                            <w:b/>
                            <w:w w:val="105"/>
                            <w:sz w:val="14"/>
                          </w:rPr>
                          <w:t>2* </w:t>
                        </w:r>
                        <w:r>
                          <w:rPr>
                            <w:w w:val="105"/>
                            <w:sz w:val="14"/>
                          </w:rPr>
                          <w:t>Other payables and accruals</w:t>
                        </w:r>
                      </w:p>
                    </w:tc>
                    <w:tc>
                      <w:tcPr>
                        <w:tcW w:w="1070" w:type="dxa"/>
                      </w:tcPr>
                      <w:p>
                        <w:pPr>
                          <w:pStyle w:val="TableParagraph"/>
                          <w:tabs>
                            <w:tab w:pos="799" w:val="left" w:leader="none"/>
                          </w:tabs>
                          <w:spacing w:line="157" w:lineRule="exact" w:before="4"/>
                          <w:ind w:right="-29"/>
                          <w:jc w:val="right"/>
                          <w:rPr>
                            <w:sz w:val="14"/>
                          </w:rPr>
                        </w:pPr>
                        <w:r>
                          <w:rPr>
                            <w:w w:val="99"/>
                            <w:sz w:val="14"/>
                            <w:u w:val="single"/>
                          </w:rPr>
                          <w:t> </w:t>
                        </w:r>
                        <w:r>
                          <w:rPr>
                            <w:sz w:val="14"/>
                            <w:u w:val="single"/>
                          </w:rPr>
                          <w:tab/>
                        </w:r>
                        <w:r>
                          <w:rPr>
                            <w:spacing w:val="-1"/>
                            <w:w w:val="95"/>
                            <w:sz w:val="14"/>
                            <w:u w:val="single"/>
                          </w:rPr>
                          <w:t>512</w:t>
                        </w:r>
                      </w:p>
                    </w:tc>
                    <w:tc>
                      <w:tcPr>
                        <w:tcW w:w="1281" w:type="dxa"/>
                        <w:gridSpan w:val="2"/>
                      </w:tcPr>
                      <w:p>
                        <w:pPr>
                          <w:pStyle w:val="TableParagraph"/>
                          <w:tabs>
                            <w:tab w:pos="1065" w:val="left" w:leader="none"/>
                          </w:tabs>
                          <w:spacing w:line="157" w:lineRule="exact" w:before="4"/>
                          <w:ind w:left="77"/>
                          <w:rPr>
                            <w:sz w:val="14"/>
                          </w:rPr>
                        </w:pPr>
                        <w:r>
                          <w:rPr>
                            <w:w w:val="103"/>
                            <w:sz w:val="14"/>
                            <w:u w:val="single"/>
                          </w:rPr>
                          <w:t> </w:t>
                        </w:r>
                        <w:r>
                          <w:rPr>
                            <w:sz w:val="14"/>
                            <w:u w:val="single"/>
                          </w:rPr>
                          <w:tab/>
                        </w:r>
                        <w:r>
                          <w:rPr>
                            <w:w w:val="105"/>
                            <w:sz w:val="14"/>
                            <w:u w:val="single"/>
                          </w:rPr>
                          <w:t>-</w:t>
                        </w:r>
                      </w:p>
                    </w:tc>
                    <w:tc>
                      <w:tcPr>
                        <w:tcW w:w="1070" w:type="dxa"/>
                      </w:tcPr>
                      <w:p>
                        <w:pPr>
                          <w:pStyle w:val="TableParagraph"/>
                          <w:tabs>
                            <w:tab w:pos="799" w:val="left" w:leader="none"/>
                          </w:tabs>
                          <w:spacing w:line="157" w:lineRule="exact" w:before="4"/>
                          <w:ind w:right="-15"/>
                          <w:jc w:val="right"/>
                          <w:rPr>
                            <w:sz w:val="14"/>
                          </w:rPr>
                        </w:pPr>
                        <w:r>
                          <w:rPr>
                            <w:w w:val="99"/>
                            <w:sz w:val="14"/>
                            <w:u w:val="single"/>
                          </w:rPr>
                          <w:t> </w:t>
                        </w:r>
                        <w:r>
                          <w:rPr>
                            <w:sz w:val="14"/>
                            <w:u w:val="single"/>
                          </w:rPr>
                          <w:tab/>
                        </w:r>
                        <w:r>
                          <w:rPr>
                            <w:spacing w:val="-1"/>
                            <w:w w:val="95"/>
                            <w:sz w:val="14"/>
                            <w:u w:val="single"/>
                          </w:rPr>
                          <w:t>725</w:t>
                        </w:r>
                      </w:p>
                    </w:tc>
                    <w:tc>
                      <w:tcPr>
                        <w:tcW w:w="1163" w:type="dxa"/>
                        <w:gridSpan w:val="2"/>
                      </w:tcPr>
                      <w:p>
                        <w:pPr>
                          <w:pStyle w:val="TableParagraph"/>
                          <w:tabs>
                            <w:tab w:pos="1064" w:val="left" w:leader="none"/>
                          </w:tabs>
                          <w:spacing w:line="157" w:lineRule="exact" w:before="4"/>
                          <w:ind w:left="78"/>
                          <w:rPr>
                            <w:sz w:val="14"/>
                          </w:rPr>
                        </w:pPr>
                        <w:r>
                          <w:rPr>
                            <w:w w:val="103"/>
                            <w:sz w:val="14"/>
                            <w:u w:val="single"/>
                          </w:rPr>
                          <w:t> </w:t>
                        </w:r>
                        <w:r>
                          <w:rPr>
                            <w:sz w:val="14"/>
                            <w:u w:val="single"/>
                          </w:rPr>
                          <w:tab/>
                        </w:r>
                        <w:r>
                          <w:rPr>
                            <w:w w:val="105"/>
                            <w:sz w:val="14"/>
                            <w:u w:val="single"/>
                          </w:rPr>
                          <w:t>-</w:t>
                        </w:r>
                      </w:p>
                    </w:tc>
                  </w:tr>
                  <w:tr>
                    <w:trPr>
                      <w:trHeight w:val="352" w:hRule="atLeast"/>
                    </w:trPr>
                    <w:tc>
                      <w:tcPr>
                        <w:tcW w:w="5318" w:type="dxa"/>
                      </w:tcPr>
                      <w:p>
                        <w:pPr>
                          <w:pStyle w:val="TableParagraph"/>
                          <w:spacing w:before="10"/>
                          <w:ind w:left="738"/>
                          <w:rPr>
                            <w:b/>
                            <w:sz w:val="14"/>
                          </w:rPr>
                        </w:pPr>
                        <w:r>
                          <w:rPr>
                            <w:b/>
                            <w:w w:val="105"/>
                            <w:sz w:val="14"/>
                          </w:rPr>
                          <w:t>Total Trade &amp; Other Payables</w:t>
                        </w:r>
                      </w:p>
                    </w:tc>
                    <w:tc>
                      <w:tcPr>
                        <w:tcW w:w="1070" w:type="dxa"/>
                        <w:tcBorders>
                          <w:bottom w:val="single" w:sz="6" w:space="0" w:color="000000"/>
                        </w:tcBorders>
                      </w:tcPr>
                      <w:p>
                        <w:pPr>
                          <w:pStyle w:val="TableParagraph"/>
                          <w:spacing w:before="10"/>
                          <w:ind w:right="31"/>
                          <w:jc w:val="right"/>
                          <w:rPr>
                            <w:b/>
                            <w:sz w:val="14"/>
                          </w:rPr>
                        </w:pPr>
                        <w:r>
                          <w:rPr>
                            <w:b/>
                            <w:sz w:val="14"/>
                          </w:rPr>
                          <w:t>20,132</w:t>
                        </w:r>
                      </w:p>
                    </w:tc>
                    <w:tc>
                      <w:tcPr>
                        <w:tcW w:w="1281" w:type="dxa"/>
                        <w:gridSpan w:val="2"/>
                      </w:tcPr>
                      <w:p>
                        <w:pPr>
                          <w:pStyle w:val="TableParagraph"/>
                          <w:spacing w:before="10"/>
                          <w:ind w:right="164"/>
                          <w:jc w:val="right"/>
                          <w:rPr>
                            <w:b/>
                            <w:sz w:val="14"/>
                          </w:rPr>
                        </w:pPr>
                        <w:r>
                          <w:rPr>
                            <w:b/>
                            <w:w w:val="99"/>
                            <w:sz w:val="14"/>
                          </w:rPr>
                          <w:t>-</w:t>
                        </w:r>
                      </w:p>
                    </w:tc>
                    <w:tc>
                      <w:tcPr>
                        <w:tcW w:w="1070" w:type="dxa"/>
                        <w:tcBorders>
                          <w:bottom w:val="single" w:sz="6" w:space="0" w:color="000000"/>
                        </w:tcBorders>
                      </w:tcPr>
                      <w:p>
                        <w:pPr>
                          <w:pStyle w:val="TableParagraph"/>
                          <w:spacing w:before="10"/>
                          <w:ind w:right="30"/>
                          <w:jc w:val="right"/>
                          <w:rPr>
                            <w:b/>
                            <w:sz w:val="14"/>
                          </w:rPr>
                        </w:pPr>
                        <w:r>
                          <w:rPr>
                            <w:b/>
                            <w:sz w:val="14"/>
                          </w:rPr>
                          <w:t>18,448</w:t>
                        </w:r>
                      </w:p>
                    </w:tc>
                    <w:tc>
                      <w:tcPr>
                        <w:tcW w:w="1163" w:type="dxa"/>
                        <w:gridSpan w:val="2"/>
                      </w:tcPr>
                      <w:p>
                        <w:pPr>
                          <w:pStyle w:val="TableParagraph"/>
                          <w:spacing w:before="10"/>
                          <w:ind w:right="45"/>
                          <w:jc w:val="right"/>
                          <w:rPr>
                            <w:b/>
                            <w:sz w:val="14"/>
                          </w:rPr>
                        </w:pPr>
                        <w:r>
                          <w:rPr>
                            <w:b/>
                            <w:w w:val="99"/>
                            <w:sz w:val="14"/>
                          </w:rPr>
                          <w:t>-</w:t>
                        </w:r>
                      </w:p>
                    </w:tc>
                  </w:tr>
                  <w:tr>
                    <w:trPr>
                      <w:trHeight w:val="250" w:hRule="atLeast"/>
                    </w:trPr>
                    <w:tc>
                      <w:tcPr>
                        <w:tcW w:w="5318" w:type="dxa"/>
                      </w:tcPr>
                      <w:p>
                        <w:pPr>
                          <w:pStyle w:val="TableParagraph"/>
                          <w:spacing w:line="157" w:lineRule="exact"/>
                          <w:ind w:left="738"/>
                          <w:rPr>
                            <w:sz w:val="14"/>
                          </w:rPr>
                        </w:pPr>
                        <w:r>
                          <w:rPr>
                            <w:w w:val="105"/>
                            <w:sz w:val="14"/>
                          </w:rPr>
                          <w:t>Total current and non-current</w:t>
                        </w:r>
                      </w:p>
                    </w:tc>
                    <w:tc>
                      <w:tcPr>
                        <w:tcW w:w="1070" w:type="dxa"/>
                        <w:tcBorders>
                          <w:top w:val="single" w:sz="6" w:space="0" w:color="000000"/>
                        </w:tcBorders>
                      </w:tcPr>
                      <w:p>
                        <w:pPr>
                          <w:pStyle w:val="TableParagraph"/>
                          <w:tabs>
                            <w:tab w:pos="599" w:val="left" w:leader="none"/>
                          </w:tabs>
                          <w:spacing w:line="157" w:lineRule="exact"/>
                          <w:ind w:right="-29"/>
                          <w:jc w:val="right"/>
                          <w:rPr>
                            <w:b/>
                            <w:sz w:val="14"/>
                          </w:rPr>
                        </w:pPr>
                        <w:r>
                          <w:rPr>
                            <w:b/>
                            <w:w w:val="99"/>
                            <w:sz w:val="14"/>
                            <w:u w:val="single"/>
                          </w:rPr>
                          <w:t> </w:t>
                        </w:r>
                        <w:r>
                          <w:rPr>
                            <w:b/>
                            <w:sz w:val="14"/>
                            <w:u w:val="single"/>
                          </w:rPr>
                          <w:tab/>
                        </w:r>
                        <w:r>
                          <w:rPr>
                            <w:b/>
                            <w:spacing w:val="-1"/>
                            <w:w w:val="95"/>
                            <w:sz w:val="14"/>
                            <w:u w:val="single"/>
                          </w:rPr>
                          <w:t>20,132</w:t>
                        </w:r>
                      </w:p>
                    </w:tc>
                    <w:tc>
                      <w:tcPr>
                        <w:tcW w:w="1281" w:type="dxa"/>
                        <w:gridSpan w:val="2"/>
                      </w:tcPr>
                      <w:p>
                        <w:pPr>
                          <w:pStyle w:val="TableParagraph"/>
                          <w:rPr>
                            <w:rFonts w:ascii="Times New Roman"/>
                            <w:sz w:val="14"/>
                          </w:rPr>
                        </w:pPr>
                      </w:p>
                    </w:tc>
                    <w:tc>
                      <w:tcPr>
                        <w:tcW w:w="1070" w:type="dxa"/>
                        <w:tcBorders>
                          <w:top w:val="single" w:sz="6" w:space="0" w:color="000000"/>
                        </w:tcBorders>
                      </w:tcPr>
                      <w:p>
                        <w:pPr>
                          <w:pStyle w:val="TableParagraph"/>
                          <w:tabs>
                            <w:tab w:pos="599" w:val="left" w:leader="none"/>
                          </w:tabs>
                          <w:spacing w:line="157" w:lineRule="exact"/>
                          <w:ind w:right="-15"/>
                          <w:jc w:val="right"/>
                          <w:rPr>
                            <w:b/>
                            <w:sz w:val="14"/>
                          </w:rPr>
                        </w:pPr>
                        <w:r>
                          <w:rPr>
                            <w:b/>
                            <w:w w:val="99"/>
                            <w:sz w:val="14"/>
                            <w:u w:val="single"/>
                          </w:rPr>
                          <w:t> </w:t>
                        </w:r>
                        <w:r>
                          <w:rPr>
                            <w:b/>
                            <w:sz w:val="14"/>
                            <w:u w:val="single"/>
                          </w:rPr>
                          <w:tab/>
                        </w:r>
                        <w:r>
                          <w:rPr>
                            <w:b/>
                            <w:spacing w:val="-1"/>
                            <w:w w:val="95"/>
                            <w:sz w:val="14"/>
                            <w:u w:val="single"/>
                          </w:rPr>
                          <w:t>18,448</w:t>
                        </w:r>
                      </w:p>
                    </w:tc>
                    <w:tc>
                      <w:tcPr>
                        <w:tcW w:w="1163" w:type="dxa"/>
                        <w:gridSpan w:val="2"/>
                      </w:tcPr>
                      <w:p>
                        <w:pPr>
                          <w:pStyle w:val="TableParagraph"/>
                          <w:rPr>
                            <w:rFonts w:ascii="Times New Roman"/>
                            <w:sz w:val="14"/>
                          </w:rPr>
                        </w:pPr>
                      </w:p>
                    </w:tc>
                  </w:tr>
                  <w:tr>
                    <w:trPr>
                      <w:trHeight w:val="355" w:hRule="atLeast"/>
                    </w:trPr>
                    <w:tc>
                      <w:tcPr>
                        <w:tcW w:w="5318" w:type="dxa"/>
                      </w:tcPr>
                      <w:p>
                        <w:pPr>
                          <w:pStyle w:val="TableParagraph"/>
                          <w:spacing w:before="88"/>
                          <w:ind w:left="738"/>
                          <w:rPr>
                            <w:b/>
                            <w:sz w:val="14"/>
                          </w:rPr>
                        </w:pPr>
                        <w:r>
                          <w:rPr>
                            <w:b/>
                            <w:w w:val="105"/>
                            <w:sz w:val="14"/>
                          </w:rPr>
                          <w:t>Explanatory Note</w:t>
                        </w:r>
                      </w:p>
                    </w:tc>
                    <w:tc>
                      <w:tcPr>
                        <w:tcW w:w="1070" w:type="dxa"/>
                      </w:tcPr>
                      <w:p>
                        <w:pPr>
                          <w:pStyle w:val="TableParagraph"/>
                          <w:rPr>
                            <w:rFonts w:ascii="Times New Roman"/>
                            <w:sz w:val="14"/>
                          </w:rPr>
                        </w:pPr>
                      </w:p>
                    </w:tc>
                    <w:tc>
                      <w:tcPr>
                        <w:tcW w:w="1281" w:type="dxa"/>
                        <w:gridSpan w:val="2"/>
                      </w:tcPr>
                      <w:p>
                        <w:pPr>
                          <w:pStyle w:val="TableParagraph"/>
                          <w:rPr>
                            <w:rFonts w:ascii="Times New Roman"/>
                            <w:sz w:val="14"/>
                          </w:rPr>
                        </w:pPr>
                      </w:p>
                    </w:tc>
                    <w:tc>
                      <w:tcPr>
                        <w:tcW w:w="1070" w:type="dxa"/>
                      </w:tcPr>
                      <w:p>
                        <w:pPr>
                          <w:pStyle w:val="TableParagraph"/>
                          <w:rPr>
                            <w:rFonts w:ascii="Times New Roman"/>
                            <w:sz w:val="14"/>
                          </w:rPr>
                        </w:pPr>
                      </w:p>
                    </w:tc>
                    <w:tc>
                      <w:tcPr>
                        <w:tcW w:w="1163" w:type="dxa"/>
                        <w:gridSpan w:val="2"/>
                      </w:tcPr>
                      <w:p>
                        <w:pPr>
                          <w:pStyle w:val="TableParagraph"/>
                          <w:rPr>
                            <w:rFonts w:ascii="Times New Roman"/>
                            <w:sz w:val="14"/>
                          </w:rPr>
                        </w:pPr>
                      </w:p>
                    </w:tc>
                  </w:tr>
                  <w:tr>
                    <w:trPr>
                      <w:trHeight w:val="272" w:hRule="atLeast"/>
                    </w:trPr>
                    <w:tc>
                      <w:tcPr>
                        <w:tcW w:w="5318" w:type="dxa"/>
                      </w:tcPr>
                      <w:p>
                        <w:pPr>
                          <w:pStyle w:val="TableParagraph"/>
                          <w:spacing w:line="152" w:lineRule="exact" w:before="100"/>
                          <w:ind w:left="501"/>
                          <w:rPr>
                            <w:b/>
                            <w:sz w:val="14"/>
                          </w:rPr>
                        </w:pPr>
                        <w:r>
                          <w:rPr>
                            <w:b/>
                            <w:w w:val="105"/>
                            <w:sz w:val="14"/>
                          </w:rPr>
                          <w:t>1* In 2021-22 the NHS accruals balance has increased due to:</w:t>
                        </w:r>
                      </w:p>
                    </w:tc>
                    <w:tc>
                      <w:tcPr>
                        <w:tcW w:w="1070" w:type="dxa"/>
                      </w:tcPr>
                      <w:p>
                        <w:pPr>
                          <w:pStyle w:val="TableParagraph"/>
                          <w:rPr>
                            <w:rFonts w:ascii="Times New Roman"/>
                            <w:sz w:val="14"/>
                          </w:rPr>
                        </w:pPr>
                      </w:p>
                    </w:tc>
                    <w:tc>
                      <w:tcPr>
                        <w:tcW w:w="1281" w:type="dxa"/>
                        <w:gridSpan w:val="2"/>
                      </w:tcPr>
                      <w:p>
                        <w:pPr>
                          <w:pStyle w:val="TableParagraph"/>
                          <w:rPr>
                            <w:rFonts w:ascii="Times New Roman"/>
                            <w:sz w:val="14"/>
                          </w:rPr>
                        </w:pPr>
                      </w:p>
                    </w:tc>
                    <w:tc>
                      <w:tcPr>
                        <w:tcW w:w="1070" w:type="dxa"/>
                      </w:tcPr>
                      <w:p>
                        <w:pPr>
                          <w:pStyle w:val="TableParagraph"/>
                          <w:rPr>
                            <w:rFonts w:ascii="Times New Roman"/>
                            <w:sz w:val="14"/>
                          </w:rPr>
                        </w:pPr>
                      </w:p>
                    </w:tc>
                    <w:tc>
                      <w:tcPr>
                        <w:tcW w:w="1163" w:type="dxa"/>
                        <w:gridSpan w:val="2"/>
                      </w:tcPr>
                      <w:p>
                        <w:pPr>
                          <w:pStyle w:val="TableParagraph"/>
                          <w:rPr>
                            <w:rFonts w:ascii="Times New Roman"/>
                            <w:sz w:val="14"/>
                          </w:rPr>
                        </w:pPr>
                      </w:p>
                    </w:tc>
                  </w:tr>
                  <w:tr>
                    <w:trPr>
                      <w:trHeight w:val="166" w:hRule="atLeast"/>
                    </w:trPr>
                    <w:tc>
                      <w:tcPr>
                        <w:tcW w:w="5318" w:type="dxa"/>
                      </w:tcPr>
                      <w:p>
                        <w:pPr>
                          <w:pStyle w:val="TableParagraph"/>
                          <w:tabs>
                            <w:tab w:pos="817" w:val="left" w:leader="none"/>
                          </w:tabs>
                          <w:spacing w:line="141" w:lineRule="exact" w:before="5"/>
                          <w:ind w:left="50"/>
                          <w:rPr>
                            <w:sz w:val="14"/>
                          </w:rPr>
                        </w:pPr>
                        <w:r>
                          <w:rPr>
                            <w:w w:val="105"/>
                            <w:sz w:val="14"/>
                          </w:rPr>
                          <w:t>-</w:t>
                          <w:tab/>
                          <w:t>accrual</w:t>
                        </w:r>
                        <w:r>
                          <w:rPr>
                            <w:spacing w:val="-6"/>
                            <w:w w:val="105"/>
                            <w:sz w:val="14"/>
                          </w:rPr>
                          <w:t> </w:t>
                        </w:r>
                        <w:r>
                          <w:rPr>
                            <w:w w:val="105"/>
                            <w:sz w:val="14"/>
                          </w:rPr>
                          <w:t>for</w:t>
                        </w:r>
                        <w:r>
                          <w:rPr>
                            <w:spacing w:val="-4"/>
                            <w:w w:val="105"/>
                            <w:sz w:val="14"/>
                          </w:rPr>
                          <w:t> </w:t>
                        </w:r>
                        <w:r>
                          <w:rPr>
                            <w:w w:val="105"/>
                            <w:sz w:val="14"/>
                          </w:rPr>
                          <w:t>Leeds</w:t>
                        </w:r>
                        <w:r>
                          <w:rPr>
                            <w:spacing w:val="-6"/>
                            <w:w w:val="105"/>
                            <w:sz w:val="14"/>
                          </w:rPr>
                          <w:t> </w:t>
                        </w:r>
                        <w:r>
                          <w:rPr>
                            <w:w w:val="105"/>
                            <w:sz w:val="14"/>
                          </w:rPr>
                          <w:t>Teaching</w:t>
                        </w:r>
                        <w:r>
                          <w:rPr>
                            <w:spacing w:val="-5"/>
                            <w:w w:val="105"/>
                            <w:sz w:val="14"/>
                          </w:rPr>
                          <w:t> </w:t>
                        </w:r>
                        <w:r>
                          <w:rPr>
                            <w:w w:val="105"/>
                            <w:sz w:val="14"/>
                          </w:rPr>
                          <w:t>Hospital</w:t>
                        </w:r>
                        <w:r>
                          <w:rPr>
                            <w:spacing w:val="-5"/>
                            <w:w w:val="105"/>
                            <w:sz w:val="14"/>
                          </w:rPr>
                          <w:t> </w:t>
                        </w:r>
                        <w:r>
                          <w:rPr>
                            <w:w w:val="105"/>
                            <w:sz w:val="14"/>
                          </w:rPr>
                          <w:t>-</w:t>
                        </w:r>
                        <w:r>
                          <w:rPr>
                            <w:spacing w:val="-2"/>
                            <w:w w:val="105"/>
                            <w:sz w:val="14"/>
                          </w:rPr>
                          <w:t> </w:t>
                        </w:r>
                        <w:r>
                          <w:rPr>
                            <w:w w:val="105"/>
                            <w:sz w:val="14"/>
                          </w:rPr>
                          <w:t>Shared</w:t>
                        </w:r>
                        <w:r>
                          <w:rPr>
                            <w:spacing w:val="-6"/>
                            <w:w w:val="105"/>
                            <w:sz w:val="14"/>
                          </w:rPr>
                          <w:t> </w:t>
                        </w:r>
                        <w:r>
                          <w:rPr>
                            <w:w w:val="105"/>
                            <w:sz w:val="14"/>
                          </w:rPr>
                          <w:t>Care</w:t>
                        </w:r>
                        <w:r>
                          <w:rPr>
                            <w:spacing w:val="-5"/>
                            <w:w w:val="105"/>
                            <w:sz w:val="14"/>
                          </w:rPr>
                          <w:t> </w:t>
                        </w:r>
                        <w:r>
                          <w:rPr>
                            <w:w w:val="105"/>
                            <w:sz w:val="14"/>
                          </w:rPr>
                          <w:t>of</w:t>
                        </w:r>
                        <w:r>
                          <w:rPr>
                            <w:spacing w:val="-1"/>
                            <w:w w:val="105"/>
                            <w:sz w:val="14"/>
                          </w:rPr>
                          <w:t> </w:t>
                        </w:r>
                        <w:r>
                          <w:rPr>
                            <w:w w:val="105"/>
                            <w:sz w:val="14"/>
                          </w:rPr>
                          <w:t>£25k</w:t>
                        </w:r>
                      </w:p>
                    </w:tc>
                    <w:tc>
                      <w:tcPr>
                        <w:tcW w:w="1070" w:type="dxa"/>
                      </w:tcPr>
                      <w:p>
                        <w:pPr>
                          <w:pStyle w:val="TableParagraph"/>
                          <w:rPr>
                            <w:rFonts w:ascii="Times New Roman"/>
                            <w:sz w:val="10"/>
                          </w:rPr>
                        </w:pPr>
                      </w:p>
                    </w:tc>
                    <w:tc>
                      <w:tcPr>
                        <w:tcW w:w="1281" w:type="dxa"/>
                        <w:gridSpan w:val="2"/>
                      </w:tcPr>
                      <w:p>
                        <w:pPr>
                          <w:pStyle w:val="TableParagraph"/>
                          <w:rPr>
                            <w:rFonts w:ascii="Times New Roman"/>
                            <w:sz w:val="10"/>
                          </w:rPr>
                        </w:pPr>
                      </w:p>
                    </w:tc>
                    <w:tc>
                      <w:tcPr>
                        <w:tcW w:w="1070" w:type="dxa"/>
                      </w:tcPr>
                      <w:p>
                        <w:pPr>
                          <w:pStyle w:val="TableParagraph"/>
                          <w:rPr>
                            <w:rFonts w:ascii="Times New Roman"/>
                            <w:sz w:val="10"/>
                          </w:rPr>
                        </w:pPr>
                      </w:p>
                    </w:tc>
                    <w:tc>
                      <w:tcPr>
                        <w:tcW w:w="1163" w:type="dxa"/>
                        <w:gridSpan w:val="2"/>
                      </w:tcPr>
                      <w:p>
                        <w:pPr>
                          <w:pStyle w:val="TableParagraph"/>
                          <w:rPr>
                            <w:rFonts w:ascii="Times New Roman"/>
                            <w:sz w:val="10"/>
                          </w:rPr>
                        </w:pPr>
                      </w:p>
                    </w:tc>
                  </w:tr>
                </w:tbl>
                <w:p>
                  <w:pPr>
                    <w:pStyle w:val="BodyText"/>
                  </w:pPr>
                </w:p>
              </w:txbxContent>
            </v:textbox>
            <w10:wrap type="none"/>
          </v:shape>
        </w:pict>
      </w:r>
      <w:r>
        <w:rPr>
          <w:w w:val="99"/>
          <w:sz w:val="14"/>
        </w:rPr>
        <w:t>-</w:t>
      </w:r>
    </w:p>
    <w:p>
      <w:pPr>
        <w:spacing w:before="24"/>
        <w:ind w:left="0" w:right="689" w:firstLine="0"/>
        <w:jc w:val="right"/>
        <w:rPr>
          <w:sz w:val="14"/>
        </w:rPr>
      </w:pPr>
      <w:r>
        <w:rPr>
          <w:w w:val="99"/>
          <w:sz w:val="14"/>
        </w:rPr>
        <w:t>-</w:t>
      </w:r>
    </w:p>
    <w:p>
      <w:pPr>
        <w:spacing w:before="3"/>
        <w:ind w:left="0" w:right="689" w:firstLine="0"/>
        <w:jc w:val="right"/>
        <w:rPr>
          <w:sz w:val="14"/>
        </w:rPr>
      </w:pPr>
      <w:r>
        <w:rPr>
          <w:w w:val="99"/>
          <w:sz w:val="14"/>
        </w:rPr>
        <w: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rPr>
          <w:sz w:val="21"/>
        </w:rPr>
      </w:pPr>
    </w:p>
    <w:p>
      <w:pPr>
        <w:pStyle w:val="ListParagraph"/>
        <w:numPr>
          <w:ilvl w:val="0"/>
          <w:numId w:val="34"/>
        </w:numPr>
        <w:tabs>
          <w:tab w:pos="928" w:val="left" w:leader="none"/>
        </w:tabs>
        <w:spacing w:line="240" w:lineRule="auto" w:before="0" w:after="0"/>
        <w:ind w:left="928" w:right="0" w:hanging="89"/>
        <w:jc w:val="left"/>
        <w:rPr>
          <w:sz w:val="14"/>
        </w:rPr>
      </w:pPr>
      <w:r>
        <w:rPr>
          <w:w w:val="105"/>
          <w:sz w:val="14"/>
        </w:rPr>
        <w:t>accrual Hull University Teaching Hospital - Neurology of</w:t>
      </w:r>
      <w:r>
        <w:rPr>
          <w:spacing w:val="-20"/>
          <w:w w:val="105"/>
          <w:sz w:val="14"/>
        </w:rPr>
        <w:t> </w:t>
      </w:r>
      <w:r>
        <w:rPr>
          <w:w w:val="105"/>
          <w:sz w:val="14"/>
        </w:rPr>
        <w:t>£176k</w:t>
      </w:r>
    </w:p>
    <w:p>
      <w:pPr>
        <w:pStyle w:val="ListParagraph"/>
        <w:numPr>
          <w:ilvl w:val="0"/>
          <w:numId w:val="34"/>
        </w:numPr>
        <w:tabs>
          <w:tab w:pos="928" w:val="left" w:leader="none"/>
        </w:tabs>
        <w:spacing w:line="240" w:lineRule="auto" w:before="17" w:after="0"/>
        <w:ind w:left="928" w:right="0" w:hanging="89"/>
        <w:jc w:val="left"/>
        <w:rPr>
          <w:sz w:val="14"/>
        </w:rPr>
      </w:pPr>
      <w:r>
        <w:rPr>
          <w:w w:val="105"/>
          <w:sz w:val="14"/>
        </w:rPr>
        <w:t>accrual</w:t>
      </w:r>
      <w:r>
        <w:rPr>
          <w:spacing w:val="-5"/>
          <w:w w:val="105"/>
          <w:sz w:val="14"/>
        </w:rPr>
        <w:t> </w:t>
      </w:r>
      <w:r>
        <w:rPr>
          <w:w w:val="105"/>
          <w:sz w:val="14"/>
        </w:rPr>
        <w:t>with</w:t>
      </w:r>
      <w:r>
        <w:rPr>
          <w:spacing w:val="-6"/>
          <w:w w:val="105"/>
          <w:sz w:val="14"/>
        </w:rPr>
        <w:t> </w:t>
      </w:r>
      <w:r>
        <w:rPr>
          <w:w w:val="105"/>
          <w:sz w:val="14"/>
        </w:rPr>
        <w:t>East</w:t>
      </w:r>
      <w:r>
        <w:rPr>
          <w:spacing w:val="-3"/>
          <w:w w:val="105"/>
          <w:sz w:val="14"/>
        </w:rPr>
        <w:t> </w:t>
      </w:r>
      <w:r>
        <w:rPr>
          <w:w w:val="105"/>
          <w:sz w:val="14"/>
        </w:rPr>
        <w:t>Midlands</w:t>
      </w:r>
      <w:r>
        <w:rPr>
          <w:spacing w:val="-4"/>
          <w:w w:val="105"/>
          <w:sz w:val="14"/>
        </w:rPr>
        <w:t> </w:t>
      </w:r>
      <w:r>
        <w:rPr>
          <w:w w:val="105"/>
          <w:sz w:val="14"/>
        </w:rPr>
        <w:t>Ambulance</w:t>
      </w:r>
      <w:r>
        <w:rPr>
          <w:spacing w:val="-4"/>
          <w:w w:val="105"/>
          <w:sz w:val="14"/>
        </w:rPr>
        <w:t> </w:t>
      </w:r>
      <w:r>
        <w:rPr>
          <w:w w:val="105"/>
          <w:sz w:val="14"/>
        </w:rPr>
        <w:t>Service</w:t>
      </w:r>
      <w:r>
        <w:rPr>
          <w:spacing w:val="-7"/>
          <w:w w:val="105"/>
          <w:sz w:val="14"/>
        </w:rPr>
        <w:t> </w:t>
      </w:r>
      <w:r>
        <w:rPr>
          <w:w w:val="105"/>
          <w:sz w:val="14"/>
        </w:rPr>
        <w:t>-</w:t>
      </w:r>
      <w:r>
        <w:rPr>
          <w:spacing w:val="-2"/>
          <w:w w:val="105"/>
          <w:sz w:val="14"/>
        </w:rPr>
        <w:t> </w:t>
      </w:r>
      <w:r>
        <w:rPr>
          <w:w w:val="105"/>
          <w:sz w:val="14"/>
        </w:rPr>
        <w:t>Mental</w:t>
      </w:r>
      <w:r>
        <w:rPr>
          <w:spacing w:val="-2"/>
          <w:w w:val="105"/>
          <w:sz w:val="14"/>
        </w:rPr>
        <w:t> </w:t>
      </w:r>
      <w:r>
        <w:rPr>
          <w:w w:val="105"/>
          <w:sz w:val="14"/>
        </w:rPr>
        <w:t>Health</w:t>
      </w:r>
      <w:r>
        <w:rPr>
          <w:spacing w:val="-4"/>
          <w:w w:val="105"/>
          <w:sz w:val="14"/>
        </w:rPr>
        <w:t> </w:t>
      </w:r>
      <w:r>
        <w:rPr>
          <w:w w:val="105"/>
          <w:sz w:val="14"/>
        </w:rPr>
        <w:t>Investment</w:t>
      </w:r>
      <w:r>
        <w:rPr>
          <w:spacing w:val="-1"/>
          <w:w w:val="105"/>
          <w:sz w:val="14"/>
        </w:rPr>
        <w:t> </w:t>
      </w:r>
      <w:r>
        <w:rPr>
          <w:w w:val="105"/>
          <w:sz w:val="14"/>
        </w:rPr>
        <w:t>Standard</w:t>
      </w:r>
      <w:r>
        <w:rPr>
          <w:spacing w:val="-6"/>
          <w:w w:val="105"/>
          <w:sz w:val="14"/>
        </w:rPr>
        <w:t> </w:t>
      </w:r>
      <w:r>
        <w:rPr>
          <w:w w:val="105"/>
          <w:sz w:val="14"/>
        </w:rPr>
        <w:t>Emergency</w:t>
      </w:r>
      <w:r>
        <w:rPr>
          <w:spacing w:val="-9"/>
          <w:w w:val="105"/>
          <w:sz w:val="14"/>
        </w:rPr>
        <w:t> </w:t>
      </w:r>
      <w:r>
        <w:rPr>
          <w:w w:val="105"/>
          <w:sz w:val="14"/>
        </w:rPr>
        <w:t>Support of</w:t>
      </w:r>
      <w:r>
        <w:rPr>
          <w:spacing w:val="-1"/>
          <w:w w:val="105"/>
          <w:sz w:val="14"/>
        </w:rPr>
        <w:t> </w:t>
      </w:r>
      <w:r>
        <w:rPr>
          <w:w w:val="105"/>
          <w:sz w:val="14"/>
        </w:rPr>
        <w:t>£14k</w:t>
      </w:r>
    </w:p>
    <w:p>
      <w:pPr>
        <w:spacing w:line="264" w:lineRule="auto" w:before="59"/>
        <w:ind w:left="841" w:right="1758" w:firstLine="0"/>
        <w:jc w:val="left"/>
        <w:rPr>
          <w:sz w:val="14"/>
        </w:rPr>
      </w:pPr>
      <w:r>
        <w:rPr>
          <w:w w:val="105"/>
          <w:sz w:val="14"/>
        </w:rPr>
        <w:t>There</w:t>
      </w:r>
      <w:r>
        <w:rPr>
          <w:spacing w:val="-14"/>
          <w:w w:val="105"/>
          <w:sz w:val="14"/>
        </w:rPr>
        <w:t> </w:t>
      </w:r>
      <w:r>
        <w:rPr>
          <w:w w:val="105"/>
          <w:sz w:val="14"/>
        </w:rPr>
        <w:t>were</w:t>
      </w:r>
      <w:r>
        <w:rPr>
          <w:spacing w:val="-13"/>
          <w:w w:val="105"/>
          <w:sz w:val="14"/>
        </w:rPr>
        <w:t> </w:t>
      </w:r>
      <w:r>
        <w:rPr>
          <w:w w:val="105"/>
          <w:sz w:val="14"/>
        </w:rPr>
        <w:t>no</w:t>
      </w:r>
      <w:r>
        <w:rPr>
          <w:spacing w:val="-10"/>
          <w:w w:val="105"/>
          <w:sz w:val="14"/>
        </w:rPr>
        <w:t> </w:t>
      </w:r>
      <w:r>
        <w:rPr>
          <w:w w:val="105"/>
          <w:sz w:val="14"/>
        </w:rPr>
        <w:t>accruals</w:t>
      </w:r>
      <w:r>
        <w:rPr>
          <w:spacing w:val="-13"/>
          <w:w w:val="105"/>
          <w:sz w:val="14"/>
        </w:rPr>
        <w:t> </w:t>
      </w:r>
      <w:r>
        <w:rPr>
          <w:w w:val="105"/>
          <w:sz w:val="14"/>
        </w:rPr>
        <w:t>in</w:t>
      </w:r>
      <w:r>
        <w:rPr>
          <w:spacing w:val="-10"/>
          <w:w w:val="105"/>
          <w:sz w:val="14"/>
        </w:rPr>
        <w:t> </w:t>
      </w:r>
      <w:r>
        <w:rPr>
          <w:w w:val="105"/>
          <w:sz w:val="14"/>
        </w:rPr>
        <w:t>2020-21</w:t>
      </w:r>
      <w:r>
        <w:rPr>
          <w:spacing w:val="-11"/>
          <w:w w:val="105"/>
          <w:sz w:val="14"/>
        </w:rPr>
        <w:t> </w:t>
      </w:r>
      <w:r>
        <w:rPr>
          <w:w w:val="105"/>
          <w:sz w:val="14"/>
        </w:rPr>
        <w:t>as</w:t>
      </w:r>
      <w:r>
        <w:rPr>
          <w:spacing w:val="-11"/>
          <w:w w:val="105"/>
          <w:sz w:val="14"/>
        </w:rPr>
        <w:t> </w:t>
      </w:r>
      <w:r>
        <w:rPr>
          <w:w w:val="105"/>
          <w:sz w:val="14"/>
        </w:rPr>
        <w:t>a</w:t>
      </w:r>
      <w:r>
        <w:rPr>
          <w:spacing w:val="-13"/>
          <w:w w:val="105"/>
          <w:sz w:val="14"/>
        </w:rPr>
        <w:t> </w:t>
      </w:r>
      <w:r>
        <w:rPr>
          <w:w w:val="105"/>
          <w:sz w:val="14"/>
        </w:rPr>
        <w:t>result</w:t>
      </w:r>
      <w:r>
        <w:rPr>
          <w:spacing w:val="-10"/>
          <w:w w:val="105"/>
          <w:sz w:val="14"/>
        </w:rPr>
        <w:t> </w:t>
      </w:r>
      <w:r>
        <w:rPr>
          <w:w w:val="105"/>
          <w:sz w:val="14"/>
        </w:rPr>
        <w:t>of</w:t>
      </w:r>
      <w:r>
        <w:rPr>
          <w:spacing w:val="-13"/>
          <w:w w:val="105"/>
          <w:sz w:val="14"/>
        </w:rPr>
        <w:t> </w:t>
      </w:r>
      <w:r>
        <w:rPr>
          <w:w w:val="105"/>
          <w:sz w:val="14"/>
        </w:rPr>
        <w:t>the</w:t>
      </w:r>
      <w:r>
        <w:rPr>
          <w:spacing w:val="-11"/>
          <w:w w:val="105"/>
          <w:sz w:val="14"/>
        </w:rPr>
        <w:t> </w:t>
      </w:r>
      <w:r>
        <w:rPr>
          <w:w w:val="105"/>
          <w:sz w:val="14"/>
        </w:rPr>
        <w:t>fixed</w:t>
      </w:r>
      <w:r>
        <w:rPr>
          <w:spacing w:val="-14"/>
          <w:w w:val="105"/>
          <w:sz w:val="14"/>
        </w:rPr>
        <w:t> </w:t>
      </w:r>
      <w:r>
        <w:rPr>
          <w:w w:val="105"/>
          <w:sz w:val="14"/>
        </w:rPr>
        <w:t>block</w:t>
      </w:r>
      <w:r>
        <w:rPr>
          <w:spacing w:val="-6"/>
          <w:w w:val="105"/>
          <w:sz w:val="14"/>
        </w:rPr>
        <w:t> </w:t>
      </w:r>
      <w:r>
        <w:rPr>
          <w:w w:val="105"/>
          <w:sz w:val="14"/>
        </w:rPr>
        <w:t>payment</w:t>
      </w:r>
      <w:r>
        <w:rPr>
          <w:spacing w:val="-8"/>
          <w:w w:val="105"/>
          <w:sz w:val="14"/>
        </w:rPr>
        <w:t> </w:t>
      </w:r>
      <w:r>
        <w:rPr>
          <w:w w:val="105"/>
          <w:sz w:val="14"/>
        </w:rPr>
        <w:t>arrangements</w:t>
      </w:r>
      <w:r>
        <w:rPr>
          <w:spacing w:val="-11"/>
          <w:w w:val="105"/>
          <w:sz w:val="14"/>
        </w:rPr>
        <w:t> </w:t>
      </w:r>
      <w:r>
        <w:rPr>
          <w:w w:val="105"/>
          <w:sz w:val="14"/>
        </w:rPr>
        <w:t>with</w:t>
      </w:r>
      <w:r>
        <w:rPr>
          <w:spacing w:val="-16"/>
          <w:w w:val="105"/>
          <w:sz w:val="14"/>
        </w:rPr>
        <w:t> </w:t>
      </w:r>
      <w:r>
        <w:rPr>
          <w:w w:val="105"/>
          <w:sz w:val="14"/>
        </w:rPr>
        <w:t>NHS</w:t>
      </w:r>
      <w:r>
        <w:rPr>
          <w:spacing w:val="-9"/>
          <w:w w:val="105"/>
          <w:sz w:val="14"/>
        </w:rPr>
        <w:t> </w:t>
      </w:r>
      <w:r>
        <w:rPr>
          <w:w w:val="105"/>
          <w:sz w:val="14"/>
        </w:rPr>
        <w:t>providers</w:t>
      </w:r>
      <w:r>
        <w:rPr>
          <w:spacing w:val="-11"/>
          <w:w w:val="105"/>
          <w:sz w:val="14"/>
        </w:rPr>
        <w:t> </w:t>
      </w:r>
      <w:r>
        <w:rPr>
          <w:w w:val="105"/>
          <w:sz w:val="14"/>
        </w:rPr>
        <w:t>during</w:t>
      </w:r>
      <w:r>
        <w:rPr>
          <w:spacing w:val="-11"/>
          <w:w w:val="105"/>
          <w:sz w:val="14"/>
        </w:rPr>
        <w:t> </w:t>
      </w:r>
      <w:r>
        <w:rPr>
          <w:w w:val="105"/>
          <w:sz w:val="14"/>
        </w:rPr>
        <w:t>the</w:t>
      </w:r>
      <w:r>
        <w:rPr>
          <w:spacing w:val="-14"/>
          <w:w w:val="105"/>
          <w:sz w:val="14"/>
        </w:rPr>
        <w:t> </w:t>
      </w:r>
      <w:r>
        <w:rPr>
          <w:w w:val="105"/>
          <w:sz w:val="14"/>
        </w:rPr>
        <w:t>Covid- 19</w:t>
      </w:r>
      <w:r>
        <w:rPr>
          <w:spacing w:val="-2"/>
          <w:w w:val="105"/>
          <w:sz w:val="14"/>
        </w:rPr>
        <w:t> </w:t>
      </w:r>
      <w:r>
        <w:rPr>
          <w:w w:val="105"/>
          <w:sz w:val="14"/>
        </w:rPr>
        <w:t>pandemic</w:t>
      </w:r>
    </w:p>
    <w:p>
      <w:pPr>
        <w:pStyle w:val="BodyText"/>
        <w:spacing w:before="6"/>
        <w:rPr>
          <w:sz w:val="15"/>
        </w:rPr>
      </w:pPr>
    </w:p>
    <w:p>
      <w:pPr>
        <w:spacing w:line="264" w:lineRule="auto" w:before="1"/>
        <w:ind w:left="841" w:right="604" w:hanging="197"/>
        <w:jc w:val="left"/>
        <w:rPr>
          <w:sz w:val="14"/>
        </w:rPr>
      </w:pPr>
      <w:r>
        <w:rPr>
          <w:b/>
          <w:w w:val="105"/>
          <w:sz w:val="14"/>
        </w:rPr>
        <w:t>2*</w:t>
      </w:r>
      <w:r>
        <w:rPr>
          <w:b/>
          <w:spacing w:val="3"/>
          <w:w w:val="105"/>
          <w:sz w:val="14"/>
        </w:rPr>
        <w:t> </w:t>
      </w:r>
      <w:r>
        <w:rPr>
          <w:w w:val="105"/>
          <w:sz w:val="14"/>
        </w:rPr>
        <w:t>Other</w:t>
      </w:r>
      <w:r>
        <w:rPr>
          <w:spacing w:val="-11"/>
          <w:w w:val="105"/>
          <w:sz w:val="14"/>
        </w:rPr>
        <w:t> </w:t>
      </w:r>
      <w:r>
        <w:rPr>
          <w:w w:val="105"/>
          <w:sz w:val="14"/>
        </w:rPr>
        <w:t>payables</w:t>
      </w:r>
      <w:r>
        <w:rPr>
          <w:spacing w:val="-13"/>
          <w:w w:val="105"/>
          <w:sz w:val="14"/>
        </w:rPr>
        <w:t> </w:t>
      </w:r>
      <w:r>
        <w:rPr>
          <w:w w:val="105"/>
          <w:sz w:val="14"/>
        </w:rPr>
        <w:t>include</w:t>
      </w:r>
      <w:r>
        <w:rPr>
          <w:spacing w:val="-14"/>
          <w:w w:val="105"/>
          <w:sz w:val="14"/>
        </w:rPr>
        <w:t> </w:t>
      </w:r>
      <w:r>
        <w:rPr>
          <w:w w:val="105"/>
          <w:sz w:val="14"/>
        </w:rPr>
        <w:t>£48k</w:t>
      </w:r>
      <w:r>
        <w:rPr>
          <w:spacing w:val="-8"/>
          <w:w w:val="105"/>
          <w:sz w:val="14"/>
        </w:rPr>
        <w:t> </w:t>
      </w:r>
      <w:r>
        <w:rPr>
          <w:w w:val="105"/>
          <w:sz w:val="14"/>
        </w:rPr>
        <w:t>outstanding</w:t>
      </w:r>
      <w:r>
        <w:rPr>
          <w:spacing w:val="-14"/>
          <w:w w:val="105"/>
          <w:sz w:val="14"/>
        </w:rPr>
        <w:t> </w:t>
      </w:r>
      <w:r>
        <w:rPr>
          <w:w w:val="105"/>
          <w:sz w:val="14"/>
        </w:rPr>
        <w:t>pension</w:t>
      </w:r>
      <w:r>
        <w:rPr>
          <w:spacing w:val="-12"/>
          <w:w w:val="105"/>
          <w:sz w:val="14"/>
        </w:rPr>
        <w:t> </w:t>
      </w:r>
      <w:r>
        <w:rPr>
          <w:w w:val="105"/>
          <w:sz w:val="14"/>
        </w:rPr>
        <w:t>contributions</w:t>
      </w:r>
      <w:r>
        <w:rPr>
          <w:spacing w:val="-11"/>
          <w:w w:val="105"/>
          <w:sz w:val="14"/>
        </w:rPr>
        <w:t> </w:t>
      </w:r>
      <w:r>
        <w:rPr>
          <w:w w:val="105"/>
          <w:sz w:val="14"/>
        </w:rPr>
        <w:t>at</w:t>
      </w:r>
      <w:r>
        <w:rPr>
          <w:spacing w:val="-11"/>
          <w:w w:val="105"/>
          <w:sz w:val="14"/>
        </w:rPr>
        <w:t> </w:t>
      </w:r>
      <w:r>
        <w:rPr>
          <w:w w:val="105"/>
          <w:sz w:val="14"/>
        </w:rPr>
        <w:t>31</w:t>
      </w:r>
      <w:r>
        <w:rPr>
          <w:spacing w:val="-13"/>
          <w:w w:val="105"/>
          <w:sz w:val="14"/>
        </w:rPr>
        <w:t> </w:t>
      </w:r>
      <w:r>
        <w:rPr>
          <w:w w:val="105"/>
          <w:sz w:val="14"/>
        </w:rPr>
        <w:t>March</w:t>
      </w:r>
      <w:r>
        <w:rPr>
          <w:spacing w:val="-14"/>
          <w:w w:val="105"/>
          <w:sz w:val="14"/>
        </w:rPr>
        <w:t> </w:t>
      </w:r>
      <w:r>
        <w:rPr>
          <w:w w:val="105"/>
          <w:sz w:val="14"/>
        </w:rPr>
        <w:t>2022</w:t>
      </w:r>
      <w:r>
        <w:rPr>
          <w:spacing w:val="-14"/>
          <w:w w:val="105"/>
          <w:sz w:val="14"/>
        </w:rPr>
        <w:t> </w:t>
      </w:r>
      <w:r>
        <w:rPr>
          <w:w w:val="105"/>
          <w:sz w:val="14"/>
        </w:rPr>
        <w:t>(31</w:t>
      </w:r>
      <w:r>
        <w:rPr>
          <w:spacing w:val="-14"/>
          <w:w w:val="105"/>
          <w:sz w:val="14"/>
        </w:rPr>
        <w:t> </w:t>
      </w:r>
      <w:r>
        <w:rPr>
          <w:w w:val="105"/>
          <w:sz w:val="14"/>
        </w:rPr>
        <w:t>March</w:t>
      </w:r>
      <w:r>
        <w:rPr>
          <w:spacing w:val="-12"/>
          <w:w w:val="105"/>
          <w:sz w:val="14"/>
        </w:rPr>
        <w:t> </w:t>
      </w:r>
      <w:r>
        <w:rPr>
          <w:w w:val="105"/>
          <w:sz w:val="14"/>
        </w:rPr>
        <w:t>2021:</w:t>
      </w:r>
      <w:r>
        <w:rPr>
          <w:spacing w:val="-10"/>
          <w:w w:val="105"/>
          <w:sz w:val="14"/>
        </w:rPr>
        <w:t> </w:t>
      </w:r>
      <w:r>
        <w:rPr>
          <w:w w:val="105"/>
          <w:sz w:val="14"/>
        </w:rPr>
        <w:t>£201k).</w:t>
      </w:r>
      <w:r>
        <w:rPr>
          <w:spacing w:val="-10"/>
          <w:w w:val="105"/>
          <w:sz w:val="14"/>
        </w:rPr>
        <w:t> </w:t>
      </w:r>
      <w:r>
        <w:rPr>
          <w:w w:val="105"/>
          <w:sz w:val="14"/>
        </w:rPr>
        <w:t>This</w:t>
      </w:r>
      <w:r>
        <w:rPr>
          <w:spacing w:val="-12"/>
          <w:w w:val="105"/>
          <w:sz w:val="14"/>
        </w:rPr>
        <w:t> </w:t>
      </w:r>
      <w:r>
        <w:rPr>
          <w:w w:val="105"/>
          <w:sz w:val="14"/>
        </w:rPr>
        <w:t>is</w:t>
      </w:r>
      <w:r>
        <w:rPr>
          <w:spacing w:val="-12"/>
          <w:w w:val="105"/>
          <w:sz w:val="14"/>
        </w:rPr>
        <w:t> </w:t>
      </w:r>
      <w:r>
        <w:rPr>
          <w:w w:val="105"/>
          <w:sz w:val="14"/>
        </w:rPr>
        <w:t>lower</w:t>
      </w:r>
      <w:r>
        <w:rPr>
          <w:spacing w:val="-13"/>
          <w:w w:val="105"/>
          <w:sz w:val="14"/>
        </w:rPr>
        <w:t> </w:t>
      </w:r>
      <w:r>
        <w:rPr>
          <w:w w:val="105"/>
          <w:sz w:val="14"/>
        </w:rPr>
        <w:t>in</w:t>
      </w:r>
      <w:r>
        <w:rPr>
          <w:spacing w:val="-14"/>
          <w:w w:val="105"/>
          <w:sz w:val="14"/>
        </w:rPr>
        <w:t> </w:t>
      </w:r>
      <w:r>
        <w:rPr>
          <w:w w:val="105"/>
          <w:sz w:val="14"/>
        </w:rPr>
        <w:t>2021/22</w:t>
      </w:r>
      <w:r>
        <w:rPr>
          <w:spacing w:val="-14"/>
          <w:w w:val="105"/>
          <w:sz w:val="14"/>
        </w:rPr>
        <w:t> </w:t>
      </w:r>
      <w:r>
        <w:rPr>
          <w:w w:val="105"/>
          <w:sz w:val="14"/>
        </w:rPr>
        <w:t>due</w:t>
      </w:r>
      <w:r>
        <w:rPr>
          <w:spacing w:val="-14"/>
          <w:w w:val="105"/>
          <w:sz w:val="14"/>
        </w:rPr>
        <w:t> </w:t>
      </w:r>
      <w:r>
        <w:rPr>
          <w:w w:val="105"/>
          <w:sz w:val="14"/>
        </w:rPr>
        <w:t>to</w:t>
      </w:r>
      <w:r>
        <w:rPr>
          <w:spacing w:val="-12"/>
          <w:w w:val="105"/>
          <w:sz w:val="14"/>
        </w:rPr>
        <w:t> </w:t>
      </w:r>
      <w:r>
        <w:rPr>
          <w:w w:val="105"/>
          <w:sz w:val="14"/>
        </w:rPr>
        <w:t>an overpayment</w:t>
      </w:r>
      <w:r>
        <w:rPr>
          <w:spacing w:val="-1"/>
          <w:w w:val="105"/>
          <w:sz w:val="14"/>
        </w:rPr>
        <w:t> </w:t>
      </w:r>
      <w:r>
        <w:rPr>
          <w:w w:val="105"/>
          <w:sz w:val="14"/>
        </w:rPr>
        <w:t>on</w:t>
      </w:r>
      <w:r>
        <w:rPr>
          <w:spacing w:val="-4"/>
          <w:w w:val="105"/>
          <w:sz w:val="14"/>
        </w:rPr>
        <w:t> </w:t>
      </w:r>
      <w:r>
        <w:rPr>
          <w:w w:val="105"/>
          <w:sz w:val="14"/>
        </w:rPr>
        <w:t>the</w:t>
      </w:r>
      <w:r>
        <w:rPr>
          <w:spacing w:val="-5"/>
          <w:w w:val="105"/>
          <w:sz w:val="14"/>
        </w:rPr>
        <w:t> </w:t>
      </w:r>
      <w:r>
        <w:rPr>
          <w:w w:val="105"/>
          <w:sz w:val="14"/>
        </w:rPr>
        <w:t>GP</w:t>
      </w:r>
      <w:r>
        <w:rPr>
          <w:spacing w:val="1"/>
          <w:w w:val="105"/>
          <w:sz w:val="14"/>
        </w:rPr>
        <w:t> </w:t>
      </w:r>
      <w:r>
        <w:rPr>
          <w:w w:val="105"/>
          <w:sz w:val="14"/>
        </w:rPr>
        <w:t>element</w:t>
      </w:r>
      <w:r>
        <w:rPr>
          <w:spacing w:val="-3"/>
          <w:w w:val="105"/>
          <w:sz w:val="14"/>
        </w:rPr>
        <w:t> </w:t>
      </w:r>
      <w:r>
        <w:rPr>
          <w:w w:val="105"/>
          <w:sz w:val="14"/>
        </w:rPr>
        <w:t>which</w:t>
      </w:r>
      <w:r>
        <w:rPr>
          <w:spacing w:val="-2"/>
          <w:w w:val="105"/>
          <w:sz w:val="14"/>
        </w:rPr>
        <w:t> </w:t>
      </w:r>
      <w:r>
        <w:rPr>
          <w:w w:val="105"/>
          <w:sz w:val="14"/>
        </w:rPr>
        <w:t>has</w:t>
      </w:r>
      <w:r>
        <w:rPr>
          <w:spacing w:val="-4"/>
          <w:w w:val="105"/>
          <w:sz w:val="14"/>
        </w:rPr>
        <w:t> </w:t>
      </w:r>
      <w:r>
        <w:rPr>
          <w:w w:val="105"/>
          <w:sz w:val="14"/>
        </w:rPr>
        <w:t>been</w:t>
      </w:r>
      <w:r>
        <w:rPr>
          <w:spacing w:val="-2"/>
          <w:w w:val="105"/>
          <w:sz w:val="14"/>
        </w:rPr>
        <w:t> </w:t>
      </w:r>
      <w:r>
        <w:rPr>
          <w:w w:val="105"/>
          <w:sz w:val="14"/>
        </w:rPr>
        <w:t>reported</w:t>
      </w:r>
      <w:r>
        <w:rPr>
          <w:spacing w:val="-2"/>
          <w:w w:val="105"/>
          <w:sz w:val="14"/>
        </w:rPr>
        <w:t> </w:t>
      </w:r>
      <w:r>
        <w:rPr>
          <w:w w:val="105"/>
          <w:sz w:val="14"/>
        </w:rPr>
        <w:t>within</w:t>
      </w:r>
      <w:r>
        <w:rPr>
          <w:spacing w:val="-5"/>
          <w:w w:val="105"/>
          <w:sz w:val="14"/>
        </w:rPr>
        <w:t> </w:t>
      </w:r>
      <w:r>
        <w:rPr>
          <w:w w:val="105"/>
          <w:sz w:val="14"/>
        </w:rPr>
        <w:t>receivables</w:t>
      </w:r>
      <w:r>
        <w:rPr>
          <w:spacing w:val="-3"/>
          <w:w w:val="105"/>
          <w:sz w:val="14"/>
        </w:rPr>
        <w:t> </w:t>
      </w:r>
      <w:r>
        <w:rPr>
          <w:w w:val="105"/>
          <w:sz w:val="14"/>
        </w:rPr>
        <w:t>and</w:t>
      </w:r>
      <w:r>
        <w:rPr>
          <w:spacing w:val="-3"/>
          <w:w w:val="105"/>
          <w:sz w:val="14"/>
        </w:rPr>
        <w:t> </w:t>
      </w:r>
      <w:r>
        <w:rPr>
          <w:w w:val="105"/>
          <w:sz w:val="14"/>
        </w:rPr>
        <w:t>accruals.</w:t>
      </w:r>
    </w:p>
    <w:p>
      <w:pPr>
        <w:spacing w:after="0" w:line="264" w:lineRule="auto"/>
        <w:jc w:val="left"/>
        <w:rPr>
          <w:sz w:val="14"/>
        </w:rPr>
        <w:sectPr>
          <w:pgSz w:w="11920" w:h="16850"/>
          <w:pgMar w:header="0" w:footer="369" w:top="1080" w:bottom="560" w:left="740" w:right="520"/>
        </w:sectPr>
      </w:pPr>
    </w:p>
    <w:p>
      <w:pPr>
        <w:spacing w:before="73"/>
        <w:ind w:left="320" w:right="0" w:firstLine="0"/>
        <w:jc w:val="left"/>
        <w:rPr>
          <w:sz w:val="15"/>
        </w:rPr>
      </w:pPr>
      <w:r>
        <w:rPr>
          <w:sz w:val="15"/>
        </w:rPr>
        <w:t>NHS North Lincolnshire CCG - Annual Accounts 2021-22</w:t>
      </w:r>
    </w:p>
    <w:p>
      <w:pPr>
        <w:pStyle w:val="BodyText"/>
        <w:spacing w:before="8"/>
        <w:rPr>
          <w:sz w:val="17"/>
        </w:rPr>
      </w:pPr>
    </w:p>
    <w:p>
      <w:pPr>
        <w:pStyle w:val="ListParagraph"/>
        <w:numPr>
          <w:ilvl w:val="0"/>
          <w:numId w:val="35"/>
        </w:numPr>
        <w:tabs>
          <w:tab w:pos="537" w:val="left" w:leader="none"/>
        </w:tabs>
        <w:spacing w:line="240" w:lineRule="auto" w:before="0" w:after="0"/>
        <w:ind w:left="536" w:right="0" w:hanging="219"/>
        <w:jc w:val="left"/>
        <w:rPr>
          <w:b/>
          <w:sz w:val="15"/>
        </w:rPr>
      </w:pPr>
      <w:r>
        <w:rPr>
          <w:b/>
          <w:sz w:val="15"/>
        </w:rPr>
        <w:t>Financial</w:t>
      </w:r>
      <w:r>
        <w:rPr>
          <w:b/>
          <w:spacing w:val="-1"/>
          <w:sz w:val="15"/>
        </w:rPr>
        <w:t> </w:t>
      </w:r>
      <w:r>
        <w:rPr>
          <w:b/>
          <w:sz w:val="15"/>
        </w:rPr>
        <w:t>instruments</w:t>
      </w:r>
    </w:p>
    <w:p>
      <w:pPr>
        <w:pStyle w:val="BodyText"/>
        <w:spacing w:before="2"/>
        <w:rPr>
          <w:b/>
          <w:sz w:val="18"/>
        </w:rPr>
      </w:pPr>
    </w:p>
    <w:p>
      <w:pPr>
        <w:pStyle w:val="ListParagraph"/>
        <w:numPr>
          <w:ilvl w:val="1"/>
          <w:numId w:val="35"/>
        </w:numPr>
        <w:tabs>
          <w:tab w:pos="667" w:val="left" w:leader="none"/>
        </w:tabs>
        <w:spacing w:line="240" w:lineRule="auto" w:before="1" w:after="0"/>
        <w:ind w:left="666" w:right="0" w:hanging="349"/>
        <w:jc w:val="left"/>
        <w:rPr>
          <w:b/>
          <w:sz w:val="15"/>
        </w:rPr>
      </w:pPr>
      <w:r>
        <w:rPr>
          <w:b/>
          <w:sz w:val="15"/>
        </w:rPr>
        <w:t>Financial risk management</w:t>
      </w:r>
    </w:p>
    <w:p>
      <w:pPr>
        <w:pStyle w:val="BodyText"/>
        <w:spacing w:before="2"/>
        <w:rPr>
          <w:b/>
          <w:sz w:val="18"/>
        </w:rPr>
      </w:pPr>
    </w:p>
    <w:p>
      <w:pPr>
        <w:spacing w:line="261" w:lineRule="auto" w:before="0"/>
        <w:ind w:left="320" w:right="1506" w:firstLine="0"/>
        <w:jc w:val="left"/>
        <w:rPr>
          <w:sz w:val="15"/>
        </w:rPr>
      </w:pPr>
      <w:r>
        <w:rPr>
          <w:sz w:val="15"/>
        </w:rPr>
        <w:t>Financial reporting standard IFRS 7 requires disclosure of the role that financial instruments have had during the period in creating or changing the risks a body faces in undertaking its activities.</w:t>
      </w:r>
    </w:p>
    <w:p>
      <w:pPr>
        <w:pStyle w:val="BodyText"/>
        <w:rPr>
          <w:sz w:val="16"/>
        </w:rPr>
      </w:pPr>
    </w:p>
    <w:p>
      <w:pPr>
        <w:pStyle w:val="BodyText"/>
        <w:spacing w:before="5"/>
        <w:rPr>
          <w:sz w:val="17"/>
        </w:rPr>
      </w:pPr>
    </w:p>
    <w:p>
      <w:pPr>
        <w:spacing w:line="264" w:lineRule="auto" w:before="0"/>
        <w:ind w:left="320" w:right="1039" w:firstLine="0"/>
        <w:jc w:val="left"/>
        <w:rPr>
          <w:sz w:val="15"/>
        </w:rPr>
      </w:pPr>
      <w:r>
        <w:rPr>
          <w:sz w:val="15"/>
        </w:rPr>
        <w:t>Because NHS clinical commissioning group is financed through parliamentary funding, it is not exposed to the degree of financial risk faced by business entities. Also, financial instruments play a much more limited role in creating or changing risk than would be typical of listed companies, to which the financial reporting standards mainly apply. The clinical commissioning group has limited powers to borrow or invest surplus funds and financial assets and liabilities are generated by day-to-day operational activities rather than being held to change the risks facing the clinical commissioning group in undertaking its activities.</w:t>
      </w:r>
    </w:p>
    <w:p>
      <w:pPr>
        <w:pStyle w:val="BodyText"/>
        <w:spacing w:before="10"/>
        <w:rPr>
          <w:sz w:val="16"/>
        </w:rPr>
      </w:pPr>
    </w:p>
    <w:p>
      <w:pPr>
        <w:spacing w:line="264" w:lineRule="auto" w:before="0"/>
        <w:ind w:left="320" w:right="1056" w:firstLine="0"/>
        <w:jc w:val="left"/>
        <w:rPr>
          <w:sz w:val="15"/>
        </w:rPr>
      </w:pPr>
      <w:r>
        <w:rPr>
          <w:sz w:val="15"/>
        </w:rPr>
        <w:t>Treasury management operations are carried out by the finance department, within parameters defined formally within the NHS clinical commissioning group standing financial instructions and policies agreed by the Governing Body. Treasury activity is subject to review by the NHS clinical commissioning group and internal auditors.</w:t>
      </w:r>
    </w:p>
    <w:p>
      <w:pPr>
        <w:pStyle w:val="BodyText"/>
        <w:spacing w:before="2"/>
        <w:rPr>
          <w:sz w:val="16"/>
        </w:rPr>
      </w:pPr>
    </w:p>
    <w:p>
      <w:pPr>
        <w:pStyle w:val="ListParagraph"/>
        <w:numPr>
          <w:ilvl w:val="2"/>
          <w:numId w:val="35"/>
        </w:numPr>
        <w:tabs>
          <w:tab w:pos="797" w:val="left" w:leader="none"/>
        </w:tabs>
        <w:spacing w:line="240" w:lineRule="auto" w:before="1" w:after="0"/>
        <w:ind w:left="796" w:right="0" w:hanging="479"/>
        <w:jc w:val="left"/>
        <w:rPr>
          <w:b/>
          <w:sz w:val="15"/>
        </w:rPr>
      </w:pPr>
      <w:r>
        <w:rPr>
          <w:b/>
          <w:sz w:val="15"/>
        </w:rPr>
        <w:t>Currency</w:t>
      </w:r>
      <w:r>
        <w:rPr>
          <w:b/>
          <w:spacing w:val="-4"/>
          <w:sz w:val="15"/>
        </w:rPr>
        <w:t> </w:t>
      </w:r>
      <w:r>
        <w:rPr>
          <w:b/>
          <w:sz w:val="15"/>
        </w:rPr>
        <w:t>risk</w:t>
      </w:r>
    </w:p>
    <w:p>
      <w:pPr>
        <w:pStyle w:val="BodyText"/>
        <w:spacing w:before="2"/>
        <w:rPr>
          <w:b/>
          <w:sz w:val="18"/>
        </w:rPr>
      </w:pPr>
    </w:p>
    <w:p>
      <w:pPr>
        <w:spacing w:line="266" w:lineRule="auto" w:before="0"/>
        <w:ind w:left="320" w:right="1265" w:firstLine="0"/>
        <w:jc w:val="left"/>
        <w:rPr>
          <w:sz w:val="15"/>
        </w:rPr>
      </w:pPr>
      <w:r>
        <w:rPr>
          <w:sz w:val="15"/>
        </w:rPr>
        <w:t>The NHS clinical commissioning group is principally a domestic organisation with the great majority of transactions, assets and liabilities being in the UK and sterling based. The NHS clinical commissioning group has no overseas operations. The NHS clinical commissioning group and therefore has low exposure to currency rate fluctuations.</w:t>
      </w:r>
    </w:p>
    <w:p>
      <w:pPr>
        <w:pStyle w:val="BodyText"/>
        <w:rPr>
          <w:sz w:val="16"/>
        </w:rPr>
      </w:pPr>
    </w:p>
    <w:p>
      <w:pPr>
        <w:pStyle w:val="ListParagraph"/>
        <w:numPr>
          <w:ilvl w:val="2"/>
          <w:numId w:val="35"/>
        </w:numPr>
        <w:tabs>
          <w:tab w:pos="797" w:val="left" w:leader="none"/>
        </w:tabs>
        <w:spacing w:line="240" w:lineRule="auto" w:before="0" w:after="0"/>
        <w:ind w:left="796" w:right="0" w:hanging="479"/>
        <w:jc w:val="left"/>
        <w:rPr>
          <w:b/>
          <w:sz w:val="15"/>
        </w:rPr>
      </w:pPr>
      <w:r>
        <w:rPr>
          <w:b/>
          <w:sz w:val="15"/>
        </w:rPr>
        <w:t>Interest rate</w:t>
      </w:r>
      <w:r>
        <w:rPr>
          <w:b/>
          <w:spacing w:val="-5"/>
          <w:sz w:val="15"/>
        </w:rPr>
        <w:t> </w:t>
      </w:r>
      <w:r>
        <w:rPr>
          <w:b/>
          <w:sz w:val="15"/>
        </w:rPr>
        <w:t>risk</w:t>
      </w:r>
    </w:p>
    <w:p>
      <w:pPr>
        <w:pStyle w:val="BodyText"/>
        <w:rPr>
          <w:b/>
          <w:sz w:val="16"/>
        </w:rPr>
      </w:pPr>
    </w:p>
    <w:p>
      <w:pPr>
        <w:pStyle w:val="BodyText"/>
        <w:rPr>
          <w:b/>
          <w:sz w:val="16"/>
        </w:rPr>
      </w:pPr>
    </w:p>
    <w:p>
      <w:pPr>
        <w:pStyle w:val="BodyText"/>
        <w:spacing w:before="4"/>
        <w:rPr>
          <w:b/>
          <w:sz w:val="19"/>
        </w:rPr>
      </w:pPr>
    </w:p>
    <w:p>
      <w:pPr>
        <w:spacing w:line="266" w:lineRule="auto" w:before="0"/>
        <w:ind w:left="320" w:right="906" w:firstLine="0"/>
        <w:jc w:val="both"/>
        <w:rPr>
          <w:sz w:val="15"/>
        </w:rPr>
      </w:pPr>
      <w:r>
        <w:rPr>
          <w:sz w:val="15"/>
        </w:rPr>
        <w:t>The clinical commissioning group borrows from government for capital expenditure, subject to affordability as confirmed by NHS England. The borrowings are for 1 to 25 years, in line with the life of the associated assets, and interest is charged at the National Loans Fund rate, fixed for the life of the loan. The clinical commissioning group therefore has low exposure to interest rate fluctuations.</w:t>
      </w:r>
    </w:p>
    <w:p>
      <w:pPr>
        <w:pStyle w:val="BodyText"/>
        <w:rPr>
          <w:sz w:val="16"/>
        </w:rPr>
      </w:pPr>
    </w:p>
    <w:p>
      <w:pPr>
        <w:pStyle w:val="ListParagraph"/>
        <w:numPr>
          <w:ilvl w:val="2"/>
          <w:numId w:val="35"/>
        </w:numPr>
        <w:tabs>
          <w:tab w:pos="797" w:val="left" w:leader="none"/>
        </w:tabs>
        <w:spacing w:line="240" w:lineRule="auto" w:before="0" w:after="0"/>
        <w:ind w:left="796" w:right="0" w:hanging="479"/>
        <w:jc w:val="left"/>
        <w:rPr>
          <w:b/>
          <w:sz w:val="15"/>
        </w:rPr>
      </w:pPr>
      <w:r>
        <w:rPr>
          <w:b/>
          <w:sz w:val="15"/>
        </w:rPr>
        <w:t>Credit</w:t>
      </w:r>
      <w:r>
        <w:rPr>
          <w:b/>
          <w:spacing w:val="-1"/>
          <w:sz w:val="15"/>
        </w:rPr>
        <w:t> </w:t>
      </w:r>
      <w:r>
        <w:rPr>
          <w:b/>
          <w:sz w:val="15"/>
        </w:rPr>
        <w:t>risk</w:t>
      </w:r>
    </w:p>
    <w:p>
      <w:pPr>
        <w:pStyle w:val="BodyText"/>
        <w:rPr>
          <w:b/>
          <w:sz w:val="16"/>
        </w:rPr>
      </w:pPr>
    </w:p>
    <w:p>
      <w:pPr>
        <w:spacing w:line="266" w:lineRule="auto" w:before="126"/>
        <w:ind w:left="320" w:right="1324" w:firstLine="0"/>
        <w:jc w:val="left"/>
        <w:rPr>
          <w:sz w:val="15"/>
        </w:rPr>
      </w:pPr>
      <w:r>
        <w:rPr>
          <w:sz w:val="15"/>
        </w:rPr>
        <w:t>Because the majority of the NHS clinical commissioning group and revenue comes parliamentary funding, NHS clinical commissioning group has low exposure to credit risk. The maximum exposures as at the end of the financial year are in receivables from customers, as disclosed in the trade and other receivables note.</w:t>
      </w:r>
    </w:p>
    <w:p>
      <w:pPr>
        <w:pStyle w:val="BodyText"/>
        <w:rPr>
          <w:sz w:val="16"/>
        </w:rPr>
      </w:pPr>
    </w:p>
    <w:p>
      <w:pPr>
        <w:pStyle w:val="ListParagraph"/>
        <w:numPr>
          <w:ilvl w:val="2"/>
          <w:numId w:val="35"/>
        </w:numPr>
        <w:tabs>
          <w:tab w:pos="797" w:val="left" w:leader="none"/>
        </w:tabs>
        <w:spacing w:line="240" w:lineRule="auto" w:before="0" w:after="0"/>
        <w:ind w:left="796" w:right="0" w:hanging="479"/>
        <w:jc w:val="left"/>
        <w:rPr>
          <w:b/>
          <w:sz w:val="15"/>
        </w:rPr>
      </w:pPr>
      <w:r>
        <w:rPr>
          <w:b/>
          <w:sz w:val="15"/>
        </w:rPr>
        <w:t>Liquidity</w:t>
      </w:r>
      <w:r>
        <w:rPr>
          <w:b/>
          <w:spacing w:val="-6"/>
          <w:sz w:val="15"/>
        </w:rPr>
        <w:t> </w:t>
      </w:r>
      <w:r>
        <w:rPr>
          <w:b/>
          <w:sz w:val="15"/>
        </w:rPr>
        <w:t>risk</w:t>
      </w:r>
    </w:p>
    <w:p>
      <w:pPr>
        <w:pStyle w:val="BodyText"/>
        <w:rPr>
          <w:b/>
          <w:sz w:val="16"/>
        </w:rPr>
      </w:pPr>
    </w:p>
    <w:p>
      <w:pPr>
        <w:pStyle w:val="BodyText"/>
        <w:spacing w:before="8"/>
        <w:rPr>
          <w:b/>
          <w:sz w:val="18"/>
        </w:rPr>
      </w:pPr>
    </w:p>
    <w:p>
      <w:pPr>
        <w:spacing w:line="266" w:lineRule="auto" w:before="0"/>
        <w:ind w:left="320" w:right="723" w:firstLine="0"/>
        <w:jc w:val="both"/>
        <w:rPr>
          <w:sz w:val="15"/>
        </w:rPr>
      </w:pPr>
      <w:r>
        <w:rPr>
          <w:sz w:val="15"/>
        </w:rPr>
        <w:t>NHS clinical commissioning group is required to operate within revenue and capital resource limits, which are financed from resources voted annually by Parliament. The NHS clinical commissioning group draws down cash to cover expenditure, as the need arises. The NHS clinical commissioning group is not, therefore, exposed to significant liquidity risks.</w:t>
      </w:r>
    </w:p>
    <w:p>
      <w:pPr>
        <w:pStyle w:val="BodyText"/>
        <w:rPr>
          <w:sz w:val="16"/>
        </w:rPr>
      </w:pPr>
    </w:p>
    <w:p>
      <w:pPr>
        <w:pStyle w:val="ListParagraph"/>
        <w:numPr>
          <w:ilvl w:val="2"/>
          <w:numId w:val="35"/>
        </w:numPr>
        <w:tabs>
          <w:tab w:pos="797" w:val="left" w:leader="none"/>
        </w:tabs>
        <w:spacing w:line="240" w:lineRule="auto" w:before="0" w:after="0"/>
        <w:ind w:left="796" w:right="0" w:hanging="479"/>
        <w:jc w:val="left"/>
        <w:rPr>
          <w:b/>
          <w:sz w:val="15"/>
        </w:rPr>
      </w:pPr>
      <w:r>
        <w:rPr>
          <w:b/>
          <w:sz w:val="15"/>
        </w:rPr>
        <w:t>Financial</w:t>
      </w:r>
      <w:r>
        <w:rPr>
          <w:b/>
          <w:spacing w:val="-1"/>
          <w:sz w:val="15"/>
        </w:rPr>
        <w:t> </w:t>
      </w:r>
      <w:r>
        <w:rPr>
          <w:b/>
          <w:sz w:val="15"/>
        </w:rPr>
        <w:t>Instruments</w:t>
      </w:r>
    </w:p>
    <w:p>
      <w:pPr>
        <w:pStyle w:val="BodyText"/>
        <w:rPr>
          <w:b/>
          <w:sz w:val="16"/>
        </w:rPr>
      </w:pPr>
    </w:p>
    <w:p>
      <w:pPr>
        <w:pStyle w:val="BodyText"/>
        <w:spacing w:before="9"/>
        <w:rPr>
          <w:b/>
          <w:sz w:val="12"/>
        </w:rPr>
      </w:pPr>
    </w:p>
    <w:p>
      <w:pPr>
        <w:spacing w:line="264" w:lineRule="auto" w:before="0"/>
        <w:ind w:left="320" w:right="1023" w:firstLine="0"/>
        <w:jc w:val="left"/>
        <w:rPr>
          <w:sz w:val="15"/>
        </w:rPr>
      </w:pPr>
      <w:r>
        <w:rPr>
          <w:sz w:val="15"/>
        </w:rPr>
        <w:t>As the cash requirements of NHS England are met through the Estimate process, financial instruments play a more limited role in creating and managing risk than would apply to a non-public sector body. The majority of financial instruments relate to contracts to buy non- financial items in line with NHS England's expected purchase and usage requirements and NHS England is therefore exposed to little credit, liquidity or market</w:t>
      </w:r>
      <w:r>
        <w:rPr>
          <w:spacing w:val="2"/>
          <w:sz w:val="15"/>
        </w:rPr>
        <w:t> </w:t>
      </w:r>
      <w:r>
        <w:rPr>
          <w:sz w:val="15"/>
        </w:rPr>
        <w:t>risk.</w:t>
      </w:r>
    </w:p>
    <w:p>
      <w:pPr>
        <w:spacing w:after="0" w:line="264" w:lineRule="auto"/>
        <w:jc w:val="left"/>
        <w:rPr>
          <w:sz w:val="15"/>
        </w:rPr>
        <w:sectPr>
          <w:pgSz w:w="11920" w:h="16850"/>
          <w:pgMar w:header="0" w:footer="369" w:top="1000" w:bottom="660" w:left="740" w:right="520"/>
        </w:sectPr>
      </w:pPr>
    </w:p>
    <w:tbl>
      <w:tblPr>
        <w:tblW w:w="0" w:type="auto"/>
        <w:jc w:val="left"/>
        <w:tblInd w:w="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1"/>
        <w:gridCol w:w="242"/>
        <w:gridCol w:w="49"/>
        <w:gridCol w:w="1068"/>
        <w:gridCol w:w="1118"/>
        <w:gridCol w:w="1005"/>
        <w:gridCol w:w="1096"/>
        <w:gridCol w:w="1103"/>
      </w:tblGrid>
      <w:tr>
        <w:trPr>
          <w:trHeight w:val="173" w:hRule="atLeast"/>
        </w:trPr>
        <w:tc>
          <w:tcPr>
            <w:tcW w:w="4221" w:type="dxa"/>
          </w:tcPr>
          <w:p>
            <w:pPr>
              <w:pStyle w:val="TableParagraph"/>
              <w:spacing w:line="104" w:lineRule="exact"/>
              <w:ind w:left="100"/>
              <w:rPr>
                <w:sz w:val="10"/>
              </w:rPr>
            </w:pPr>
            <w:r>
              <w:rPr>
                <w:sz w:val="10"/>
              </w:rPr>
              <w:t>NHS North Lincolnshire CCG - Annual Accounts 2021-22</w:t>
            </w:r>
          </w:p>
        </w:tc>
        <w:tc>
          <w:tcPr>
            <w:tcW w:w="242" w:type="dxa"/>
          </w:tcPr>
          <w:p>
            <w:pPr>
              <w:pStyle w:val="TableParagraph"/>
              <w:rPr>
                <w:rFonts w:ascii="Times New Roman"/>
                <w:sz w:val="10"/>
              </w:rPr>
            </w:pPr>
          </w:p>
        </w:tc>
        <w:tc>
          <w:tcPr>
            <w:tcW w:w="49" w:type="dxa"/>
          </w:tcPr>
          <w:p>
            <w:pPr>
              <w:pStyle w:val="TableParagraph"/>
              <w:rPr>
                <w:rFonts w:ascii="Times New Roman"/>
                <w:sz w:val="10"/>
              </w:rPr>
            </w:pPr>
          </w:p>
        </w:tc>
        <w:tc>
          <w:tcPr>
            <w:tcW w:w="1068" w:type="dxa"/>
          </w:tcPr>
          <w:p>
            <w:pPr>
              <w:pStyle w:val="TableParagraph"/>
              <w:rPr>
                <w:rFonts w:ascii="Times New Roman"/>
                <w:sz w:val="10"/>
              </w:rPr>
            </w:pPr>
          </w:p>
        </w:tc>
        <w:tc>
          <w:tcPr>
            <w:tcW w:w="1118" w:type="dxa"/>
          </w:tcPr>
          <w:p>
            <w:pPr>
              <w:pStyle w:val="TableParagraph"/>
              <w:rPr>
                <w:rFonts w:ascii="Times New Roman"/>
                <w:sz w:val="10"/>
              </w:rPr>
            </w:pPr>
          </w:p>
        </w:tc>
        <w:tc>
          <w:tcPr>
            <w:tcW w:w="1005" w:type="dxa"/>
          </w:tcPr>
          <w:p>
            <w:pPr>
              <w:pStyle w:val="TableParagraph"/>
              <w:rPr>
                <w:rFonts w:ascii="Times New Roman"/>
                <w:sz w:val="10"/>
              </w:rPr>
            </w:pPr>
          </w:p>
        </w:tc>
        <w:tc>
          <w:tcPr>
            <w:tcW w:w="1096" w:type="dxa"/>
          </w:tcPr>
          <w:p>
            <w:pPr>
              <w:pStyle w:val="TableParagraph"/>
              <w:rPr>
                <w:rFonts w:ascii="Times New Roman"/>
                <w:sz w:val="10"/>
              </w:rPr>
            </w:pPr>
          </w:p>
        </w:tc>
        <w:tc>
          <w:tcPr>
            <w:tcW w:w="1103" w:type="dxa"/>
          </w:tcPr>
          <w:p>
            <w:pPr>
              <w:pStyle w:val="TableParagraph"/>
              <w:rPr>
                <w:rFonts w:ascii="Times New Roman"/>
                <w:sz w:val="10"/>
              </w:rPr>
            </w:pPr>
          </w:p>
        </w:tc>
      </w:tr>
      <w:tr>
        <w:trPr>
          <w:trHeight w:val="237" w:hRule="atLeast"/>
        </w:trPr>
        <w:tc>
          <w:tcPr>
            <w:tcW w:w="4221" w:type="dxa"/>
          </w:tcPr>
          <w:p>
            <w:pPr>
              <w:pStyle w:val="TableParagraph"/>
              <w:spacing w:before="50"/>
              <w:ind w:left="100"/>
              <w:rPr>
                <w:b/>
                <w:sz w:val="10"/>
              </w:rPr>
            </w:pPr>
            <w:r>
              <w:rPr>
                <w:b/>
                <w:sz w:val="10"/>
              </w:rPr>
              <w:t>11 Financial instruments cont'd</w:t>
            </w:r>
          </w:p>
        </w:tc>
        <w:tc>
          <w:tcPr>
            <w:tcW w:w="242" w:type="dxa"/>
          </w:tcPr>
          <w:p>
            <w:pPr>
              <w:pStyle w:val="TableParagraph"/>
              <w:rPr>
                <w:rFonts w:ascii="Times New Roman"/>
                <w:sz w:val="10"/>
              </w:rPr>
            </w:pPr>
          </w:p>
        </w:tc>
        <w:tc>
          <w:tcPr>
            <w:tcW w:w="49" w:type="dxa"/>
          </w:tcPr>
          <w:p>
            <w:pPr>
              <w:pStyle w:val="TableParagraph"/>
              <w:rPr>
                <w:rFonts w:ascii="Times New Roman"/>
                <w:sz w:val="10"/>
              </w:rPr>
            </w:pPr>
          </w:p>
        </w:tc>
        <w:tc>
          <w:tcPr>
            <w:tcW w:w="1068" w:type="dxa"/>
          </w:tcPr>
          <w:p>
            <w:pPr>
              <w:pStyle w:val="TableParagraph"/>
              <w:rPr>
                <w:rFonts w:ascii="Times New Roman"/>
                <w:sz w:val="10"/>
              </w:rPr>
            </w:pPr>
          </w:p>
        </w:tc>
        <w:tc>
          <w:tcPr>
            <w:tcW w:w="1118" w:type="dxa"/>
          </w:tcPr>
          <w:p>
            <w:pPr>
              <w:pStyle w:val="TableParagraph"/>
              <w:rPr>
                <w:rFonts w:ascii="Times New Roman"/>
                <w:sz w:val="10"/>
              </w:rPr>
            </w:pPr>
          </w:p>
        </w:tc>
        <w:tc>
          <w:tcPr>
            <w:tcW w:w="1005" w:type="dxa"/>
          </w:tcPr>
          <w:p>
            <w:pPr>
              <w:pStyle w:val="TableParagraph"/>
              <w:rPr>
                <w:rFonts w:ascii="Times New Roman"/>
                <w:sz w:val="10"/>
              </w:rPr>
            </w:pPr>
          </w:p>
        </w:tc>
        <w:tc>
          <w:tcPr>
            <w:tcW w:w="1096" w:type="dxa"/>
          </w:tcPr>
          <w:p>
            <w:pPr>
              <w:pStyle w:val="TableParagraph"/>
              <w:rPr>
                <w:rFonts w:ascii="Times New Roman"/>
                <w:sz w:val="10"/>
              </w:rPr>
            </w:pPr>
          </w:p>
        </w:tc>
        <w:tc>
          <w:tcPr>
            <w:tcW w:w="1103" w:type="dxa"/>
          </w:tcPr>
          <w:p>
            <w:pPr>
              <w:pStyle w:val="TableParagraph"/>
              <w:rPr>
                <w:rFonts w:ascii="Times New Roman"/>
                <w:sz w:val="10"/>
              </w:rPr>
            </w:pPr>
          </w:p>
        </w:tc>
      </w:tr>
      <w:tr>
        <w:trPr>
          <w:trHeight w:val="235" w:hRule="atLeast"/>
        </w:trPr>
        <w:tc>
          <w:tcPr>
            <w:tcW w:w="4221" w:type="dxa"/>
          </w:tcPr>
          <w:p>
            <w:pPr>
              <w:pStyle w:val="TableParagraph"/>
              <w:spacing w:before="53"/>
              <w:ind w:left="100"/>
              <w:rPr>
                <w:b/>
                <w:sz w:val="10"/>
              </w:rPr>
            </w:pPr>
            <w:r>
              <w:rPr>
                <w:b/>
                <w:sz w:val="10"/>
              </w:rPr>
              <w:t>11.2 Financial assets</w:t>
            </w:r>
          </w:p>
        </w:tc>
        <w:tc>
          <w:tcPr>
            <w:tcW w:w="242" w:type="dxa"/>
          </w:tcPr>
          <w:p>
            <w:pPr>
              <w:pStyle w:val="TableParagraph"/>
              <w:rPr>
                <w:rFonts w:ascii="Times New Roman"/>
                <w:sz w:val="10"/>
              </w:rPr>
            </w:pPr>
          </w:p>
        </w:tc>
        <w:tc>
          <w:tcPr>
            <w:tcW w:w="49" w:type="dxa"/>
          </w:tcPr>
          <w:p>
            <w:pPr>
              <w:pStyle w:val="TableParagraph"/>
              <w:rPr>
                <w:rFonts w:ascii="Times New Roman"/>
                <w:sz w:val="10"/>
              </w:rPr>
            </w:pPr>
          </w:p>
        </w:tc>
        <w:tc>
          <w:tcPr>
            <w:tcW w:w="1068" w:type="dxa"/>
          </w:tcPr>
          <w:p>
            <w:pPr>
              <w:pStyle w:val="TableParagraph"/>
              <w:rPr>
                <w:rFonts w:ascii="Times New Roman"/>
                <w:sz w:val="10"/>
              </w:rPr>
            </w:pPr>
          </w:p>
        </w:tc>
        <w:tc>
          <w:tcPr>
            <w:tcW w:w="1118" w:type="dxa"/>
          </w:tcPr>
          <w:p>
            <w:pPr>
              <w:pStyle w:val="TableParagraph"/>
              <w:rPr>
                <w:rFonts w:ascii="Times New Roman"/>
                <w:sz w:val="10"/>
              </w:rPr>
            </w:pPr>
          </w:p>
        </w:tc>
        <w:tc>
          <w:tcPr>
            <w:tcW w:w="1005" w:type="dxa"/>
          </w:tcPr>
          <w:p>
            <w:pPr>
              <w:pStyle w:val="TableParagraph"/>
              <w:rPr>
                <w:rFonts w:ascii="Times New Roman"/>
                <w:sz w:val="10"/>
              </w:rPr>
            </w:pPr>
          </w:p>
        </w:tc>
        <w:tc>
          <w:tcPr>
            <w:tcW w:w="1096" w:type="dxa"/>
          </w:tcPr>
          <w:p>
            <w:pPr>
              <w:pStyle w:val="TableParagraph"/>
              <w:rPr>
                <w:rFonts w:ascii="Times New Roman"/>
                <w:sz w:val="10"/>
              </w:rPr>
            </w:pPr>
          </w:p>
        </w:tc>
        <w:tc>
          <w:tcPr>
            <w:tcW w:w="1103" w:type="dxa"/>
          </w:tcPr>
          <w:p>
            <w:pPr>
              <w:pStyle w:val="TableParagraph"/>
              <w:rPr>
                <w:rFonts w:ascii="Times New Roman"/>
                <w:sz w:val="10"/>
              </w:rPr>
            </w:pPr>
          </w:p>
        </w:tc>
      </w:tr>
      <w:tr>
        <w:trPr>
          <w:trHeight w:val="298" w:hRule="atLeast"/>
        </w:trPr>
        <w:tc>
          <w:tcPr>
            <w:tcW w:w="4463" w:type="dxa"/>
            <w:gridSpan w:val="2"/>
          </w:tcPr>
          <w:p>
            <w:pPr>
              <w:pStyle w:val="TableParagraph"/>
              <w:spacing w:line="120" w:lineRule="atLeast" w:before="43"/>
              <w:ind w:left="3685" w:right="64" w:hanging="96"/>
              <w:rPr>
                <w:b/>
                <w:sz w:val="10"/>
              </w:rPr>
            </w:pPr>
            <w:r>
              <w:rPr>
                <w:b/>
                <w:sz w:val="10"/>
              </w:rPr>
              <w:t>Financial Assets measured at</w:t>
            </w:r>
          </w:p>
        </w:tc>
        <w:tc>
          <w:tcPr>
            <w:tcW w:w="49" w:type="dxa"/>
          </w:tcPr>
          <w:p>
            <w:pPr>
              <w:pStyle w:val="TableParagraph"/>
              <w:rPr>
                <w:rFonts w:ascii="Times New Roman"/>
                <w:sz w:val="10"/>
              </w:rPr>
            </w:pPr>
          </w:p>
        </w:tc>
        <w:tc>
          <w:tcPr>
            <w:tcW w:w="1068" w:type="dxa"/>
          </w:tcPr>
          <w:p>
            <w:pPr>
              <w:pStyle w:val="TableParagraph"/>
              <w:spacing w:before="7"/>
              <w:rPr>
                <w:sz w:val="14"/>
              </w:rPr>
            </w:pPr>
          </w:p>
          <w:p>
            <w:pPr>
              <w:pStyle w:val="TableParagraph"/>
              <w:spacing w:line="111" w:lineRule="exact"/>
              <w:ind w:left="26" w:right="24"/>
              <w:jc w:val="center"/>
              <w:rPr>
                <w:b/>
                <w:sz w:val="10"/>
              </w:rPr>
            </w:pPr>
            <w:r>
              <w:rPr>
                <w:b/>
                <w:sz w:val="10"/>
              </w:rPr>
              <w:t>Equity Instruments</w:t>
            </w:r>
          </w:p>
        </w:tc>
        <w:tc>
          <w:tcPr>
            <w:tcW w:w="1118" w:type="dxa"/>
          </w:tcPr>
          <w:p>
            <w:pPr>
              <w:pStyle w:val="TableParagraph"/>
              <w:rPr>
                <w:rFonts w:ascii="Times New Roman"/>
                <w:sz w:val="10"/>
              </w:rPr>
            </w:pPr>
          </w:p>
        </w:tc>
        <w:tc>
          <w:tcPr>
            <w:tcW w:w="1005" w:type="dxa"/>
          </w:tcPr>
          <w:p>
            <w:pPr>
              <w:pStyle w:val="TableParagraph"/>
              <w:spacing w:line="120" w:lineRule="atLeast" w:before="43"/>
              <w:ind w:left="203" w:right="88" w:hanging="96"/>
              <w:rPr>
                <w:b/>
                <w:sz w:val="10"/>
              </w:rPr>
            </w:pPr>
            <w:r>
              <w:rPr>
                <w:b/>
                <w:sz w:val="10"/>
              </w:rPr>
              <w:t>Financial Assets measured at</w:t>
            </w:r>
          </w:p>
        </w:tc>
        <w:tc>
          <w:tcPr>
            <w:tcW w:w="1096" w:type="dxa"/>
          </w:tcPr>
          <w:p>
            <w:pPr>
              <w:pStyle w:val="TableParagraph"/>
              <w:spacing w:before="7"/>
              <w:rPr>
                <w:sz w:val="14"/>
              </w:rPr>
            </w:pPr>
          </w:p>
          <w:p>
            <w:pPr>
              <w:pStyle w:val="TableParagraph"/>
              <w:spacing w:line="111" w:lineRule="exact"/>
              <w:ind w:left="48" w:right="24"/>
              <w:jc w:val="center"/>
              <w:rPr>
                <w:b/>
                <w:sz w:val="10"/>
              </w:rPr>
            </w:pPr>
            <w:r>
              <w:rPr>
                <w:b/>
                <w:sz w:val="10"/>
              </w:rPr>
              <w:t>Equity Instruments</w:t>
            </w:r>
          </w:p>
        </w:tc>
        <w:tc>
          <w:tcPr>
            <w:tcW w:w="1103" w:type="dxa"/>
          </w:tcPr>
          <w:p>
            <w:pPr>
              <w:pStyle w:val="TableParagraph"/>
              <w:rPr>
                <w:rFonts w:ascii="Times New Roman"/>
                <w:sz w:val="10"/>
              </w:rPr>
            </w:pPr>
          </w:p>
        </w:tc>
      </w:tr>
      <w:tr>
        <w:trPr>
          <w:trHeight w:val="121" w:hRule="atLeast"/>
        </w:trPr>
        <w:tc>
          <w:tcPr>
            <w:tcW w:w="4463" w:type="dxa"/>
            <w:gridSpan w:val="2"/>
          </w:tcPr>
          <w:p>
            <w:pPr>
              <w:pStyle w:val="TableParagraph"/>
              <w:spacing w:line="101" w:lineRule="exact"/>
              <w:ind w:right="123"/>
              <w:jc w:val="right"/>
              <w:rPr>
                <w:b/>
                <w:sz w:val="10"/>
              </w:rPr>
            </w:pPr>
            <w:r>
              <w:rPr>
                <w:b/>
                <w:sz w:val="10"/>
              </w:rPr>
              <w:t>amortised cost</w:t>
            </w:r>
          </w:p>
        </w:tc>
        <w:tc>
          <w:tcPr>
            <w:tcW w:w="49" w:type="dxa"/>
          </w:tcPr>
          <w:p>
            <w:pPr>
              <w:pStyle w:val="TableParagraph"/>
              <w:rPr>
                <w:rFonts w:ascii="Times New Roman"/>
                <w:sz w:val="6"/>
              </w:rPr>
            </w:pPr>
          </w:p>
        </w:tc>
        <w:tc>
          <w:tcPr>
            <w:tcW w:w="1068" w:type="dxa"/>
          </w:tcPr>
          <w:p>
            <w:pPr>
              <w:pStyle w:val="TableParagraph"/>
              <w:spacing w:line="101" w:lineRule="exact"/>
              <w:ind w:left="26" w:right="24"/>
              <w:jc w:val="center"/>
              <w:rPr>
                <w:b/>
                <w:sz w:val="10"/>
              </w:rPr>
            </w:pPr>
            <w:r>
              <w:rPr>
                <w:b/>
                <w:sz w:val="10"/>
              </w:rPr>
              <w:t>designated at FVOCI</w:t>
            </w:r>
          </w:p>
        </w:tc>
        <w:tc>
          <w:tcPr>
            <w:tcW w:w="1118" w:type="dxa"/>
          </w:tcPr>
          <w:p>
            <w:pPr>
              <w:pStyle w:val="TableParagraph"/>
              <w:spacing w:line="101" w:lineRule="exact"/>
              <w:ind w:left="389" w:right="429"/>
              <w:jc w:val="center"/>
              <w:rPr>
                <w:b/>
                <w:sz w:val="10"/>
              </w:rPr>
            </w:pPr>
            <w:r>
              <w:rPr>
                <w:b/>
                <w:sz w:val="10"/>
              </w:rPr>
              <w:t>Total</w:t>
            </w:r>
          </w:p>
        </w:tc>
        <w:tc>
          <w:tcPr>
            <w:tcW w:w="1005" w:type="dxa"/>
          </w:tcPr>
          <w:p>
            <w:pPr>
              <w:pStyle w:val="TableParagraph"/>
              <w:spacing w:line="101" w:lineRule="exact"/>
              <w:ind w:left="143"/>
              <w:rPr>
                <w:b/>
                <w:sz w:val="10"/>
              </w:rPr>
            </w:pPr>
            <w:r>
              <w:rPr>
                <w:b/>
                <w:sz w:val="10"/>
              </w:rPr>
              <w:t>amortised cost</w:t>
            </w:r>
          </w:p>
        </w:tc>
        <w:tc>
          <w:tcPr>
            <w:tcW w:w="1096" w:type="dxa"/>
          </w:tcPr>
          <w:p>
            <w:pPr>
              <w:pStyle w:val="TableParagraph"/>
              <w:spacing w:line="101" w:lineRule="exact"/>
              <w:ind w:left="53" w:right="24"/>
              <w:jc w:val="center"/>
              <w:rPr>
                <w:b/>
                <w:sz w:val="10"/>
              </w:rPr>
            </w:pPr>
            <w:r>
              <w:rPr>
                <w:b/>
                <w:sz w:val="10"/>
              </w:rPr>
              <w:t>designated at FVOCI</w:t>
            </w:r>
          </w:p>
        </w:tc>
        <w:tc>
          <w:tcPr>
            <w:tcW w:w="1103" w:type="dxa"/>
          </w:tcPr>
          <w:p>
            <w:pPr>
              <w:pStyle w:val="TableParagraph"/>
              <w:spacing w:line="101" w:lineRule="exact"/>
              <w:ind w:right="235"/>
              <w:jc w:val="right"/>
              <w:rPr>
                <w:b/>
                <w:sz w:val="10"/>
              </w:rPr>
            </w:pPr>
            <w:r>
              <w:rPr>
                <w:b/>
                <w:w w:val="95"/>
                <w:sz w:val="10"/>
              </w:rPr>
              <w:t>Total</w:t>
            </w:r>
          </w:p>
        </w:tc>
      </w:tr>
      <w:tr>
        <w:trPr>
          <w:trHeight w:val="123" w:hRule="atLeast"/>
        </w:trPr>
        <w:tc>
          <w:tcPr>
            <w:tcW w:w="4221" w:type="dxa"/>
          </w:tcPr>
          <w:p>
            <w:pPr>
              <w:pStyle w:val="TableParagraph"/>
              <w:spacing w:line="104" w:lineRule="exact"/>
              <w:ind w:right="53"/>
              <w:jc w:val="right"/>
              <w:rPr>
                <w:b/>
                <w:sz w:val="10"/>
              </w:rPr>
            </w:pPr>
            <w:r>
              <w:rPr>
                <w:b/>
                <w:sz w:val="10"/>
              </w:rPr>
              <w:t>2021-22</w:t>
            </w:r>
          </w:p>
        </w:tc>
        <w:tc>
          <w:tcPr>
            <w:tcW w:w="242" w:type="dxa"/>
          </w:tcPr>
          <w:p>
            <w:pPr>
              <w:pStyle w:val="TableParagraph"/>
              <w:rPr>
                <w:rFonts w:ascii="Times New Roman"/>
                <w:sz w:val="6"/>
              </w:rPr>
            </w:pPr>
          </w:p>
        </w:tc>
        <w:tc>
          <w:tcPr>
            <w:tcW w:w="49" w:type="dxa"/>
          </w:tcPr>
          <w:p>
            <w:pPr>
              <w:pStyle w:val="TableParagraph"/>
              <w:rPr>
                <w:rFonts w:ascii="Times New Roman"/>
                <w:sz w:val="6"/>
              </w:rPr>
            </w:pPr>
          </w:p>
        </w:tc>
        <w:tc>
          <w:tcPr>
            <w:tcW w:w="1068" w:type="dxa"/>
          </w:tcPr>
          <w:p>
            <w:pPr>
              <w:pStyle w:val="TableParagraph"/>
              <w:spacing w:line="104" w:lineRule="exact"/>
              <w:ind w:left="26" w:right="15"/>
              <w:jc w:val="center"/>
              <w:rPr>
                <w:b/>
                <w:sz w:val="10"/>
              </w:rPr>
            </w:pPr>
            <w:r>
              <w:rPr>
                <w:b/>
                <w:sz w:val="10"/>
              </w:rPr>
              <w:t>2021-22</w:t>
            </w:r>
          </w:p>
        </w:tc>
        <w:tc>
          <w:tcPr>
            <w:tcW w:w="1118" w:type="dxa"/>
          </w:tcPr>
          <w:p>
            <w:pPr>
              <w:pStyle w:val="TableParagraph"/>
              <w:spacing w:line="104" w:lineRule="exact"/>
              <w:ind w:left="361"/>
              <w:rPr>
                <w:b/>
                <w:sz w:val="10"/>
              </w:rPr>
            </w:pPr>
            <w:r>
              <w:rPr>
                <w:b/>
                <w:sz w:val="10"/>
              </w:rPr>
              <w:t>2021-22</w:t>
            </w:r>
          </w:p>
        </w:tc>
        <w:tc>
          <w:tcPr>
            <w:tcW w:w="1005" w:type="dxa"/>
          </w:tcPr>
          <w:p>
            <w:pPr>
              <w:pStyle w:val="TableParagraph"/>
              <w:spacing w:line="104" w:lineRule="exact"/>
              <w:ind w:left="316"/>
              <w:rPr>
                <w:b/>
                <w:sz w:val="10"/>
              </w:rPr>
            </w:pPr>
            <w:r>
              <w:rPr>
                <w:b/>
                <w:sz w:val="10"/>
              </w:rPr>
              <w:t>2020-21</w:t>
            </w:r>
          </w:p>
        </w:tc>
        <w:tc>
          <w:tcPr>
            <w:tcW w:w="1096" w:type="dxa"/>
          </w:tcPr>
          <w:p>
            <w:pPr>
              <w:pStyle w:val="TableParagraph"/>
              <w:spacing w:line="104" w:lineRule="exact"/>
              <w:ind w:left="53" w:right="20"/>
              <w:jc w:val="center"/>
              <w:rPr>
                <w:b/>
                <w:sz w:val="10"/>
              </w:rPr>
            </w:pPr>
            <w:r>
              <w:rPr>
                <w:b/>
                <w:sz w:val="10"/>
              </w:rPr>
              <w:t>2020-21</w:t>
            </w:r>
          </w:p>
        </w:tc>
        <w:tc>
          <w:tcPr>
            <w:tcW w:w="1103" w:type="dxa"/>
          </w:tcPr>
          <w:p>
            <w:pPr>
              <w:pStyle w:val="TableParagraph"/>
              <w:spacing w:line="104" w:lineRule="exact"/>
              <w:ind w:right="166"/>
              <w:jc w:val="right"/>
              <w:rPr>
                <w:b/>
                <w:sz w:val="10"/>
              </w:rPr>
            </w:pPr>
            <w:r>
              <w:rPr>
                <w:b/>
                <w:w w:val="95"/>
                <w:sz w:val="10"/>
              </w:rPr>
              <w:t>2020-21</w:t>
            </w:r>
          </w:p>
        </w:tc>
      </w:tr>
      <w:tr>
        <w:trPr>
          <w:trHeight w:val="247" w:hRule="atLeast"/>
        </w:trPr>
        <w:tc>
          <w:tcPr>
            <w:tcW w:w="4221" w:type="dxa"/>
          </w:tcPr>
          <w:p>
            <w:pPr>
              <w:pStyle w:val="TableParagraph"/>
              <w:spacing w:line="112" w:lineRule="exact"/>
              <w:ind w:right="115"/>
              <w:jc w:val="right"/>
              <w:rPr>
                <w:b/>
                <w:sz w:val="10"/>
              </w:rPr>
            </w:pPr>
            <w:r>
              <w:rPr>
                <w:b/>
                <w:sz w:val="10"/>
              </w:rPr>
              <w:t>£'000</w:t>
            </w:r>
          </w:p>
        </w:tc>
        <w:tc>
          <w:tcPr>
            <w:tcW w:w="242" w:type="dxa"/>
          </w:tcPr>
          <w:p>
            <w:pPr>
              <w:pStyle w:val="TableParagraph"/>
              <w:rPr>
                <w:rFonts w:ascii="Times New Roman"/>
                <w:sz w:val="10"/>
              </w:rPr>
            </w:pPr>
          </w:p>
        </w:tc>
        <w:tc>
          <w:tcPr>
            <w:tcW w:w="49" w:type="dxa"/>
          </w:tcPr>
          <w:p>
            <w:pPr>
              <w:pStyle w:val="TableParagraph"/>
              <w:rPr>
                <w:rFonts w:ascii="Times New Roman"/>
                <w:sz w:val="10"/>
              </w:rPr>
            </w:pPr>
          </w:p>
        </w:tc>
        <w:tc>
          <w:tcPr>
            <w:tcW w:w="1068" w:type="dxa"/>
          </w:tcPr>
          <w:p>
            <w:pPr>
              <w:pStyle w:val="TableParagraph"/>
              <w:spacing w:line="112" w:lineRule="exact"/>
              <w:ind w:left="26" w:right="15"/>
              <w:jc w:val="center"/>
              <w:rPr>
                <w:b/>
                <w:sz w:val="10"/>
              </w:rPr>
            </w:pPr>
            <w:r>
              <w:rPr>
                <w:b/>
                <w:sz w:val="10"/>
              </w:rPr>
              <w:t>£'000</w:t>
            </w:r>
          </w:p>
        </w:tc>
        <w:tc>
          <w:tcPr>
            <w:tcW w:w="1118" w:type="dxa"/>
          </w:tcPr>
          <w:p>
            <w:pPr>
              <w:pStyle w:val="TableParagraph"/>
              <w:spacing w:line="112" w:lineRule="exact"/>
              <w:ind w:left="399" w:right="426"/>
              <w:jc w:val="center"/>
              <w:rPr>
                <w:b/>
                <w:sz w:val="10"/>
              </w:rPr>
            </w:pPr>
            <w:r>
              <w:rPr>
                <w:b/>
                <w:sz w:val="10"/>
              </w:rPr>
              <w:t>£'000</w:t>
            </w:r>
          </w:p>
        </w:tc>
        <w:tc>
          <w:tcPr>
            <w:tcW w:w="1005" w:type="dxa"/>
          </w:tcPr>
          <w:p>
            <w:pPr>
              <w:pStyle w:val="TableParagraph"/>
              <w:spacing w:line="112" w:lineRule="exact"/>
              <w:ind w:left="354" w:right="363"/>
              <w:jc w:val="center"/>
              <w:rPr>
                <w:b/>
                <w:sz w:val="10"/>
              </w:rPr>
            </w:pPr>
            <w:r>
              <w:rPr>
                <w:b/>
                <w:sz w:val="10"/>
              </w:rPr>
              <w:t>£'000</w:t>
            </w:r>
          </w:p>
        </w:tc>
        <w:tc>
          <w:tcPr>
            <w:tcW w:w="1096" w:type="dxa"/>
          </w:tcPr>
          <w:p>
            <w:pPr>
              <w:pStyle w:val="TableParagraph"/>
              <w:spacing w:line="112" w:lineRule="exact"/>
              <w:ind w:left="53" w:right="20"/>
              <w:jc w:val="center"/>
              <w:rPr>
                <w:b/>
                <w:sz w:val="10"/>
              </w:rPr>
            </w:pPr>
            <w:r>
              <w:rPr>
                <w:b/>
                <w:sz w:val="10"/>
              </w:rPr>
              <w:t>£'000</w:t>
            </w:r>
          </w:p>
        </w:tc>
        <w:tc>
          <w:tcPr>
            <w:tcW w:w="1103" w:type="dxa"/>
          </w:tcPr>
          <w:p>
            <w:pPr>
              <w:pStyle w:val="TableParagraph"/>
              <w:spacing w:line="112" w:lineRule="exact"/>
              <w:ind w:right="223"/>
              <w:jc w:val="right"/>
              <w:rPr>
                <w:b/>
                <w:sz w:val="10"/>
              </w:rPr>
            </w:pPr>
            <w:r>
              <w:rPr>
                <w:b/>
                <w:w w:val="95"/>
                <w:sz w:val="10"/>
              </w:rPr>
              <w:t>£'000</w:t>
            </w:r>
          </w:p>
        </w:tc>
      </w:tr>
      <w:tr>
        <w:trPr>
          <w:trHeight w:val="237" w:hRule="atLeast"/>
        </w:trPr>
        <w:tc>
          <w:tcPr>
            <w:tcW w:w="4221" w:type="dxa"/>
          </w:tcPr>
          <w:p>
            <w:pPr>
              <w:pStyle w:val="TableParagraph"/>
              <w:spacing w:line="225" w:lineRule="auto"/>
              <w:ind w:left="100" w:right="2500"/>
              <w:rPr>
                <w:sz w:val="10"/>
              </w:rPr>
            </w:pPr>
            <w:r>
              <w:rPr>
                <w:sz w:val="10"/>
              </w:rPr>
              <w:t>Equity investment in group bodies Equity investment in external bodies</w:t>
            </w:r>
          </w:p>
        </w:tc>
        <w:tc>
          <w:tcPr>
            <w:tcW w:w="242" w:type="dxa"/>
            <w:shd w:val="clear" w:color="auto" w:fill="D7D7D7"/>
          </w:tcPr>
          <w:p>
            <w:pPr>
              <w:pStyle w:val="TableParagraph"/>
              <w:rPr>
                <w:rFonts w:ascii="Times New Roman"/>
                <w:sz w:val="10"/>
              </w:rPr>
            </w:pPr>
          </w:p>
        </w:tc>
        <w:tc>
          <w:tcPr>
            <w:tcW w:w="49" w:type="dxa"/>
          </w:tcPr>
          <w:p>
            <w:pPr>
              <w:pStyle w:val="TableParagraph"/>
              <w:rPr>
                <w:rFonts w:ascii="Times New Roman"/>
                <w:sz w:val="10"/>
              </w:rPr>
            </w:pPr>
          </w:p>
        </w:tc>
        <w:tc>
          <w:tcPr>
            <w:tcW w:w="1068" w:type="dxa"/>
          </w:tcPr>
          <w:p>
            <w:pPr>
              <w:pStyle w:val="TableParagraph"/>
              <w:spacing w:line="101" w:lineRule="exact"/>
              <w:ind w:right="23"/>
              <w:jc w:val="right"/>
              <w:rPr>
                <w:sz w:val="10"/>
              </w:rPr>
            </w:pPr>
            <w:r>
              <w:rPr>
                <w:w w:val="98"/>
                <w:sz w:val="10"/>
              </w:rPr>
              <w:t>-</w:t>
            </w:r>
          </w:p>
          <w:p>
            <w:pPr>
              <w:pStyle w:val="TableParagraph"/>
              <w:spacing w:line="111" w:lineRule="exact"/>
              <w:ind w:right="23"/>
              <w:jc w:val="right"/>
              <w:rPr>
                <w:sz w:val="10"/>
              </w:rPr>
            </w:pPr>
            <w:r>
              <w:rPr>
                <w:w w:val="98"/>
                <w:sz w:val="10"/>
              </w:rPr>
              <w:t>-</w:t>
            </w:r>
          </w:p>
        </w:tc>
        <w:tc>
          <w:tcPr>
            <w:tcW w:w="1118" w:type="dxa"/>
          </w:tcPr>
          <w:p>
            <w:pPr>
              <w:pStyle w:val="TableParagraph"/>
              <w:spacing w:line="101" w:lineRule="exact"/>
              <w:ind w:right="122"/>
              <w:jc w:val="right"/>
              <w:rPr>
                <w:b/>
                <w:sz w:val="10"/>
              </w:rPr>
            </w:pPr>
            <w:r>
              <w:rPr>
                <w:b/>
                <w:w w:val="95"/>
                <w:sz w:val="10"/>
              </w:rPr>
              <w:t>-</w:t>
            </w:r>
          </w:p>
          <w:p>
            <w:pPr>
              <w:pStyle w:val="TableParagraph"/>
              <w:spacing w:line="111" w:lineRule="exact"/>
              <w:ind w:right="122"/>
              <w:jc w:val="right"/>
              <w:rPr>
                <w:b/>
                <w:sz w:val="10"/>
              </w:rPr>
            </w:pPr>
            <w:r>
              <w:rPr>
                <w:b/>
                <w:w w:val="95"/>
                <w:sz w:val="10"/>
              </w:rPr>
              <w:t>-</w:t>
            </w:r>
          </w:p>
        </w:tc>
        <w:tc>
          <w:tcPr>
            <w:tcW w:w="1005" w:type="dxa"/>
            <w:shd w:val="clear" w:color="auto" w:fill="D7D7D7"/>
          </w:tcPr>
          <w:p>
            <w:pPr>
              <w:pStyle w:val="TableParagraph"/>
              <w:rPr>
                <w:rFonts w:ascii="Times New Roman"/>
                <w:sz w:val="10"/>
              </w:rPr>
            </w:pPr>
          </w:p>
        </w:tc>
        <w:tc>
          <w:tcPr>
            <w:tcW w:w="1096" w:type="dxa"/>
            <w:tcBorders>
              <w:left w:val="single" w:sz="18" w:space="0" w:color="D7D7D7"/>
            </w:tcBorders>
          </w:tcPr>
          <w:p>
            <w:pPr>
              <w:pStyle w:val="TableParagraph"/>
              <w:spacing w:line="98" w:lineRule="exact"/>
              <w:ind w:right="21"/>
              <w:jc w:val="right"/>
              <w:rPr>
                <w:sz w:val="10"/>
              </w:rPr>
            </w:pPr>
            <w:r>
              <w:rPr>
                <w:w w:val="98"/>
                <w:sz w:val="10"/>
              </w:rPr>
              <w:t>-</w:t>
            </w:r>
          </w:p>
          <w:p>
            <w:pPr>
              <w:pStyle w:val="TableParagraph"/>
              <w:spacing w:line="111" w:lineRule="exact"/>
              <w:ind w:right="21"/>
              <w:jc w:val="right"/>
              <w:rPr>
                <w:sz w:val="10"/>
              </w:rPr>
            </w:pPr>
            <w:r>
              <w:rPr>
                <w:w w:val="98"/>
                <w:sz w:val="10"/>
              </w:rPr>
              <w:t>-</w:t>
            </w:r>
          </w:p>
        </w:tc>
        <w:tc>
          <w:tcPr>
            <w:tcW w:w="1103" w:type="dxa"/>
          </w:tcPr>
          <w:p>
            <w:pPr>
              <w:pStyle w:val="TableParagraph"/>
              <w:spacing w:line="101" w:lineRule="exact"/>
              <w:ind w:right="136"/>
              <w:jc w:val="right"/>
              <w:rPr>
                <w:b/>
                <w:sz w:val="10"/>
              </w:rPr>
            </w:pPr>
            <w:r>
              <w:rPr>
                <w:b/>
                <w:w w:val="95"/>
                <w:sz w:val="10"/>
              </w:rPr>
              <w:t>-</w:t>
            </w:r>
          </w:p>
          <w:p>
            <w:pPr>
              <w:pStyle w:val="TableParagraph"/>
              <w:spacing w:line="111" w:lineRule="exact"/>
              <w:ind w:right="136"/>
              <w:jc w:val="right"/>
              <w:rPr>
                <w:b/>
                <w:sz w:val="10"/>
              </w:rPr>
            </w:pPr>
            <w:r>
              <w:rPr>
                <w:b/>
                <w:w w:val="95"/>
                <w:sz w:val="10"/>
              </w:rPr>
              <w:t>-</w:t>
            </w:r>
          </w:p>
        </w:tc>
      </w:tr>
      <w:tr>
        <w:trPr>
          <w:trHeight w:val="355" w:hRule="atLeast"/>
        </w:trPr>
        <w:tc>
          <w:tcPr>
            <w:tcW w:w="4221" w:type="dxa"/>
          </w:tcPr>
          <w:p>
            <w:pPr>
              <w:pStyle w:val="TableParagraph"/>
              <w:spacing w:line="249" w:lineRule="auto"/>
              <w:ind w:left="100" w:right="2433"/>
              <w:rPr>
                <w:sz w:val="10"/>
              </w:rPr>
            </w:pPr>
            <w:r>
              <w:rPr>
                <w:sz w:val="10"/>
              </w:rPr>
              <w:t>Loans receivable with group bodies Loans receivable with external bodies</w:t>
            </w:r>
          </w:p>
          <w:p>
            <w:pPr>
              <w:pStyle w:val="TableParagraph"/>
              <w:spacing w:line="99" w:lineRule="exact"/>
              <w:ind w:left="100"/>
              <w:rPr>
                <w:sz w:val="10"/>
              </w:rPr>
            </w:pPr>
            <w:r>
              <w:rPr>
                <w:sz w:val="10"/>
              </w:rPr>
              <w:t>Trade and other receivables with NHSE bodies</w:t>
            </w:r>
          </w:p>
        </w:tc>
        <w:tc>
          <w:tcPr>
            <w:tcW w:w="242" w:type="dxa"/>
          </w:tcPr>
          <w:p>
            <w:pPr>
              <w:pStyle w:val="TableParagraph"/>
              <w:spacing w:line="104" w:lineRule="exact"/>
              <w:ind w:right="27"/>
              <w:jc w:val="right"/>
              <w:rPr>
                <w:sz w:val="10"/>
              </w:rPr>
            </w:pPr>
            <w:r>
              <w:rPr>
                <w:w w:val="98"/>
                <w:sz w:val="10"/>
              </w:rPr>
              <w:t>-</w:t>
            </w:r>
          </w:p>
          <w:p>
            <w:pPr>
              <w:pStyle w:val="TableParagraph"/>
              <w:spacing w:line="120" w:lineRule="atLeast"/>
              <w:ind w:left="160" w:right="24" w:firstLine="21"/>
              <w:jc w:val="right"/>
              <w:rPr>
                <w:sz w:val="10"/>
              </w:rPr>
            </w:pPr>
            <w:r>
              <w:rPr>
                <w:w w:val="95"/>
                <w:sz w:val="10"/>
              </w:rPr>
              <w:t>-</w:t>
            </w:r>
            <w:r>
              <w:rPr>
                <w:w w:val="98"/>
                <w:sz w:val="10"/>
              </w:rPr>
              <w:t> </w:t>
            </w:r>
            <w:r>
              <w:rPr>
                <w:w w:val="95"/>
                <w:sz w:val="10"/>
              </w:rPr>
              <w:t>3</w:t>
            </w:r>
          </w:p>
        </w:tc>
        <w:tc>
          <w:tcPr>
            <w:tcW w:w="49" w:type="dxa"/>
            <w:shd w:val="clear" w:color="auto" w:fill="D7D7D7"/>
          </w:tcPr>
          <w:p>
            <w:pPr>
              <w:pStyle w:val="TableParagraph"/>
              <w:rPr>
                <w:rFonts w:ascii="Times New Roman"/>
                <w:sz w:val="10"/>
              </w:rPr>
            </w:pPr>
          </w:p>
        </w:tc>
        <w:tc>
          <w:tcPr>
            <w:tcW w:w="1068" w:type="dxa"/>
            <w:shd w:val="clear" w:color="auto" w:fill="D7D7D7"/>
          </w:tcPr>
          <w:p>
            <w:pPr>
              <w:pStyle w:val="TableParagraph"/>
              <w:rPr>
                <w:rFonts w:ascii="Times New Roman"/>
                <w:sz w:val="10"/>
              </w:rPr>
            </w:pPr>
          </w:p>
        </w:tc>
        <w:tc>
          <w:tcPr>
            <w:tcW w:w="1118" w:type="dxa"/>
          </w:tcPr>
          <w:p>
            <w:pPr>
              <w:pStyle w:val="TableParagraph"/>
              <w:spacing w:line="107" w:lineRule="exact"/>
              <w:ind w:right="122"/>
              <w:jc w:val="right"/>
              <w:rPr>
                <w:b/>
                <w:sz w:val="10"/>
              </w:rPr>
            </w:pPr>
            <w:r>
              <w:rPr>
                <w:b/>
                <w:w w:val="95"/>
                <w:sz w:val="10"/>
              </w:rPr>
              <w:t>-</w:t>
            </w:r>
          </w:p>
          <w:p>
            <w:pPr>
              <w:pStyle w:val="TableParagraph"/>
              <w:spacing w:line="120" w:lineRule="atLeast"/>
              <w:ind w:left="942" w:right="119" w:firstLine="21"/>
              <w:jc w:val="right"/>
              <w:rPr>
                <w:b/>
                <w:sz w:val="10"/>
              </w:rPr>
            </w:pPr>
            <w:r>
              <w:rPr>
                <w:b/>
                <w:w w:val="95"/>
                <w:sz w:val="10"/>
              </w:rPr>
              <w:t>-</w:t>
            </w:r>
            <w:r>
              <w:rPr>
                <w:b/>
                <w:w w:val="95"/>
                <w:sz w:val="10"/>
              </w:rPr>
              <w:t> </w:t>
            </w:r>
            <w:r>
              <w:rPr>
                <w:b/>
                <w:w w:val="95"/>
                <w:sz w:val="10"/>
              </w:rPr>
              <w:t>3</w:t>
            </w:r>
          </w:p>
        </w:tc>
        <w:tc>
          <w:tcPr>
            <w:tcW w:w="1005" w:type="dxa"/>
            <w:tcBorders>
              <w:right w:val="single" w:sz="18" w:space="0" w:color="D7D7D7"/>
            </w:tcBorders>
          </w:tcPr>
          <w:p>
            <w:pPr>
              <w:pStyle w:val="TableParagraph"/>
              <w:spacing w:line="100" w:lineRule="exact"/>
              <w:ind w:right="21"/>
              <w:jc w:val="right"/>
              <w:rPr>
                <w:sz w:val="10"/>
              </w:rPr>
            </w:pPr>
            <w:r>
              <w:rPr>
                <w:w w:val="98"/>
                <w:sz w:val="10"/>
              </w:rPr>
              <w:t>-</w:t>
            </w:r>
          </w:p>
          <w:p>
            <w:pPr>
              <w:pStyle w:val="TableParagraph"/>
              <w:spacing w:line="120" w:lineRule="atLeast"/>
              <w:ind w:left="801" w:right="19" w:firstLine="127"/>
              <w:jc w:val="right"/>
              <w:rPr>
                <w:sz w:val="10"/>
              </w:rPr>
            </w:pPr>
            <w:r>
              <w:rPr>
                <w:w w:val="95"/>
                <w:sz w:val="10"/>
              </w:rPr>
              <w:t>-</w:t>
            </w:r>
            <w:r>
              <w:rPr>
                <w:w w:val="98"/>
                <w:sz w:val="10"/>
              </w:rPr>
              <w:t> </w:t>
            </w:r>
            <w:r>
              <w:rPr>
                <w:w w:val="95"/>
                <w:sz w:val="10"/>
              </w:rPr>
              <w:t>385</w:t>
            </w:r>
          </w:p>
        </w:tc>
        <w:tc>
          <w:tcPr>
            <w:tcW w:w="1096" w:type="dxa"/>
            <w:shd w:val="clear" w:color="auto" w:fill="D7D7D7"/>
          </w:tcPr>
          <w:p>
            <w:pPr>
              <w:pStyle w:val="TableParagraph"/>
              <w:rPr>
                <w:rFonts w:ascii="Times New Roman"/>
                <w:sz w:val="10"/>
              </w:rPr>
            </w:pPr>
          </w:p>
        </w:tc>
        <w:tc>
          <w:tcPr>
            <w:tcW w:w="1103" w:type="dxa"/>
          </w:tcPr>
          <w:p>
            <w:pPr>
              <w:pStyle w:val="TableParagraph"/>
              <w:spacing w:line="107" w:lineRule="exact"/>
              <w:ind w:right="136"/>
              <w:jc w:val="right"/>
              <w:rPr>
                <w:b/>
                <w:sz w:val="10"/>
              </w:rPr>
            </w:pPr>
            <w:r>
              <w:rPr>
                <w:b/>
                <w:w w:val="95"/>
                <w:sz w:val="10"/>
              </w:rPr>
              <w:t>-</w:t>
            </w:r>
          </w:p>
          <w:p>
            <w:pPr>
              <w:pStyle w:val="TableParagraph"/>
              <w:spacing w:line="120" w:lineRule="atLeast"/>
              <w:ind w:left="807" w:right="134" w:firstLine="127"/>
              <w:jc w:val="right"/>
              <w:rPr>
                <w:b/>
                <w:sz w:val="10"/>
              </w:rPr>
            </w:pPr>
            <w:r>
              <w:rPr>
                <w:b/>
                <w:w w:val="95"/>
                <w:sz w:val="10"/>
              </w:rPr>
              <w:t>-</w:t>
            </w:r>
            <w:r>
              <w:rPr>
                <w:b/>
                <w:w w:val="95"/>
                <w:sz w:val="10"/>
              </w:rPr>
              <w:t> </w:t>
            </w:r>
            <w:r>
              <w:rPr>
                <w:b/>
                <w:w w:val="95"/>
                <w:sz w:val="10"/>
              </w:rPr>
              <w:t>385</w:t>
            </w:r>
          </w:p>
        </w:tc>
      </w:tr>
      <w:tr>
        <w:trPr>
          <w:trHeight w:val="118" w:hRule="atLeast"/>
        </w:trPr>
        <w:tc>
          <w:tcPr>
            <w:tcW w:w="4221" w:type="dxa"/>
          </w:tcPr>
          <w:p>
            <w:pPr>
              <w:pStyle w:val="TableParagraph"/>
              <w:spacing w:line="99" w:lineRule="exact"/>
              <w:ind w:left="100"/>
              <w:rPr>
                <w:sz w:val="10"/>
              </w:rPr>
            </w:pPr>
            <w:r>
              <w:rPr>
                <w:sz w:val="10"/>
              </w:rPr>
              <w:t>Trade and other receivables with other DHSC group bodies</w:t>
            </w:r>
          </w:p>
        </w:tc>
        <w:tc>
          <w:tcPr>
            <w:tcW w:w="242" w:type="dxa"/>
          </w:tcPr>
          <w:p>
            <w:pPr>
              <w:pStyle w:val="TableParagraph"/>
              <w:spacing w:line="99" w:lineRule="exact"/>
              <w:ind w:left="55"/>
              <w:rPr>
                <w:sz w:val="10"/>
              </w:rPr>
            </w:pPr>
            <w:r>
              <w:rPr>
                <w:sz w:val="10"/>
              </w:rPr>
              <w:t>209</w:t>
            </w:r>
          </w:p>
        </w:tc>
        <w:tc>
          <w:tcPr>
            <w:tcW w:w="49" w:type="dxa"/>
            <w:shd w:val="clear" w:color="auto" w:fill="D7D7D7"/>
          </w:tcPr>
          <w:p>
            <w:pPr>
              <w:pStyle w:val="TableParagraph"/>
              <w:rPr>
                <w:rFonts w:ascii="Times New Roman"/>
                <w:sz w:val="6"/>
              </w:rPr>
            </w:pPr>
          </w:p>
        </w:tc>
        <w:tc>
          <w:tcPr>
            <w:tcW w:w="1068" w:type="dxa"/>
            <w:shd w:val="clear" w:color="auto" w:fill="D7D7D7"/>
          </w:tcPr>
          <w:p>
            <w:pPr>
              <w:pStyle w:val="TableParagraph"/>
              <w:rPr>
                <w:rFonts w:ascii="Times New Roman"/>
                <w:sz w:val="6"/>
              </w:rPr>
            </w:pPr>
          </w:p>
        </w:tc>
        <w:tc>
          <w:tcPr>
            <w:tcW w:w="1118" w:type="dxa"/>
          </w:tcPr>
          <w:p>
            <w:pPr>
              <w:pStyle w:val="TableParagraph"/>
              <w:spacing w:line="99" w:lineRule="exact"/>
              <w:ind w:right="120"/>
              <w:jc w:val="right"/>
              <w:rPr>
                <w:b/>
                <w:sz w:val="10"/>
              </w:rPr>
            </w:pPr>
            <w:r>
              <w:rPr>
                <w:b/>
                <w:w w:val="95"/>
                <w:sz w:val="10"/>
              </w:rPr>
              <w:t>209</w:t>
            </w:r>
          </w:p>
        </w:tc>
        <w:tc>
          <w:tcPr>
            <w:tcW w:w="1005" w:type="dxa"/>
            <w:tcBorders>
              <w:right w:val="single" w:sz="18" w:space="0" w:color="D7D7D7"/>
            </w:tcBorders>
          </w:tcPr>
          <w:p>
            <w:pPr>
              <w:pStyle w:val="TableParagraph"/>
              <w:spacing w:line="99" w:lineRule="exact"/>
              <w:ind w:right="20"/>
              <w:jc w:val="right"/>
              <w:rPr>
                <w:sz w:val="10"/>
              </w:rPr>
            </w:pPr>
            <w:r>
              <w:rPr>
                <w:w w:val="95"/>
                <w:sz w:val="10"/>
              </w:rPr>
              <w:t>396</w:t>
            </w:r>
          </w:p>
        </w:tc>
        <w:tc>
          <w:tcPr>
            <w:tcW w:w="1096" w:type="dxa"/>
            <w:shd w:val="clear" w:color="auto" w:fill="D7D7D7"/>
          </w:tcPr>
          <w:p>
            <w:pPr>
              <w:pStyle w:val="TableParagraph"/>
              <w:rPr>
                <w:rFonts w:ascii="Times New Roman"/>
                <w:sz w:val="6"/>
              </w:rPr>
            </w:pPr>
          </w:p>
        </w:tc>
        <w:tc>
          <w:tcPr>
            <w:tcW w:w="1103" w:type="dxa"/>
          </w:tcPr>
          <w:p>
            <w:pPr>
              <w:pStyle w:val="TableParagraph"/>
              <w:spacing w:line="99" w:lineRule="exact"/>
              <w:ind w:right="135"/>
              <w:jc w:val="right"/>
              <w:rPr>
                <w:b/>
                <w:sz w:val="10"/>
              </w:rPr>
            </w:pPr>
            <w:r>
              <w:rPr>
                <w:b/>
                <w:w w:val="95"/>
                <w:sz w:val="10"/>
              </w:rPr>
              <w:t>396</w:t>
            </w:r>
          </w:p>
        </w:tc>
      </w:tr>
      <w:tr>
        <w:trPr>
          <w:trHeight w:val="361" w:hRule="atLeast"/>
        </w:trPr>
        <w:tc>
          <w:tcPr>
            <w:tcW w:w="4221" w:type="dxa"/>
          </w:tcPr>
          <w:p>
            <w:pPr>
              <w:pStyle w:val="TableParagraph"/>
              <w:spacing w:line="254" w:lineRule="auto"/>
              <w:ind w:left="100" w:right="1944"/>
              <w:rPr>
                <w:sz w:val="10"/>
              </w:rPr>
            </w:pPr>
            <w:r>
              <w:rPr>
                <w:sz w:val="10"/>
              </w:rPr>
              <w:t>Trade and other receivables with external bodies Other financial assets</w:t>
            </w:r>
          </w:p>
          <w:p>
            <w:pPr>
              <w:pStyle w:val="TableParagraph"/>
              <w:tabs>
                <w:tab w:pos="3536" w:val="left" w:leader="none"/>
                <w:tab w:pos="4367" w:val="left" w:leader="none"/>
              </w:tabs>
              <w:spacing w:line="102" w:lineRule="exact"/>
              <w:ind w:left="100" w:right="-159"/>
              <w:rPr>
                <w:sz w:val="10"/>
              </w:rPr>
            </w:pPr>
            <w:r>
              <w:rPr>
                <w:sz w:val="10"/>
              </w:rPr>
              <w:t>Cash</w:t>
            </w:r>
            <w:r>
              <w:rPr>
                <w:spacing w:val="-14"/>
                <w:sz w:val="10"/>
              </w:rPr>
              <w:t> </w:t>
            </w:r>
            <w:r>
              <w:rPr>
                <w:sz w:val="10"/>
              </w:rPr>
              <w:t>and</w:t>
            </w:r>
            <w:r>
              <w:rPr>
                <w:spacing w:val="-13"/>
                <w:sz w:val="10"/>
              </w:rPr>
              <w:t> </w:t>
            </w:r>
            <w:r>
              <w:rPr>
                <w:sz w:val="10"/>
              </w:rPr>
              <w:t>cash</w:t>
            </w:r>
            <w:r>
              <w:rPr>
                <w:spacing w:val="-12"/>
                <w:sz w:val="10"/>
              </w:rPr>
              <w:t> </w:t>
            </w:r>
            <w:r>
              <w:rPr>
                <w:sz w:val="10"/>
              </w:rPr>
              <w:t>equivalents</w:t>
              <w:tab/>
            </w:r>
            <w:r>
              <w:rPr>
                <w:w w:val="98"/>
                <w:position w:val="1"/>
                <w:sz w:val="10"/>
                <w:u w:val="single"/>
              </w:rPr>
              <w:t> </w:t>
            </w:r>
            <w:r>
              <w:rPr>
                <w:position w:val="1"/>
                <w:sz w:val="10"/>
                <w:u w:val="single"/>
              </w:rPr>
              <w:tab/>
            </w:r>
          </w:p>
        </w:tc>
        <w:tc>
          <w:tcPr>
            <w:tcW w:w="242" w:type="dxa"/>
          </w:tcPr>
          <w:p>
            <w:pPr>
              <w:pStyle w:val="TableParagraph"/>
              <w:spacing w:line="110" w:lineRule="exact"/>
              <w:ind w:left="55"/>
              <w:rPr>
                <w:sz w:val="10"/>
              </w:rPr>
            </w:pPr>
            <w:r>
              <w:rPr>
                <w:spacing w:val="-2"/>
                <w:sz w:val="10"/>
              </w:rPr>
              <w:t>463</w:t>
            </w:r>
          </w:p>
          <w:p>
            <w:pPr>
              <w:pStyle w:val="TableParagraph"/>
              <w:spacing w:line="235" w:lineRule="auto" w:before="9"/>
              <w:ind w:left="146" w:right="-30" w:firstLine="33"/>
              <w:rPr>
                <w:sz w:val="10"/>
              </w:rPr>
            </w:pPr>
            <w:r>
              <w:rPr>
                <w:sz w:val="10"/>
              </w:rPr>
              <w:t>- </w:t>
            </w:r>
            <w:r>
              <w:rPr>
                <w:w w:val="95"/>
                <w:sz w:val="10"/>
                <w:u w:val="single"/>
              </w:rPr>
              <w:t>1</w:t>
            </w:r>
            <w:r>
              <w:rPr>
                <w:w w:val="95"/>
                <w:sz w:val="10"/>
              </w:rPr>
              <w:t>2</w:t>
            </w:r>
          </w:p>
        </w:tc>
        <w:tc>
          <w:tcPr>
            <w:tcW w:w="2235" w:type="dxa"/>
            <w:gridSpan w:val="3"/>
            <w:shd w:val="clear" w:color="auto" w:fill="D7D7D7"/>
          </w:tcPr>
          <w:p>
            <w:pPr>
              <w:pStyle w:val="TableParagraph"/>
              <w:spacing w:line="110" w:lineRule="exact"/>
              <w:ind w:right="120"/>
              <w:jc w:val="right"/>
              <w:rPr>
                <w:b/>
                <w:sz w:val="10"/>
              </w:rPr>
            </w:pPr>
            <w:r>
              <w:rPr>
                <w:b/>
                <w:spacing w:val="-2"/>
                <w:w w:val="95"/>
                <w:sz w:val="10"/>
              </w:rPr>
              <w:t>463</w:t>
            </w:r>
          </w:p>
          <w:p>
            <w:pPr>
              <w:pStyle w:val="TableParagraph"/>
              <w:spacing w:line="114" w:lineRule="exact" w:before="7"/>
              <w:ind w:right="122"/>
              <w:jc w:val="right"/>
              <w:rPr>
                <w:b/>
                <w:sz w:val="10"/>
              </w:rPr>
            </w:pPr>
            <w:r>
              <w:rPr>
                <w:b/>
                <w:w w:val="95"/>
                <w:sz w:val="10"/>
              </w:rPr>
              <w:t>-</w:t>
            </w:r>
          </w:p>
          <w:p>
            <w:pPr>
              <w:pStyle w:val="TableParagraph"/>
              <w:tabs>
                <w:tab w:pos="830" w:val="left" w:leader="none"/>
              </w:tabs>
              <w:spacing w:line="109" w:lineRule="exact"/>
              <w:ind w:right="94"/>
              <w:jc w:val="right"/>
              <w:rPr>
                <w:b/>
                <w:sz w:val="10"/>
              </w:rPr>
            </w:pPr>
            <w:r>
              <w:rPr>
                <w:b/>
                <w:w w:val="95"/>
                <w:sz w:val="10"/>
                <w:u w:val="single"/>
              </w:rPr>
              <w:t> </w:t>
            </w:r>
            <w:r>
              <w:rPr>
                <w:b/>
                <w:sz w:val="10"/>
                <w:u w:val="single"/>
              </w:rPr>
              <w:tab/>
            </w:r>
            <w:r>
              <w:rPr>
                <w:b/>
                <w:spacing w:val="-1"/>
                <w:w w:val="95"/>
                <w:sz w:val="10"/>
                <w:u w:val="single"/>
              </w:rPr>
              <w:t>12</w:t>
            </w:r>
          </w:p>
        </w:tc>
        <w:tc>
          <w:tcPr>
            <w:tcW w:w="1005" w:type="dxa"/>
            <w:tcBorders>
              <w:right w:val="single" w:sz="18" w:space="0" w:color="D7D7D7"/>
            </w:tcBorders>
          </w:tcPr>
          <w:p>
            <w:pPr>
              <w:pStyle w:val="TableParagraph"/>
              <w:spacing w:line="110" w:lineRule="exact"/>
              <w:ind w:left="801"/>
              <w:rPr>
                <w:sz w:val="10"/>
              </w:rPr>
            </w:pPr>
            <w:r>
              <w:rPr>
                <w:spacing w:val="-2"/>
                <w:sz w:val="10"/>
              </w:rPr>
              <w:t>117</w:t>
            </w:r>
          </w:p>
          <w:p>
            <w:pPr>
              <w:pStyle w:val="TableParagraph"/>
              <w:spacing w:line="235" w:lineRule="auto" w:before="9"/>
              <w:ind w:left="892" w:right="-41" w:firstLine="33"/>
              <w:rPr>
                <w:sz w:val="10"/>
              </w:rPr>
            </w:pPr>
            <w:r>
              <w:rPr>
                <w:sz w:val="10"/>
              </w:rPr>
              <w:t>- 16</w:t>
            </w:r>
          </w:p>
        </w:tc>
        <w:tc>
          <w:tcPr>
            <w:tcW w:w="1096" w:type="dxa"/>
            <w:shd w:val="clear" w:color="auto" w:fill="D7D7D7"/>
          </w:tcPr>
          <w:p>
            <w:pPr>
              <w:pStyle w:val="TableParagraph"/>
              <w:rPr>
                <w:rFonts w:ascii="Times New Roman"/>
                <w:sz w:val="10"/>
              </w:rPr>
            </w:pPr>
          </w:p>
        </w:tc>
        <w:tc>
          <w:tcPr>
            <w:tcW w:w="1103" w:type="dxa"/>
          </w:tcPr>
          <w:p>
            <w:pPr>
              <w:pStyle w:val="TableParagraph"/>
              <w:spacing w:line="110" w:lineRule="exact"/>
              <w:ind w:right="135"/>
              <w:jc w:val="right"/>
              <w:rPr>
                <w:b/>
                <w:sz w:val="10"/>
              </w:rPr>
            </w:pPr>
            <w:r>
              <w:rPr>
                <w:b/>
                <w:spacing w:val="-1"/>
                <w:w w:val="95"/>
                <w:sz w:val="10"/>
              </w:rPr>
              <w:t>117</w:t>
            </w:r>
          </w:p>
          <w:p>
            <w:pPr>
              <w:pStyle w:val="TableParagraph"/>
              <w:spacing w:line="114" w:lineRule="exact" w:before="7"/>
              <w:ind w:right="136"/>
              <w:jc w:val="right"/>
              <w:rPr>
                <w:b/>
                <w:sz w:val="10"/>
              </w:rPr>
            </w:pPr>
            <w:r>
              <w:rPr>
                <w:b/>
                <w:w w:val="95"/>
                <w:sz w:val="10"/>
              </w:rPr>
              <w:t>-</w:t>
            </w:r>
          </w:p>
          <w:p>
            <w:pPr>
              <w:pStyle w:val="TableParagraph"/>
              <w:tabs>
                <w:tab w:pos="359" w:val="left" w:leader="none"/>
              </w:tabs>
              <w:spacing w:line="109" w:lineRule="exact"/>
              <w:ind w:right="96"/>
              <w:jc w:val="right"/>
              <w:rPr>
                <w:b/>
                <w:sz w:val="10"/>
              </w:rPr>
            </w:pPr>
            <w:r>
              <w:rPr>
                <w:b/>
                <w:w w:val="95"/>
                <w:sz w:val="10"/>
                <w:u w:val="single"/>
              </w:rPr>
              <w:t> </w:t>
            </w:r>
            <w:r>
              <w:rPr>
                <w:b/>
                <w:sz w:val="10"/>
                <w:u w:val="single"/>
              </w:rPr>
              <w:tab/>
            </w:r>
            <w:r>
              <w:rPr>
                <w:b/>
                <w:spacing w:val="-1"/>
                <w:w w:val="95"/>
                <w:sz w:val="10"/>
                <w:u w:val="single"/>
              </w:rPr>
              <w:t>1</w:t>
            </w:r>
            <w:r>
              <w:rPr>
                <w:b/>
                <w:spacing w:val="-1"/>
                <w:w w:val="95"/>
                <w:sz w:val="10"/>
              </w:rPr>
              <w:t>6</w:t>
            </w:r>
          </w:p>
        </w:tc>
      </w:tr>
    </w:tbl>
    <w:p>
      <w:pPr>
        <w:tabs>
          <w:tab w:pos="3704" w:val="left" w:leader="none"/>
          <w:tab w:pos="4479" w:val="left" w:leader="none"/>
          <w:tab w:pos="5732" w:val="left" w:leader="none"/>
          <w:tab w:pos="6620" w:val="left" w:leader="none"/>
          <w:tab w:pos="7703" w:val="left" w:leader="none"/>
          <w:tab w:pos="8953" w:val="left" w:leader="none"/>
          <w:tab w:pos="9505" w:val="left" w:leader="none"/>
          <w:tab w:pos="9810" w:val="left" w:leader="none"/>
        </w:tabs>
        <w:spacing w:line="109" w:lineRule="exact" w:before="0"/>
        <w:ind w:left="313" w:right="0" w:firstLine="0"/>
        <w:jc w:val="left"/>
        <w:rPr>
          <w:b/>
          <w:sz w:val="10"/>
        </w:rPr>
      </w:pPr>
      <w:r>
        <w:rPr/>
        <w:pict>
          <v:group style="position:absolute;margin-left:222.600006pt;margin-top:-53.910625pt;width:48.4pt;height:12pt;mso-position-horizontal-relative:page;mso-position-vertical-relative:paragraph;z-index:-269516800" coordorigin="4452,-1078" coordsize="968,240">
            <v:rect style="position:absolute;left:4452;top:-988;width:968;height:149" filled="true" fillcolor="#d7d7d7" stroked="false">
              <v:fill type="solid"/>
            </v:rect>
            <v:rect style="position:absolute;left:4452;top:-1079;width:968;height:92" filled="true" fillcolor="#d7d7d7" stroked="false">
              <v:fill type="solid"/>
            </v:rect>
            <w10:wrap type="none"/>
          </v:group>
        </w:pict>
      </w:r>
      <w:r>
        <w:rPr/>
        <w:pict>
          <v:rect style="position:absolute;margin-left:327pt;margin-top:-1.230625pt;width:2.641pt;height:.24pt;mso-position-horizontal-relative:page;mso-position-vertical-relative:paragraph;z-index:-269515776" filled="true" fillcolor="#000000" stroked="false">
            <v:fill type="solid"/>
            <w10:wrap type="none"/>
          </v:rect>
        </w:pict>
      </w:r>
      <w:r>
        <w:rPr/>
        <w:pict>
          <v:line style="position:absolute;mso-position-horizontal-relative:page;mso-position-vertical-relative:paragraph;z-index:-269514752" from="385.200012pt,-1.110625pt" to="432.120012pt,-1.110625pt" stroked="true" strokeweight=".24pt" strokecolor="#000000">
            <v:stroke dashstyle="solid"/>
            <w10:wrap type="none"/>
          </v:line>
        </w:pict>
      </w:r>
      <w:r>
        <w:rPr/>
        <w:pict>
          <v:rect style="position:absolute;margin-left:488.040009pt;margin-top:-1.230625pt;width:3.36pt;height:.24pt;mso-position-horizontal-relative:page;mso-position-vertical-relative:paragraph;z-index:-269513728" filled="true" fillcolor="#000000" stroked="false">
            <v:fill type="solid"/>
            <w10:wrap type="none"/>
          </v:rect>
        </w:pict>
      </w:r>
      <w:r>
        <w:rPr>
          <w:b/>
          <w:sz w:val="10"/>
        </w:rPr>
        <w:t>Total at 31</w:t>
      </w:r>
      <w:r>
        <w:rPr>
          <w:b/>
          <w:spacing w:val="-16"/>
          <w:sz w:val="10"/>
        </w:rPr>
        <w:t> </w:t>
      </w:r>
      <w:r>
        <w:rPr>
          <w:b/>
          <w:sz w:val="10"/>
        </w:rPr>
        <w:t>March</w:t>
      </w:r>
      <w:r>
        <w:rPr>
          <w:b/>
          <w:spacing w:val="-6"/>
          <w:sz w:val="10"/>
        </w:rPr>
        <w:t> </w:t>
      </w:r>
      <w:r>
        <w:rPr>
          <w:b/>
          <w:sz w:val="10"/>
        </w:rPr>
        <w:t>2022</w:t>
        <w:tab/>
      </w:r>
      <w:r>
        <w:rPr>
          <w:b/>
          <w:sz w:val="10"/>
          <w:u w:val="single"/>
        </w:rPr>
        <w:t> </w:t>
        <w:tab/>
        <w:t>687</w:t>
        <w:tab/>
        <w:t>-</w:t>
        <w:tab/>
        <w:t>687</w:t>
        <w:tab/>
        <w:t>915</w:t>
        <w:tab/>
      </w:r>
      <w:r>
        <w:rPr>
          <w:b/>
          <w:sz w:val="10"/>
        </w:rPr>
        <w:t>-</w:t>
        <w:tab/>
      </w:r>
      <w:r>
        <w:rPr>
          <w:b/>
          <w:sz w:val="10"/>
          <w:u w:val="single"/>
        </w:rPr>
        <w:t> </w:t>
        <w:tab/>
        <w:t>915</w:t>
      </w:r>
      <w:r>
        <w:rPr>
          <w:b/>
          <w:spacing w:val="-3"/>
          <w:sz w:val="10"/>
          <w:u w:val="single"/>
        </w:rPr>
        <w:t> </w:t>
      </w:r>
    </w:p>
    <w:p>
      <w:pPr>
        <w:pStyle w:val="BodyText"/>
        <w:spacing w:before="6"/>
        <w:rPr>
          <w:b/>
          <w:sz w:val="21"/>
        </w:rPr>
      </w:pPr>
    </w:p>
    <w:tbl>
      <w:tblPr>
        <w:tblW w:w="0" w:type="auto"/>
        <w:jc w:val="left"/>
        <w:tblInd w:w="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5"/>
        <w:gridCol w:w="356"/>
        <w:gridCol w:w="1068"/>
        <w:gridCol w:w="1072"/>
        <w:gridCol w:w="1075"/>
        <w:gridCol w:w="1076"/>
        <w:gridCol w:w="1066"/>
      </w:tblGrid>
      <w:tr>
        <w:trPr>
          <w:trHeight w:val="232" w:hRule="atLeast"/>
        </w:trPr>
        <w:tc>
          <w:tcPr>
            <w:tcW w:w="4155" w:type="dxa"/>
          </w:tcPr>
          <w:p>
            <w:pPr>
              <w:pStyle w:val="TableParagraph"/>
              <w:spacing w:line="112" w:lineRule="exact"/>
              <w:ind w:left="100"/>
              <w:rPr>
                <w:b/>
                <w:sz w:val="10"/>
              </w:rPr>
            </w:pPr>
            <w:r>
              <w:rPr>
                <w:b/>
                <w:sz w:val="10"/>
              </w:rPr>
              <w:t>11.3 Financial liabilities</w:t>
            </w:r>
          </w:p>
        </w:tc>
        <w:tc>
          <w:tcPr>
            <w:tcW w:w="356" w:type="dxa"/>
          </w:tcPr>
          <w:p>
            <w:pPr>
              <w:pStyle w:val="TableParagraph"/>
              <w:rPr>
                <w:rFonts w:ascii="Times New Roman"/>
                <w:sz w:val="10"/>
              </w:rPr>
            </w:pPr>
          </w:p>
        </w:tc>
        <w:tc>
          <w:tcPr>
            <w:tcW w:w="1068" w:type="dxa"/>
          </w:tcPr>
          <w:p>
            <w:pPr>
              <w:pStyle w:val="TableParagraph"/>
              <w:rPr>
                <w:rFonts w:ascii="Times New Roman"/>
                <w:sz w:val="10"/>
              </w:rPr>
            </w:pPr>
          </w:p>
        </w:tc>
        <w:tc>
          <w:tcPr>
            <w:tcW w:w="1072" w:type="dxa"/>
          </w:tcPr>
          <w:p>
            <w:pPr>
              <w:pStyle w:val="TableParagraph"/>
              <w:rPr>
                <w:rFonts w:ascii="Times New Roman"/>
                <w:sz w:val="10"/>
              </w:rPr>
            </w:pPr>
          </w:p>
        </w:tc>
        <w:tc>
          <w:tcPr>
            <w:tcW w:w="1075" w:type="dxa"/>
          </w:tcPr>
          <w:p>
            <w:pPr>
              <w:pStyle w:val="TableParagraph"/>
              <w:rPr>
                <w:rFonts w:ascii="Times New Roman"/>
                <w:sz w:val="10"/>
              </w:rPr>
            </w:pPr>
          </w:p>
        </w:tc>
        <w:tc>
          <w:tcPr>
            <w:tcW w:w="1076" w:type="dxa"/>
          </w:tcPr>
          <w:p>
            <w:pPr>
              <w:pStyle w:val="TableParagraph"/>
              <w:rPr>
                <w:rFonts w:ascii="Times New Roman"/>
                <w:sz w:val="10"/>
              </w:rPr>
            </w:pPr>
          </w:p>
        </w:tc>
        <w:tc>
          <w:tcPr>
            <w:tcW w:w="1066" w:type="dxa"/>
          </w:tcPr>
          <w:p>
            <w:pPr>
              <w:pStyle w:val="TableParagraph"/>
              <w:rPr>
                <w:rFonts w:ascii="Times New Roman"/>
                <w:sz w:val="10"/>
              </w:rPr>
            </w:pPr>
          </w:p>
        </w:tc>
      </w:tr>
      <w:tr>
        <w:trPr>
          <w:trHeight w:val="476" w:hRule="atLeast"/>
        </w:trPr>
        <w:tc>
          <w:tcPr>
            <w:tcW w:w="4511" w:type="dxa"/>
            <w:gridSpan w:val="2"/>
          </w:tcPr>
          <w:p>
            <w:pPr>
              <w:pStyle w:val="TableParagraph"/>
              <w:spacing w:before="9"/>
              <w:rPr>
                <w:b/>
                <w:sz w:val="9"/>
              </w:rPr>
            </w:pPr>
          </w:p>
          <w:p>
            <w:pPr>
              <w:pStyle w:val="TableParagraph"/>
              <w:spacing w:line="120" w:lineRule="atLeast"/>
              <w:ind w:left="3515" w:right="68"/>
              <w:jc w:val="center"/>
              <w:rPr>
                <w:b/>
                <w:sz w:val="10"/>
              </w:rPr>
            </w:pPr>
            <w:r>
              <w:rPr>
                <w:b/>
                <w:sz w:val="10"/>
              </w:rPr>
              <w:t>Financial Liabilities measured at amortised cost</w:t>
            </w:r>
          </w:p>
        </w:tc>
        <w:tc>
          <w:tcPr>
            <w:tcW w:w="1068" w:type="dxa"/>
          </w:tcPr>
          <w:p>
            <w:pPr>
              <w:pStyle w:val="TableParagraph"/>
              <w:rPr>
                <w:b/>
                <w:sz w:val="10"/>
              </w:rPr>
            </w:pPr>
          </w:p>
          <w:p>
            <w:pPr>
              <w:pStyle w:val="TableParagraph"/>
              <w:rPr>
                <w:b/>
                <w:sz w:val="10"/>
              </w:rPr>
            </w:pPr>
          </w:p>
          <w:p>
            <w:pPr>
              <w:pStyle w:val="TableParagraph"/>
              <w:spacing w:before="10"/>
              <w:rPr>
                <w:b/>
                <w:sz w:val="10"/>
              </w:rPr>
            </w:pPr>
          </w:p>
          <w:p>
            <w:pPr>
              <w:pStyle w:val="TableParagraph"/>
              <w:spacing w:line="101" w:lineRule="exact"/>
              <w:ind w:left="26" w:right="22"/>
              <w:jc w:val="center"/>
              <w:rPr>
                <w:b/>
                <w:sz w:val="10"/>
              </w:rPr>
            </w:pPr>
            <w:r>
              <w:rPr>
                <w:b/>
                <w:sz w:val="10"/>
              </w:rPr>
              <w:t>Other</w:t>
            </w:r>
          </w:p>
        </w:tc>
        <w:tc>
          <w:tcPr>
            <w:tcW w:w="1072" w:type="dxa"/>
          </w:tcPr>
          <w:p>
            <w:pPr>
              <w:pStyle w:val="TableParagraph"/>
              <w:rPr>
                <w:b/>
                <w:sz w:val="10"/>
              </w:rPr>
            </w:pPr>
          </w:p>
          <w:p>
            <w:pPr>
              <w:pStyle w:val="TableParagraph"/>
              <w:rPr>
                <w:b/>
                <w:sz w:val="10"/>
              </w:rPr>
            </w:pPr>
          </w:p>
          <w:p>
            <w:pPr>
              <w:pStyle w:val="TableParagraph"/>
              <w:spacing w:before="10"/>
              <w:rPr>
                <w:b/>
                <w:sz w:val="10"/>
              </w:rPr>
            </w:pPr>
          </w:p>
          <w:p>
            <w:pPr>
              <w:pStyle w:val="TableParagraph"/>
              <w:spacing w:line="101" w:lineRule="exact"/>
              <w:ind w:left="315" w:right="310"/>
              <w:jc w:val="center"/>
              <w:rPr>
                <w:b/>
                <w:sz w:val="10"/>
              </w:rPr>
            </w:pPr>
            <w:r>
              <w:rPr>
                <w:b/>
                <w:sz w:val="10"/>
              </w:rPr>
              <w:t>Total</w:t>
            </w:r>
          </w:p>
        </w:tc>
        <w:tc>
          <w:tcPr>
            <w:tcW w:w="1075" w:type="dxa"/>
          </w:tcPr>
          <w:p>
            <w:pPr>
              <w:pStyle w:val="TableParagraph"/>
              <w:spacing w:before="9"/>
              <w:rPr>
                <w:b/>
                <w:sz w:val="9"/>
              </w:rPr>
            </w:pPr>
          </w:p>
          <w:p>
            <w:pPr>
              <w:pStyle w:val="TableParagraph"/>
              <w:spacing w:line="120" w:lineRule="atLeast"/>
              <w:ind w:left="75" w:right="72"/>
              <w:jc w:val="center"/>
              <w:rPr>
                <w:b/>
                <w:sz w:val="10"/>
              </w:rPr>
            </w:pPr>
            <w:r>
              <w:rPr>
                <w:b/>
                <w:sz w:val="10"/>
              </w:rPr>
              <w:t>Financial Liabilities measured at amortised cost</w:t>
            </w:r>
          </w:p>
        </w:tc>
        <w:tc>
          <w:tcPr>
            <w:tcW w:w="1076" w:type="dxa"/>
          </w:tcPr>
          <w:p>
            <w:pPr>
              <w:pStyle w:val="TableParagraph"/>
              <w:rPr>
                <w:b/>
                <w:sz w:val="10"/>
              </w:rPr>
            </w:pPr>
          </w:p>
          <w:p>
            <w:pPr>
              <w:pStyle w:val="TableParagraph"/>
              <w:rPr>
                <w:b/>
                <w:sz w:val="10"/>
              </w:rPr>
            </w:pPr>
          </w:p>
          <w:p>
            <w:pPr>
              <w:pStyle w:val="TableParagraph"/>
              <w:spacing w:before="10"/>
              <w:rPr>
                <w:b/>
                <w:sz w:val="10"/>
              </w:rPr>
            </w:pPr>
          </w:p>
          <w:p>
            <w:pPr>
              <w:pStyle w:val="TableParagraph"/>
              <w:spacing w:line="101" w:lineRule="exact"/>
              <w:ind w:left="404"/>
              <w:rPr>
                <w:b/>
                <w:sz w:val="10"/>
              </w:rPr>
            </w:pPr>
            <w:r>
              <w:rPr>
                <w:b/>
                <w:sz w:val="10"/>
              </w:rPr>
              <w:t>Other</w:t>
            </w:r>
          </w:p>
        </w:tc>
        <w:tc>
          <w:tcPr>
            <w:tcW w:w="1066" w:type="dxa"/>
          </w:tcPr>
          <w:p>
            <w:pPr>
              <w:pStyle w:val="TableParagraph"/>
              <w:rPr>
                <w:b/>
                <w:sz w:val="10"/>
              </w:rPr>
            </w:pPr>
          </w:p>
          <w:p>
            <w:pPr>
              <w:pStyle w:val="TableParagraph"/>
              <w:rPr>
                <w:b/>
                <w:sz w:val="10"/>
              </w:rPr>
            </w:pPr>
          </w:p>
          <w:p>
            <w:pPr>
              <w:pStyle w:val="TableParagraph"/>
              <w:spacing w:before="10"/>
              <w:rPr>
                <w:b/>
                <w:sz w:val="10"/>
              </w:rPr>
            </w:pPr>
          </w:p>
          <w:p>
            <w:pPr>
              <w:pStyle w:val="TableParagraph"/>
              <w:spacing w:line="101" w:lineRule="exact"/>
              <w:ind w:right="201"/>
              <w:jc w:val="right"/>
              <w:rPr>
                <w:b/>
                <w:sz w:val="10"/>
              </w:rPr>
            </w:pPr>
            <w:r>
              <w:rPr>
                <w:b/>
                <w:w w:val="95"/>
                <w:sz w:val="10"/>
              </w:rPr>
              <w:t>Total</w:t>
            </w:r>
          </w:p>
        </w:tc>
      </w:tr>
      <w:tr>
        <w:trPr>
          <w:trHeight w:val="125" w:hRule="atLeast"/>
        </w:trPr>
        <w:tc>
          <w:tcPr>
            <w:tcW w:w="4155" w:type="dxa"/>
          </w:tcPr>
          <w:p>
            <w:pPr>
              <w:pStyle w:val="TableParagraph"/>
              <w:spacing w:line="105" w:lineRule="exact" w:before="1"/>
              <w:ind w:right="-15"/>
              <w:jc w:val="right"/>
              <w:rPr>
                <w:b/>
                <w:sz w:val="10"/>
              </w:rPr>
            </w:pPr>
            <w:r>
              <w:rPr>
                <w:b/>
                <w:sz w:val="10"/>
              </w:rPr>
              <w:t>2021-22</w:t>
            </w:r>
          </w:p>
        </w:tc>
        <w:tc>
          <w:tcPr>
            <w:tcW w:w="356" w:type="dxa"/>
          </w:tcPr>
          <w:p>
            <w:pPr>
              <w:pStyle w:val="TableParagraph"/>
              <w:rPr>
                <w:rFonts w:ascii="Times New Roman"/>
                <w:sz w:val="6"/>
              </w:rPr>
            </w:pPr>
          </w:p>
        </w:tc>
        <w:tc>
          <w:tcPr>
            <w:tcW w:w="1068" w:type="dxa"/>
          </w:tcPr>
          <w:p>
            <w:pPr>
              <w:pStyle w:val="TableParagraph"/>
              <w:spacing w:line="105" w:lineRule="exact" w:before="1"/>
              <w:ind w:left="26" w:right="13"/>
              <w:jc w:val="center"/>
              <w:rPr>
                <w:b/>
                <w:sz w:val="10"/>
              </w:rPr>
            </w:pPr>
            <w:r>
              <w:rPr>
                <w:b/>
                <w:sz w:val="10"/>
              </w:rPr>
              <w:t>2021-22</w:t>
            </w:r>
          </w:p>
        </w:tc>
        <w:tc>
          <w:tcPr>
            <w:tcW w:w="1072" w:type="dxa"/>
          </w:tcPr>
          <w:p>
            <w:pPr>
              <w:pStyle w:val="TableParagraph"/>
              <w:spacing w:line="105" w:lineRule="exact" w:before="1"/>
              <w:ind w:left="362"/>
              <w:rPr>
                <w:b/>
                <w:sz w:val="10"/>
              </w:rPr>
            </w:pPr>
            <w:r>
              <w:rPr>
                <w:b/>
                <w:sz w:val="10"/>
              </w:rPr>
              <w:t>2021-22</w:t>
            </w:r>
          </w:p>
        </w:tc>
        <w:tc>
          <w:tcPr>
            <w:tcW w:w="1075" w:type="dxa"/>
          </w:tcPr>
          <w:p>
            <w:pPr>
              <w:pStyle w:val="TableParagraph"/>
              <w:spacing w:line="105" w:lineRule="exact" w:before="1"/>
              <w:ind w:left="363"/>
              <w:rPr>
                <w:b/>
                <w:sz w:val="10"/>
              </w:rPr>
            </w:pPr>
            <w:r>
              <w:rPr>
                <w:b/>
                <w:sz w:val="10"/>
              </w:rPr>
              <w:t>2020-21</w:t>
            </w:r>
          </w:p>
        </w:tc>
        <w:tc>
          <w:tcPr>
            <w:tcW w:w="1076" w:type="dxa"/>
          </w:tcPr>
          <w:p>
            <w:pPr>
              <w:pStyle w:val="TableParagraph"/>
              <w:spacing w:line="105" w:lineRule="exact" w:before="1"/>
              <w:ind w:left="361"/>
              <w:rPr>
                <w:b/>
                <w:sz w:val="10"/>
              </w:rPr>
            </w:pPr>
            <w:r>
              <w:rPr>
                <w:b/>
                <w:sz w:val="10"/>
              </w:rPr>
              <w:t>2020-21</w:t>
            </w:r>
          </w:p>
        </w:tc>
        <w:tc>
          <w:tcPr>
            <w:tcW w:w="1066" w:type="dxa"/>
          </w:tcPr>
          <w:p>
            <w:pPr>
              <w:pStyle w:val="TableParagraph"/>
              <w:spacing w:line="105" w:lineRule="exact" w:before="1"/>
              <w:ind w:right="132"/>
              <w:jc w:val="right"/>
              <w:rPr>
                <w:b/>
                <w:sz w:val="10"/>
              </w:rPr>
            </w:pPr>
            <w:r>
              <w:rPr>
                <w:b/>
                <w:w w:val="95"/>
                <w:sz w:val="10"/>
              </w:rPr>
              <w:t>2020-21</w:t>
            </w:r>
          </w:p>
        </w:tc>
      </w:tr>
      <w:tr>
        <w:trPr>
          <w:trHeight w:val="237" w:hRule="atLeast"/>
        </w:trPr>
        <w:tc>
          <w:tcPr>
            <w:tcW w:w="4155" w:type="dxa"/>
          </w:tcPr>
          <w:p>
            <w:pPr>
              <w:pStyle w:val="TableParagraph"/>
              <w:spacing w:before="7"/>
              <w:ind w:right="47"/>
              <w:jc w:val="right"/>
              <w:rPr>
                <w:b/>
                <w:sz w:val="10"/>
              </w:rPr>
            </w:pPr>
            <w:r>
              <w:rPr>
                <w:b/>
                <w:sz w:val="10"/>
              </w:rPr>
              <w:t>£'000</w:t>
            </w:r>
          </w:p>
        </w:tc>
        <w:tc>
          <w:tcPr>
            <w:tcW w:w="356" w:type="dxa"/>
          </w:tcPr>
          <w:p>
            <w:pPr>
              <w:pStyle w:val="TableParagraph"/>
              <w:rPr>
                <w:rFonts w:ascii="Times New Roman"/>
                <w:sz w:val="10"/>
              </w:rPr>
            </w:pPr>
          </w:p>
        </w:tc>
        <w:tc>
          <w:tcPr>
            <w:tcW w:w="1068" w:type="dxa"/>
          </w:tcPr>
          <w:p>
            <w:pPr>
              <w:pStyle w:val="TableParagraph"/>
              <w:spacing w:before="7"/>
              <w:ind w:left="26" w:right="13"/>
              <w:jc w:val="center"/>
              <w:rPr>
                <w:b/>
                <w:sz w:val="10"/>
              </w:rPr>
            </w:pPr>
            <w:r>
              <w:rPr>
                <w:b/>
                <w:sz w:val="10"/>
              </w:rPr>
              <w:t>£'000</w:t>
            </w:r>
          </w:p>
        </w:tc>
        <w:tc>
          <w:tcPr>
            <w:tcW w:w="1072" w:type="dxa"/>
          </w:tcPr>
          <w:p>
            <w:pPr>
              <w:pStyle w:val="TableParagraph"/>
              <w:spacing w:before="7"/>
              <w:ind w:left="328" w:right="310"/>
              <w:jc w:val="center"/>
              <w:rPr>
                <w:b/>
                <w:sz w:val="10"/>
              </w:rPr>
            </w:pPr>
            <w:r>
              <w:rPr>
                <w:b/>
                <w:sz w:val="10"/>
              </w:rPr>
              <w:t>£'000</w:t>
            </w:r>
          </w:p>
        </w:tc>
        <w:tc>
          <w:tcPr>
            <w:tcW w:w="1075" w:type="dxa"/>
          </w:tcPr>
          <w:p>
            <w:pPr>
              <w:pStyle w:val="TableParagraph"/>
              <w:spacing w:before="7"/>
              <w:ind w:left="423"/>
              <w:rPr>
                <w:b/>
                <w:sz w:val="10"/>
              </w:rPr>
            </w:pPr>
            <w:r>
              <w:rPr>
                <w:b/>
                <w:sz w:val="10"/>
              </w:rPr>
              <w:t>£'000</w:t>
            </w:r>
          </w:p>
        </w:tc>
        <w:tc>
          <w:tcPr>
            <w:tcW w:w="1076" w:type="dxa"/>
          </w:tcPr>
          <w:p>
            <w:pPr>
              <w:pStyle w:val="TableParagraph"/>
              <w:spacing w:before="7"/>
              <w:ind w:left="421"/>
              <w:rPr>
                <w:b/>
                <w:sz w:val="10"/>
              </w:rPr>
            </w:pPr>
            <w:r>
              <w:rPr>
                <w:b/>
                <w:sz w:val="10"/>
              </w:rPr>
              <w:t>£'000</w:t>
            </w:r>
          </w:p>
        </w:tc>
        <w:tc>
          <w:tcPr>
            <w:tcW w:w="1066" w:type="dxa"/>
          </w:tcPr>
          <w:p>
            <w:pPr>
              <w:pStyle w:val="TableParagraph"/>
              <w:spacing w:before="7"/>
              <w:ind w:right="189"/>
              <w:jc w:val="right"/>
              <w:rPr>
                <w:b/>
                <w:sz w:val="10"/>
              </w:rPr>
            </w:pPr>
            <w:r>
              <w:rPr>
                <w:b/>
                <w:w w:val="95"/>
                <w:sz w:val="10"/>
              </w:rPr>
              <w:t>£'000</w:t>
            </w:r>
          </w:p>
        </w:tc>
      </w:tr>
      <w:tr>
        <w:trPr>
          <w:trHeight w:val="115" w:hRule="atLeast"/>
        </w:trPr>
        <w:tc>
          <w:tcPr>
            <w:tcW w:w="4155" w:type="dxa"/>
          </w:tcPr>
          <w:p>
            <w:pPr>
              <w:pStyle w:val="TableParagraph"/>
              <w:spacing w:line="95" w:lineRule="exact"/>
              <w:ind w:left="100"/>
              <w:rPr>
                <w:sz w:val="10"/>
              </w:rPr>
            </w:pPr>
            <w:r>
              <w:rPr>
                <w:sz w:val="10"/>
              </w:rPr>
              <w:t>Loans with group bodies</w:t>
            </w:r>
          </w:p>
        </w:tc>
        <w:tc>
          <w:tcPr>
            <w:tcW w:w="356" w:type="dxa"/>
          </w:tcPr>
          <w:p>
            <w:pPr>
              <w:pStyle w:val="TableParagraph"/>
              <w:spacing w:line="95" w:lineRule="exact"/>
              <w:ind w:right="75"/>
              <w:jc w:val="right"/>
              <w:rPr>
                <w:sz w:val="10"/>
              </w:rPr>
            </w:pPr>
            <w:r>
              <w:rPr>
                <w:w w:val="98"/>
                <w:sz w:val="10"/>
              </w:rPr>
              <w:t>-</w:t>
            </w:r>
          </w:p>
        </w:tc>
        <w:tc>
          <w:tcPr>
            <w:tcW w:w="1068" w:type="dxa"/>
            <w:shd w:val="clear" w:color="auto" w:fill="D7D7D7"/>
          </w:tcPr>
          <w:p>
            <w:pPr>
              <w:pStyle w:val="TableParagraph"/>
              <w:rPr>
                <w:rFonts w:ascii="Times New Roman"/>
                <w:sz w:val="4"/>
              </w:rPr>
            </w:pPr>
          </w:p>
        </w:tc>
        <w:tc>
          <w:tcPr>
            <w:tcW w:w="1072" w:type="dxa"/>
          </w:tcPr>
          <w:p>
            <w:pPr>
              <w:pStyle w:val="TableParagraph"/>
              <w:spacing w:line="95" w:lineRule="exact"/>
              <w:ind w:right="75"/>
              <w:jc w:val="right"/>
              <w:rPr>
                <w:b/>
                <w:sz w:val="10"/>
              </w:rPr>
            </w:pPr>
            <w:r>
              <w:rPr>
                <w:b/>
                <w:w w:val="95"/>
                <w:sz w:val="10"/>
              </w:rPr>
              <w:t>-</w:t>
            </w:r>
          </w:p>
        </w:tc>
        <w:tc>
          <w:tcPr>
            <w:tcW w:w="1075" w:type="dxa"/>
          </w:tcPr>
          <w:p>
            <w:pPr>
              <w:pStyle w:val="TableParagraph"/>
              <w:spacing w:line="95" w:lineRule="exact"/>
              <w:ind w:right="69"/>
              <w:jc w:val="right"/>
              <w:rPr>
                <w:sz w:val="10"/>
              </w:rPr>
            </w:pPr>
            <w:r>
              <w:rPr>
                <w:w w:val="98"/>
                <w:sz w:val="10"/>
              </w:rPr>
              <w:t>-</w:t>
            </w:r>
          </w:p>
        </w:tc>
        <w:tc>
          <w:tcPr>
            <w:tcW w:w="1076" w:type="dxa"/>
            <w:shd w:val="clear" w:color="auto" w:fill="D7D7D7"/>
          </w:tcPr>
          <w:p>
            <w:pPr>
              <w:pStyle w:val="TableParagraph"/>
              <w:rPr>
                <w:rFonts w:ascii="Times New Roman"/>
                <w:sz w:val="4"/>
              </w:rPr>
            </w:pPr>
          </w:p>
        </w:tc>
        <w:tc>
          <w:tcPr>
            <w:tcW w:w="1066" w:type="dxa"/>
          </w:tcPr>
          <w:p>
            <w:pPr>
              <w:pStyle w:val="TableParagraph"/>
              <w:spacing w:line="95" w:lineRule="exact"/>
              <w:ind w:right="102"/>
              <w:jc w:val="right"/>
              <w:rPr>
                <w:b/>
                <w:sz w:val="10"/>
              </w:rPr>
            </w:pPr>
            <w:r>
              <w:rPr>
                <w:b/>
                <w:w w:val="95"/>
                <w:sz w:val="10"/>
              </w:rPr>
              <w:t>-</w:t>
            </w:r>
          </w:p>
        </w:tc>
      </w:tr>
      <w:tr>
        <w:trPr>
          <w:trHeight w:val="118" w:hRule="atLeast"/>
        </w:trPr>
        <w:tc>
          <w:tcPr>
            <w:tcW w:w="4155" w:type="dxa"/>
          </w:tcPr>
          <w:p>
            <w:pPr>
              <w:pStyle w:val="TableParagraph"/>
              <w:spacing w:line="99" w:lineRule="exact"/>
              <w:ind w:left="100"/>
              <w:rPr>
                <w:sz w:val="10"/>
              </w:rPr>
            </w:pPr>
            <w:r>
              <w:rPr>
                <w:sz w:val="10"/>
              </w:rPr>
              <w:t>Loans with external bodies</w:t>
            </w:r>
          </w:p>
        </w:tc>
        <w:tc>
          <w:tcPr>
            <w:tcW w:w="356" w:type="dxa"/>
          </w:tcPr>
          <w:p>
            <w:pPr>
              <w:pStyle w:val="TableParagraph"/>
              <w:spacing w:line="99" w:lineRule="exact"/>
              <w:ind w:right="75"/>
              <w:jc w:val="right"/>
              <w:rPr>
                <w:sz w:val="10"/>
              </w:rPr>
            </w:pPr>
            <w:r>
              <w:rPr>
                <w:w w:val="98"/>
                <w:sz w:val="10"/>
              </w:rPr>
              <w:t>-</w:t>
            </w:r>
          </w:p>
        </w:tc>
        <w:tc>
          <w:tcPr>
            <w:tcW w:w="1068" w:type="dxa"/>
            <w:shd w:val="clear" w:color="auto" w:fill="D7D7D7"/>
          </w:tcPr>
          <w:p>
            <w:pPr>
              <w:pStyle w:val="TableParagraph"/>
              <w:rPr>
                <w:rFonts w:ascii="Times New Roman"/>
                <w:sz w:val="6"/>
              </w:rPr>
            </w:pPr>
          </w:p>
        </w:tc>
        <w:tc>
          <w:tcPr>
            <w:tcW w:w="1072" w:type="dxa"/>
          </w:tcPr>
          <w:p>
            <w:pPr>
              <w:pStyle w:val="TableParagraph"/>
              <w:spacing w:line="99" w:lineRule="exact"/>
              <w:ind w:right="75"/>
              <w:jc w:val="right"/>
              <w:rPr>
                <w:b/>
                <w:sz w:val="10"/>
              </w:rPr>
            </w:pPr>
            <w:r>
              <w:rPr>
                <w:b/>
                <w:w w:val="95"/>
                <w:sz w:val="10"/>
              </w:rPr>
              <w:t>-</w:t>
            </w:r>
          </w:p>
        </w:tc>
        <w:tc>
          <w:tcPr>
            <w:tcW w:w="1075" w:type="dxa"/>
          </w:tcPr>
          <w:p>
            <w:pPr>
              <w:pStyle w:val="TableParagraph"/>
              <w:spacing w:line="99" w:lineRule="exact"/>
              <w:ind w:right="69"/>
              <w:jc w:val="right"/>
              <w:rPr>
                <w:sz w:val="10"/>
              </w:rPr>
            </w:pPr>
            <w:r>
              <w:rPr>
                <w:w w:val="98"/>
                <w:sz w:val="10"/>
              </w:rPr>
              <w:t>-</w:t>
            </w:r>
          </w:p>
        </w:tc>
        <w:tc>
          <w:tcPr>
            <w:tcW w:w="1076" w:type="dxa"/>
            <w:shd w:val="clear" w:color="auto" w:fill="D7D7D7"/>
          </w:tcPr>
          <w:p>
            <w:pPr>
              <w:pStyle w:val="TableParagraph"/>
              <w:rPr>
                <w:rFonts w:ascii="Times New Roman"/>
                <w:sz w:val="6"/>
              </w:rPr>
            </w:pPr>
          </w:p>
        </w:tc>
        <w:tc>
          <w:tcPr>
            <w:tcW w:w="1066" w:type="dxa"/>
          </w:tcPr>
          <w:p>
            <w:pPr>
              <w:pStyle w:val="TableParagraph"/>
              <w:spacing w:line="99" w:lineRule="exact"/>
              <w:ind w:right="102"/>
              <w:jc w:val="right"/>
              <w:rPr>
                <w:b/>
                <w:sz w:val="10"/>
              </w:rPr>
            </w:pPr>
            <w:r>
              <w:rPr>
                <w:b/>
                <w:w w:val="95"/>
                <w:sz w:val="10"/>
              </w:rPr>
              <w:t>-</w:t>
            </w:r>
          </w:p>
        </w:tc>
      </w:tr>
      <w:tr>
        <w:trPr>
          <w:trHeight w:val="120" w:hRule="atLeast"/>
        </w:trPr>
        <w:tc>
          <w:tcPr>
            <w:tcW w:w="4155" w:type="dxa"/>
          </w:tcPr>
          <w:p>
            <w:pPr>
              <w:pStyle w:val="TableParagraph"/>
              <w:spacing w:line="99" w:lineRule="exact" w:before="1"/>
              <w:ind w:left="100"/>
              <w:rPr>
                <w:sz w:val="10"/>
              </w:rPr>
            </w:pPr>
            <w:r>
              <w:rPr>
                <w:sz w:val="10"/>
              </w:rPr>
              <w:t>Trade and other payables with NHSE bodies</w:t>
            </w:r>
          </w:p>
        </w:tc>
        <w:tc>
          <w:tcPr>
            <w:tcW w:w="356" w:type="dxa"/>
          </w:tcPr>
          <w:p>
            <w:pPr>
              <w:pStyle w:val="TableParagraph"/>
              <w:spacing w:line="99" w:lineRule="exact" w:before="1"/>
              <w:ind w:left="-11" w:right="74"/>
              <w:jc w:val="right"/>
              <w:rPr>
                <w:sz w:val="10"/>
              </w:rPr>
            </w:pPr>
            <w:r>
              <w:rPr>
                <w:w w:val="95"/>
                <w:sz w:val="10"/>
              </w:rPr>
              <w:t>142</w:t>
            </w:r>
          </w:p>
        </w:tc>
        <w:tc>
          <w:tcPr>
            <w:tcW w:w="1068" w:type="dxa"/>
            <w:shd w:val="clear" w:color="auto" w:fill="D7D7D7"/>
          </w:tcPr>
          <w:p>
            <w:pPr>
              <w:pStyle w:val="TableParagraph"/>
              <w:rPr>
                <w:rFonts w:ascii="Times New Roman"/>
                <w:sz w:val="6"/>
              </w:rPr>
            </w:pPr>
          </w:p>
        </w:tc>
        <w:tc>
          <w:tcPr>
            <w:tcW w:w="1072" w:type="dxa"/>
          </w:tcPr>
          <w:p>
            <w:pPr>
              <w:pStyle w:val="TableParagraph"/>
              <w:spacing w:line="99" w:lineRule="exact" w:before="1"/>
              <w:ind w:right="73"/>
              <w:jc w:val="right"/>
              <w:rPr>
                <w:b/>
                <w:sz w:val="10"/>
              </w:rPr>
            </w:pPr>
            <w:r>
              <w:rPr>
                <w:b/>
                <w:w w:val="95"/>
                <w:sz w:val="10"/>
              </w:rPr>
              <w:t>142</w:t>
            </w:r>
          </w:p>
        </w:tc>
        <w:tc>
          <w:tcPr>
            <w:tcW w:w="1075" w:type="dxa"/>
          </w:tcPr>
          <w:p>
            <w:pPr>
              <w:pStyle w:val="TableParagraph"/>
              <w:spacing w:line="99" w:lineRule="exact" w:before="1"/>
              <w:ind w:right="68"/>
              <w:jc w:val="right"/>
              <w:rPr>
                <w:sz w:val="10"/>
              </w:rPr>
            </w:pPr>
            <w:r>
              <w:rPr>
                <w:w w:val="95"/>
                <w:sz w:val="10"/>
              </w:rPr>
              <w:t>169</w:t>
            </w:r>
          </w:p>
        </w:tc>
        <w:tc>
          <w:tcPr>
            <w:tcW w:w="1076" w:type="dxa"/>
            <w:shd w:val="clear" w:color="auto" w:fill="D7D7D7"/>
          </w:tcPr>
          <w:p>
            <w:pPr>
              <w:pStyle w:val="TableParagraph"/>
              <w:rPr>
                <w:rFonts w:ascii="Times New Roman"/>
                <w:sz w:val="6"/>
              </w:rPr>
            </w:pPr>
          </w:p>
        </w:tc>
        <w:tc>
          <w:tcPr>
            <w:tcW w:w="1066" w:type="dxa"/>
          </w:tcPr>
          <w:p>
            <w:pPr>
              <w:pStyle w:val="TableParagraph"/>
              <w:spacing w:line="99" w:lineRule="exact" w:before="1"/>
              <w:ind w:right="101"/>
              <w:jc w:val="right"/>
              <w:rPr>
                <w:b/>
                <w:sz w:val="10"/>
              </w:rPr>
            </w:pPr>
            <w:r>
              <w:rPr>
                <w:b/>
                <w:w w:val="95"/>
                <w:sz w:val="10"/>
              </w:rPr>
              <w:t>169</w:t>
            </w:r>
          </w:p>
        </w:tc>
      </w:tr>
      <w:tr>
        <w:trPr>
          <w:trHeight w:val="120" w:hRule="atLeast"/>
        </w:trPr>
        <w:tc>
          <w:tcPr>
            <w:tcW w:w="4155" w:type="dxa"/>
          </w:tcPr>
          <w:p>
            <w:pPr>
              <w:pStyle w:val="TableParagraph"/>
              <w:spacing w:line="99" w:lineRule="exact" w:before="1"/>
              <w:ind w:left="100"/>
              <w:rPr>
                <w:sz w:val="10"/>
              </w:rPr>
            </w:pPr>
            <w:r>
              <w:rPr>
                <w:sz w:val="10"/>
              </w:rPr>
              <w:t>Trade and other payables with other DHSC group bodies</w:t>
            </w:r>
          </w:p>
        </w:tc>
        <w:tc>
          <w:tcPr>
            <w:tcW w:w="356" w:type="dxa"/>
          </w:tcPr>
          <w:p>
            <w:pPr>
              <w:pStyle w:val="TableParagraph"/>
              <w:spacing w:line="99" w:lineRule="exact" w:before="1"/>
              <w:ind w:left="-11" w:right="74"/>
              <w:jc w:val="right"/>
              <w:rPr>
                <w:sz w:val="10"/>
              </w:rPr>
            </w:pPr>
            <w:r>
              <w:rPr>
                <w:w w:val="95"/>
                <w:sz w:val="10"/>
              </w:rPr>
              <w:t>222</w:t>
            </w:r>
          </w:p>
        </w:tc>
        <w:tc>
          <w:tcPr>
            <w:tcW w:w="1068" w:type="dxa"/>
            <w:shd w:val="clear" w:color="auto" w:fill="D7D7D7"/>
          </w:tcPr>
          <w:p>
            <w:pPr>
              <w:pStyle w:val="TableParagraph"/>
              <w:rPr>
                <w:rFonts w:ascii="Times New Roman"/>
                <w:sz w:val="6"/>
              </w:rPr>
            </w:pPr>
          </w:p>
        </w:tc>
        <w:tc>
          <w:tcPr>
            <w:tcW w:w="1072" w:type="dxa"/>
          </w:tcPr>
          <w:p>
            <w:pPr>
              <w:pStyle w:val="TableParagraph"/>
              <w:spacing w:line="99" w:lineRule="exact" w:before="1"/>
              <w:ind w:right="73"/>
              <w:jc w:val="right"/>
              <w:rPr>
                <w:b/>
                <w:sz w:val="10"/>
              </w:rPr>
            </w:pPr>
            <w:r>
              <w:rPr>
                <w:b/>
                <w:w w:val="95"/>
                <w:sz w:val="10"/>
              </w:rPr>
              <w:t>222</w:t>
            </w:r>
          </w:p>
        </w:tc>
        <w:tc>
          <w:tcPr>
            <w:tcW w:w="1075" w:type="dxa"/>
          </w:tcPr>
          <w:p>
            <w:pPr>
              <w:pStyle w:val="TableParagraph"/>
              <w:spacing w:line="99" w:lineRule="exact" w:before="1"/>
              <w:ind w:right="68"/>
              <w:jc w:val="right"/>
              <w:rPr>
                <w:sz w:val="10"/>
              </w:rPr>
            </w:pPr>
            <w:r>
              <w:rPr>
                <w:w w:val="95"/>
                <w:sz w:val="10"/>
              </w:rPr>
              <w:t>8,107</w:t>
            </w:r>
          </w:p>
        </w:tc>
        <w:tc>
          <w:tcPr>
            <w:tcW w:w="1076" w:type="dxa"/>
            <w:shd w:val="clear" w:color="auto" w:fill="D7D7D7"/>
          </w:tcPr>
          <w:p>
            <w:pPr>
              <w:pStyle w:val="TableParagraph"/>
              <w:rPr>
                <w:rFonts w:ascii="Times New Roman"/>
                <w:sz w:val="6"/>
              </w:rPr>
            </w:pPr>
          </w:p>
        </w:tc>
        <w:tc>
          <w:tcPr>
            <w:tcW w:w="1066" w:type="dxa"/>
          </w:tcPr>
          <w:p>
            <w:pPr>
              <w:pStyle w:val="TableParagraph"/>
              <w:spacing w:line="99" w:lineRule="exact" w:before="1"/>
              <w:ind w:right="101"/>
              <w:jc w:val="right"/>
              <w:rPr>
                <w:b/>
                <w:sz w:val="10"/>
              </w:rPr>
            </w:pPr>
            <w:r>
              <w:rPr>
                <w:b/>
                <w:w w:val="95"/>
                <w:sz w:val="10"/>
              </w:rPr>
              <w:t>8,107</w:t>
            </w:r>
          </w:p>
        </w:tc>
      </w:tr>
      <w:tr>
        <w:trPr>
          <w:trHeight w:val="127" w:hRule="atLeast"/>
        </w:trPr>
        <w:tc>
          <w:tcPr>
            <w:tcW w:w="4155" w:type="dxa"/>
          </w:tcPr>
          <w:p>
            <w:pPr>
              <w:pStyle w:val="TableParagraph"/>
              <w:spacing w:line="106" w:lineRule="exact" w:before="1"/>
              <w:ind w:left="100"/>
              <w:rPr>
                <w:sz w:val="10"/>
              </w:rPr>
            </w:pPr>
            <w:r>
              <w:rPr>
                <w:sz w:val="10"/>
              </w:rPr>
              <w:t>Trade and other payables with external bodies</w:t>
            </w:r>
          </w:p>
        </w:tc>
        <w:tc>
          <w:tcPr>
            <w:tcW w:w="356" w:type="dxa"/>
          </w:tcPr>
          <w:p>
            <w:pPr>
              <w:pStyle w:val="TableParagraph"/>
              <w:spacing w:line="106" w:lineRule="exact" w:before="1"/>
              <w:ind w:left="-11" w:right="74"/>
              <w:jc w:val="right"/>
              <w:rPr>
                <w:sz w:val="10"/>
              </w:rPr>
            </w:pPr>
            <w:r>
              <w:rPr>
                <w:spacing w:val="-2"/>
                <w:w w:val="95"/>
                <w:sz w:val="10"/>
              </w:rPr>
              <w:t>19,676</w:t>
            </w:r>
          </w:p>
        </w:tc>
        <w:tc>
          <w:tcPr>
            <w:tcW w:w="1068" w:type="dxa"/>
            <w:shd w:val="clear" w:color="auto" w:fill="D7D7D7"/>
          </w:tcPr>
          <w:p>
            <w:pPr>
              <w:pStyle w:val="TableParagraph"/>
              <w:rPr>
                <w:rFonts w:ascii="Times New Roman"/>
                <w:sz w:val="6"/>
              </w:rPr>
            </w:pPr>
          </w:p>
        </w:tc>
        <w:tc>
          <w:tcPr>
            <w:tcW w:w="1072" w:type="dxa"/>
          </w:tcPr>
          <w:p>
            <w:pPr>
              <w:pStyle w:val="TableParagraph"/>
              <w:spacing w:line="106" w:lineRule="exact" w:before="1"/>
              <w:ind w:right="73"/>
              <w:jc w:val="right"/>
              <w:rPr>
                <w:b/>
                <w:sz w:val="10"/>
              </w:rPr>
            </w:pPr>
            <w:r>
              <w:rPr>
                <w:b/>
                <w:w w:val="95"/>
                <w:sz w:val="10"/>
              </w:rPr>
              <w:t>19,676</w:t>
            </w:r>
          </w:p>
        </w:tc>
        <w:tc>
          <w:tcPr>
            <w:tcW w:w="1075" w:type="dxa"/>
          </w:tcPr>
          <w:p>
            <w:pPr>
              <w:pStyle w:val="TableParagraph"/>
              <w:spacing w:line="106" w:lineRule="exact" w:before="1"/>
              <w:ind w:right="68"/>
              <w:jc w:val="right"/>
              <w:rPr>
                <w:sz w:val="10"/>
              </w:rPr>
            </w:pPr>
            <w:r>
              <w:rPr>
                <w:w w:val="95"/>
                <w:sz w:val="10"/>
              </w:rPr>
              <w:t>10,084</w:t>
            </w:r>
          </w:p>
        </w:tc>
        <w:tc>
          <w:tcPr>
            <w:tcW w:w="1076" w:type="dxa"/>
            <w:shd w:val="clear" w:color="auto" w:fill="D7D7D7"/>
          </w:tcPr>
          <w:p>
            <w:pPr>
              <w:pStyle w:val="TableParagraph"/>
              <w:rPr>
                <w:rFonts w:ascii="Times New Roman"/>
                <w:sz w:val="6"/>
              </w:rPr>
            </w:pPr>
          </w:p>
        </w:tc>
        <w:tc>
          <w:tcPr>
            <w:tcW w:w="1066" w:type="dxa"/>
          </w:tcPr>
          <w:p>
            <w:pPr>
              <w:pStyle w:val="TableParagraph"/>
              <w:spacing w:line="106" w:lineRule="exact" w:before="1"/>
              <w:ind w:right="101"/>
              <w:jc w:val="right"/>
              <w:rPr>
                <w:b/>
                <w:sz w:val="10"/>
              </w:rPr>
            </w:pPr>
            <w:r>
              <w:rPr>
                <w:b/>
                <w:w w:val="95"/>
                <w:sz w:val="10"/>
              </w:rPr>
              <w:t>10,084</w:t>
            </w:r>
          </w:p>
        </w:tc>
      </w:tr>
      <w:tr>
        <w:trPr>
          <w:trHeight w:val="248" w:hRule="atLeast"/>
        </w:trPr>
        <w:tc>
          <w:tcPr>
            <w:tcW w:w="4155" w:type="dxa"/>
          </w:tcPr>
          <w:p>
            <w:pPr>
              <w:pStyle w:val="TableParagraph"/>
              <w:spacing w:line="110" w:lineRule="exact" w:before="8"/>
              <w:ind w:left="100"/>
              <w:rPr>
                <w:sz w:val="10"/>
              </w:rPr>
            </w:pPr>
            <w:r>
              <w:rPr>
                <w:sz w:val="10"/>
              </w:rPr>
              <w:t>Other financial liabilities</w:t>
            </w:r>
          </w:p>
          <w:p>
            <w:pPr>
              <w:pStyle w:val="TableParagraph"/>
              <w:tabs>
                <w:tab w:pos="3522" w:val="left" w:leader="none"/>
                <w:tab w:pos="4429" w:val="left" w:leader="none"/>
              </w:tabs>
              <w:spacing w:line="110" w:lineRule="exact"/>
              <w:ind w:left="100" w:right="-288"/>
              <w:rPr>
                <w:sz w:val="10"/>
              </w:rPr>
            </w:pPr>
            <w:r>
              <w:rPr>
                <w:sz w:val="10"/>
              </w:rPr>
              <w:t>Private Finance Initiative and finance lease</w:t>
            </w:r>
            <w:r>
              <w:rPr>
                <w:spacing w:val="-21"/>
                <w:sz w:val="10"/>
              </w:rPr>
              <w:t> </w:t>
            </w:r>
            <w:r>
              <w:rPr>
                <w:sz w:val="10"/>
              </w:rPr>
              <w:t>obligations</w:t>
              <w:tab/>
            </w:r>
            <w:r>
              <w:rPr>
                <w:w w:val="98"/>
                <w:sz w:val="10"/>
                <w:u w:val="single"/>
              </w:rPr>
              <w:t> </w:t>
            </w:r>
            <w:r>
              <w:rPr>
                <w:sz w:val="10"/>
                <w:u w:val="single"/>
              </w:rPr>
              <w:tab/>
            </w:r>
          </w:p>
        </w:tc>
        <w:tc>
          <w:tcPr>
            <w:tcW w:w="356" w:type="dxa"/>
          </w:tcPr>
          <w:p>
            <w:pPr>
              <w:pStyle w:val="TableParagraph"/>
              <w:spacing w:line="110" w:lineRule="exact" w:before="8"/>
              <w:ind w:right="75"/>
              <w:jc w:val="right"/>
              <w:rPr>
                <w:sz w:val="10"/>
              </w:rPr>
            </w:pPr>
            <w:r>
              <w:rPr>
                <w:w w:val="98"/>
                <w:sz w:val="10"/>
              </w:rPr>
              <w:t>-</w:t>
            </w:r>
          </w:p>
          <w:p>
            <w:pPr>
              <w:pStyle w:val="TableParagraph"/>
              <w:spacing w:line="110" w:lineRule="exact"/>
              <w:ind w:right="46"/>
              <w:jc w:val="right"/>
              <w:rPr>
                <w:sz w:val="10"/>
              </w:rPr>
            </w:pPr>
            <w:r>
              <w:rPr>
                <w:w w:val="98"/>
                <w:sz w:val="10"/>
              </w:rPr>
              <w:t>-</w:t>
            </w:r>
          </w:p>
        </w:tc>
        <w:tc>
          <w:tcPr>
            <w:tcW w:w="1068" w:type="dxa"/>
            <w:shd w:val="clear" w:color="auto" w:fill="D7D7D7"/>
          </w:tcPr>
          <w:p>
            <w:pPr>
              <w:pStyle w:val="TableParagraph"/>
              <w:spacing w:before="1"/>
              <w:rPr>
                <w:b/>
                <w:sz w:val="19"/>
              </w:rPr>
            </w:pPr>
          </w:p>
          <w:p>
            <w:pPr>
              <w:pStyle w:val="TableParagraph"/>
              <w:spacing w:line="20" w:lineRule="exact"/>
              <w:ind w:left="1068" w:right="-87"/>
              <w:rPr>
                <w:sz w:val="2"/>
              </w:rPr>
            </w:pPr>
            <w:r>
              <w:rPr>
                <w:sz w:val="2"/>
              </w:rPr>
              <w:pict>
                <v:group style="width:1pt;height:.25pt;mso-position-horizontal-relative:char;mso-position-vertical-relative:line" coordorigin="0,0" coordsize="20,5">
                  <v:rect style="position:absolute;left:0;top:0;width:20;height:5" filled="true" fillcolor="#000000" stroked="false">
                    <v:fill type="solid"/>
                  </v:rect>
                </v:group>
              </w:pict>
            </w:r>
            <w:r>
              <w:rPr>
                <w:sz w:val="2"/>
              </w:rPr>
            </w:r>
          </w:p>
        </w:tc>
        <w:tc>
          <w:tcPr>
            <w:tcW w:w="1072" w:type="dxa"/>
          </w:tcPr>
          <w:p>
            <w:pPr>
              <w:pStyle w:val="TableParagraph"/>
              <w:spacing w:line="110" w:lineRule="exact" w:before="8"/>
              <w:ind w:right="75"/>
              <w:jc w:val="right"/>
              <w:rPr>
                <w:b/>
                <w:sz w:val="10"/>
              </w:rPr>
            </w:pPr>
            <w:r>
              <w:rPr>
                <w:b/>
                <w:w w:val="95"/>
                <w:sz w:val="10"/>
              </w:rPr>
              <w:t>-</w:t>
            </w:r>
          </w:p>
          <w:p>
            <w:pPr>
              <w:pStyle w:val="TableParagraph"/>
              <w:tabs>
                <w:tab w:pos="907" w:val="left" w:leader="none"/>
              </w:tabs>
              <w:spacing w:line="110" w:lineRule="exact"/>
              <w:ind w:right="49"/>
              <w:jc w:val="right"/>
              <w:rPr>
                <w:b/>
                <w:sz w:val="10"/>
              </w:rPr>
            </w:pPr>
            <w:r>
              <w:rPr>
                <w:b/>
                <w:w w:val="100"/>
                <w:sz w:val="10"/>
                <w:u w:val="single"/>
              </w:rPr>
              <w:t> </w:t>
            </w:r>
            <w:r>
              <w:rPr>
                <w:b/>
                <w:sz w:val="10"/>
                <w:u w:val="single"/>
              </w:rPr>
              <w:tab/>
              <w:t>-</w:t>
            </w:r>
            <w:r>
              <w:rPr>
                <w:b/>
                <w:spacing w:val="-2"/>
                <w:sz w:val="10"/>
                <w:u w:val="single"/>
              </w:rPr>
              <w:t> </w:t>
            </w:r>
          </w:p>
        </w:tc>
        <w:tc>
          <w:tcPr>
            <w:tcW w:w="1075" w:type="dxa"/>
          </w:tcPr>
          <w:p>
            <w:pPr>
              <w:pStyle w:val="TableParagraph"/>
              <w:spacing w:line="110" w:lineRule="exact" w:before="8"/>
              <w:ind w:right="69"/>
              <w:jc w:val="right"/>
              <w:rPr>
                <w:sz w:val="10"/>
              </w:rPr>
            </w:pPr>
            <w:r>
              <w:rPr>
                <w:w w:val="98"/>
                <w:sz w:val="10"/>
              </w:rPr>
              <w:t>-</w:t>
            </w:r>
          </w:p>
          <w:p>
            <w:pPr>
              <w:pStyle w:val="TableParagraph"/>
              <w:tabs>
                <w:tab w:pos="923" w:val="left" w:leader="none"/>
              </w:tabs>
              <w:spacing w:line="110" w:lineRule="exact"/>
              <w:ind w:right="38"/>
              <w:jc w:val="right"/>
              <w:rPr>
                <w:sz w:val="10"/>
              </w:rPr>
            </w:pPr>
            <w:r>
              <w:rPr>
                <w:w w:val="98"/>
                <w:sz w:val="10"/>
                <w:u w:val="single"/>
              </w:rPr>
              <w:t> </w:t>
            </w:r>
            <w:r>
              <w:rPr>
                <w:sz w:val="10"/>
                <w:u w:val="single"/>
              </w:rPr>
              <w:tab/>
            </w:r>
            <w:r>
              <w:rPr>
                <w:w w:val="95"/>
                <w:sz w:val="10"/>
              </w:rPr>
              <w:t>-</w:t>
            </w:r>
          </w:p>
        </w:tc>
        <w:tc>
          <w:tcPr>
            <w:tcW w:w="1076" w:type="dxa"/>
            <w:shd w:val="clear" w:color="auto" w:fill="D7D7D7"/>
          </w:tcPr>
          <w:p>
            <w:pPr>
              <w:pStyle w:val="TableParagraph"/>
              <w:spacing w:before="1"/>
              <w:rPr>
                <w:b/>
                <w:sz w:val="19"/>
              </w:rPr>
            </w:pPr>
          </w:p>
          <w:p>
            <w:pPr>
              <w:pStyle w:val="TableParagraph"/>
              <w:spacing w:line="20" w:lineRule="exact"/>
              <w:ind w:left="1074" w:right="-87"/>
              <w:rPr>
                <w:sz w:val="2"/>
              </w:rPr>
            </w:pPr>
            <w:r>
              <w:rPr>
                <w:sz w:val="2"/>
              </w:rPr>
              <w:pict>
                <v:group style="width:1.1pt;height:.25pt;mso-position-horizontal-relative:char;mso-position-vertical-relative:line" coordorigin="0,0" coordsize="22,5">
                  <v:rect style="position:absolute;left:0;top:0;width:22;height:5" filled="true" fillcolor="#000000" stroked="false">
                    <v:fill type="solid"/>
                  </v:rect>
                </v:group>
              </w:pict>
            </w:r>
            <w:r>
              <w:rPr>
                <w:sz w:val="2"/>
              </w:rPr>
            </w:r>
          </w:p>
        </w:tc>
        <w:tc>
          <w:tcPr>
            <w:tcW w:w="1066" w:type="dxa"/>
          </w:tcPr>
          <w:p>
            <w:pPr>
              <w:pStyle w:val="TableParagraph"/>
              <w:spacing w:line="110" w:lineRule="exact" w:before="8"/>
              <w:ind w:right="102"/>
              <w:jc w:val="right"/>
              <w:rPr>
                <w:b/>
                <w:sz w:val="10"/>
              </w:rPr>
            </w:pPr>
            <w:r>
              <w:rPr>
                <w:b/>
                <w:w w:val="95"/>
                <w:sz w:val="10"/>
              </w:rPr>
              <w:t>-</w:t>
            </w:r>
          </w:p>
          <w:p>
            <w:pPr>
              <w:pStyle w:val="TableParagraph"/>
              <w:tabs>
                <w:tab w:pos="436" w:val="left" w:leader="none"/>
              </w:tabs>
              <w:spacing w:line="110" w:lineRule="exact"/>
              <w:ind w:right="103"/>
              <w:jc w:val="right"/>
              <w:rPr>
                <w:b/>
                <w:sz w:val="10"/>
              </w:rPr>
            </w:pPr>
            <w:r>
              <w:rPr>
                <w:b/>
                <w:w w:val="100"/>
                <w:sz w:val="10"/>
                <w:u w:val="single"/>
              </w:rPr>
              <w:t> </w:t>
            </w:r>
            <w:r>
              <w:rPr>
                <w:b/>
                <w:sz w:val="10"/>
                <w:u w:val="single"/>
              </w:rPr>
              <w:tab/>
              <w:t>-</w:t>
            </w:r>
          </w:p>
        </w:tc>
      </w:tr>
    </w:tbl>
    <w:p>
      <w:pPr>
        <w:tabs>
          <w:tab w:pos="3704" w:val="left" w:leader="none"/>
          <w:tab w:pos="4343" w:val="left" w:leader="none"/>
          <w:tab w:pos="5732" w:val="left" w:leader="none"/>
          <w:tab w:pos="6483" w:val="left" w:leader="none"/>
          <w:tab w:pos="7566" w:val="left" w:leader="none"/>
          <w:tab w:pos="8953" w:val="left" w:leader="none"/>
          <w:tab w:pos="9505" w:val="left" w:leader="none"/>
        </w:tabs>
        <w:spacing w:before="0"/>
        <w:ind w:left="313" w:right="0" w:firstLine="0"/>
        <w:jc w:val="left"/>
        <w:rPr>
          <w:b/>
          <w:sz w:val="10"/>
        </w:rPr>
      </w:pPr>
      <w:r>
        <w:rPr>
          <w:b/>
          <w:sz w:val="10"/>
        </w:rPr>
        <w:t>Total at 31</w:t>
      </w:r>
      <w:r>
        <w:rPr>
          <w:b/>
          <w:spacing w:val="-16"/>
          <w:sz w:val="10"/>
        </w:rPr>
        <w:t> </w:t>
      </w:r>
      <w:r>
        <w:rPr>
          <w:b/>
          <w:sz w:val="10"/>
        </w:rPr>
        <w:t>March</w:t>
      </w:r>
      <w:r>
        <w:rPr>
          <w:b/>
          <w:spacing w:val="-6"/>
          <w:sz w:val="10"/>
        </w:rPr>
        <w:t> </w:t>
      </w:r>
      <w:r>
        <w:rPr>
          <w:b/>
          <w:sz w:val="10"/>
        </w:rPr>
        <w:t>2022</w:t>
        <w:tab/>
      </w:r>
      <w:r>
        <w:rPr>
          <w:b/>
          <w:sz w:val="10"/>
          <w:u w:val="single"/>
        </w:rPr>
        <w:t> </w:t>
        <w:tab/>
        <w:t>20,040</w:t>
        <w:tab/>
        <w:t>-</w:t>
        <w:tab/>
        <w:t>20,040</w:t>
        <w:tab/>
        <w:t>18,360</w:t>
        <w:tab/>
      </w:r>
      <w:r>
        <w:rPr>
          <w:b/>
          <w:sz w:val="10"/>
        </w:rPr>
        <w:t>-</w:t>
        <w:tab/>
      </w:r>
      <w:r>
        <w:rPr>
          <w:b/>
          <w:sz w:val="10"/>
          <w:u w:val="single"/>
        </w:rPr>
        <w:t> 18,360</w:t>
      </w:r>
      <w:r>
        <w:rPr>
          <w:b/>
          <w:spacing w:val="-3"/>
          <w:sz w:val="10"/>
          <w:u w:val="single"/>
        </w:rPr>
        <w:t> </w:t>
      </w:r>
    </w:p>
    <w:p>
      <w:pPr>
        <w:spacing w:after="0"/>
        <w:jc w:val="left"/>
        <w:rPr>
          <w:sz w:val="10"/>
        </w:rPr>
        <w:sectPr>
          <w:footerReference w:type="default" r:id="rId60"/>
          <w:pgSz w:w="11920" w:h="16850"/>
          <w:pgMar w:footer="405" w:header="0" w:top="1080" w:bottom="600" w:left="740" w:right="520"/>
          <w:pgNumType w:start="21"/>
        </w:sectPr>
      </w:pPr>
    </w:p>
    <w:p>
      <w:pPr>
        <w:spacing w:before="72"/>
        <w:ind w:left="479" w:right="0" w:firstLine="0"/>
        <w:jc w:val="left"/>
        <w:rPr>
          <w:sz w:val="10"/>
        </w:rPr>
      </w:pPr>
      <w:r>
        <w:rPr>
          <w:sz w:val="10"/>
        </w:rPr>
        <w:t>NHS North Lincolnshire CCG - Annual Accounts 2021-22</w:t>
      </w:r>
    </w:p>
    <w:p>
      <w:pPr>
        <w:pStyle w:val="BodyText"/>
        <w:spacing w:before="7"/>
        <w:rPr>
          <w:sz w:val="11"/>
        </w:rPr>
      </w:pPr>
    </w:p>
    <w:p>
      <w:pPr>
        <w:spacing w:before="1"/>
        <w:ind w:left="479" w:right="0" w:firstLine="0"/>
        <w:jc w:val="left"/>
        <w:rPr>
          <w:b/>
          <w:sz w:val="10"/>
        </w:rPr>
      </w:pPr>
      <w:r>
        <w:rPr>
          <w:b/>
          <w:sz w:val="10"/>
        </w:rPr>
        <w:t>12. Contingencies</w:t>
      </w:r>
    </w:p>
    <w:p>
      <w:pPr>
        <w:pStyle w:val="BodyText"/>
        <w:rPr>
          <w:b/>
          <w:sz w:val="10"/>
        </w:rPr>
      </w:pPr>
    </w:p>
    <w:p>
      <w:pPr>
        <w:pStyle w:val="BodyText"/>
        <w:spacing w:before="6"/>
        <w:rPr>
          <w:b/>
          <w:sz w:val="12"/>
        </w:rPr>
      </w:pPr>
    </w:p>
    <w:p>
      <w:pPr>
        <w:spacing w:before="0"/>
        <w:ind w:left="479" w:right="0" w:firstLine="0"/>
        <w:jc w:val="left"/>
        <w:rPr>
          <w:sz w:val="10"/>
        </w:rPr>
      </w:pPr>
      <w:r>
        <w:rPr>
          <w:sz w:val="10"/>
        </w:rPr>
        <w:t>North Lincolnshire CCG had no contingent liabilities in 2021-22 (None in 2020-21)</w:t>
      </w:r>
    </w:p>
    <w:p>
      <w:pPr>
        <w:pStyle w:val="BodyText"/>
        <w:rPr>
          <w:sz w:val="10"/>
        </w:rPr>
      </w:pPr>
    </w:p>
    <w:p>
      <w:pPr>
        <w:pStyle w:val="BodyText"/>
        <w:spacing w:before="6"/>
        <w:rPr>
          <w:sz w:val="12"/>
        </w:rPr>
      </w:pPr>
    </w:p>
    <w:p>
      <w:pPr>
        <w:pStyle w:val="ListParagraph"/>
        <w:numPr>
          <w:ilvl w:val="0"/>
          <w:numId w:val="36"/>
        </w:numPr>
        <w:tabs>
          <w:tab w:pos="619" w:val="left" w:leader="none"/>
        </w:tabs>
        <w:spacing w:line="240" w:lineRule="auto" w:before="0" w:after="0"/>
        <w:ind w:left="618" w:right="0" w:hanging="143"/>
        <w:jc w:val="left"/>
        <w:rPr>
          <w:b/>
          <w:sz w:val="10"/>
        </w:rPr>
      </w:pPr>
      <w:r>
        <w:rPr>
          <w:b/>
          <w:sz w:val="10"/>
        </w:rPr>
        <w:t>Operating Segments</w:t>
      </w:r>
    </w:p>
    <w:p>
      <w:pPr>
        <w:pStyle w:val="BodyText"/>
        <w:spacing w:before="8"/>
        <w:rPr>
          <w:b/>
          <w:sz w:val="11"/>
        </w:rPr>
      </w:pPr>
    </w:p>
    <w:p>
      <w:pPr>
        <w:spacing w:before="1"/>
        <w:ind w:left="479" w:right="0" w:firstLine="0"/>
        <w:jc w:val="left"/>
        <w:rPr>
          <w:sz w:val="10"/>
        </w:rPr>
      </w:pPr>
      <w:r>
        <w:rPr>
          <w:sz w:val="10"/>
        </w:rPr>
        <w:t>North Lincolnshire CCG considers they only have one operating segment, namely the commissioning of healthcare services. The position in 2020/21 was the same.</w:t>
      </w:r>
    </w:p>
    <w:p>
      <w:pPr>
        <w:pStyle w:val="BodyText"/>
        <w:rPr>
          <w:sz w:val="10"/>
        </w:rPr>
      </w:pPr>
    </w:p>
    <w:p>
      <w:pPr>
        <w:pStyle w:val="BodyText"/>
        <w:spacing w:before="6"/>
        <w:rPr>
          <w:sz w:val="12"/>
        </w:rPr>
      </w:pPr>
    </w:p>
    <w:p>
      <w:pPr>
        <w:pStyle w:val="ListParagraph"/>
        <w:numPr>
          <w:ilvl w:val="0"/>
          <w:numId w:val="36"/>
        </w:numPr>
        <w:tabs>
          <w:tab w:pos="619" w:val="left" w:leader="none"/>
        </w:tabs>
        <w:spacing w:line="240" w:lineRule="auto" w:before="0" w:after="0"/>
        <w:ind w:left="618" w:right="0" w:hanging="143"/>
        <w:jc w:val="left"/>
        <w:rPr>
          <w:b/>
          <w:sz w:val="10"/>
        </w:rPr>
      </w:pPr>
      <w:r>
        <w:rPr>
          <w:b/>
          <w:sz w:val="10"/>
        </w:rPr>
        <w:t>Pooled Budget</w:t>
      </w:r>
    </w:p>
    <w:p>
      <w:pPr>
        <w:pStyle w:val="BodyText"/>
        <w:spacing w:before="8"/>
        <w:rPr>
          <w:b/>
          <w:sz w:val="11"/>
        </w:rPr>
      </w:pPr>
    </w:p>
    <w:p>
      <w:pPr>
        <w:spacing w:line="520" w:lineRule="auto" w:before="0"/>
        <w:ind w:left="479" w:right="4452" w:firstLine="0"/>
        <w:jc w:val="left"/>
        <w:rPr>
          <w:sz w:val="10"/>
        </w:rPr>
      </w:pPr>
      <w:r>
        <w:rPr>
          <w:sz w:val="10"/>
        </w:rPr>
        <w:t>North Lincolnshire CCG are part of a pooled budget arrangement for the Better Care Fund (BCF) with North Lincolnshire Council. The table below includes details of these arrangements, along with the financial values recognised in the CCG's accounts:</w:t>
      </w:r>
    </w:p>
    <w:p>
      <w:pPr>
        <w:pStyle w:val="BodyText"/>
        <w:spacing w:before="10"/>
        <w:rPr>
          <w:sz w:val="9"/>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1355"/>
        <w:gridCol w:w="2341"/>
        <w:gridCol w:w="527"/>
        <w:gridCol w:w="527"/>
        <w:gridCol w:w="320"/>
        <w:gridCol w:w="649"/>
        <w:gridCol w:w="536"/>
        <w:gridCol w:w="568"/>
        <w:gridCol w:w="552"/>
        <w:gridCol w:w="537"/>
      </w:tblGrid>
      <w:tr>
        <w:trPr>
          <w:trHeight w:val="285" w:hRule="atLeast"/>
        </w:trPr>
        <w:tc>
          <w:tcPr>
            <w:tcW w:w="9546" w:type="dxa"/>
            <w:gridSpan w:val="11"/>
            <w:tcBorders>
              <w:bottom w:val="single" w:sz="2" w:space="0" w:color="000000"/>
            </w:tcBorders>
          </w:tcPr>
          <w:p>
            <w:pPr>
              <w:pStyle w:val="TableParagraph"/>
              <w:tabs>
                <w:tab w:pos="7422" w:val="left" w:leader="none"/>
              </w:tabs>
              <w:spacing w:before="5"/>
              <w:ind w:left="5056"/>
              <w:jc w:val="center"/>
              <w:rPr>
                <w:rFonts w:ascii="Calibri"/>
                <w:b/>
                <w:sz w:val="11"/>
              </w:rPr>
            </w:pPr>
            <w:r>
              <w:rPr>
                <w:rFonts w:ascii="Calibri"/>
                <w:b/>
                <w:sz w:val="11"/>
              </w:rPr>
              <w:t>Amounts recognised in Entities</w:t>
            </w:r>
            <w:r>
              <w:rPr>
                <w:rFonts w:ascii="Calibri"/>
                <w:b/>
                <w:spacing w:val="-20"/>
                <w:sz w:val="11"/>
              </w:rPr>
              <w:t> </w:t>
            </w:r>
            <w:r>
              <w:rPr>
                <w:rFonts w:ascii="Calibri"/>
                <w:b/>
                <w:sz w:val="11"/>
              </w:rPr>
              <w:t>books</w:t>
            </w:r>
            <w:r>
              <w:rPr>
                <w:rFonts w:ascii="Calibri"/>
                <w:b/>
                <w:spacing w:val="-6"/>
                <w:sz w:val="11"/>
              </w:rPr>
              <w:t> </w:t>
            </w:r>
            <w:r>
              <w:rPr>
                <w:rFonts w:ascii="Calibri"/>
                <w:b/>
                <w:sz w:val="11"/>
              </w:rPr>
              <w:t>ONLY</w:t>
              <w:tab/>
              <w:t>Amounts</w:t>
            </w:r>
            <w:r>
              <w:rPr>
                <w:rFonts w:ascii="Calibri"/>
                <w:b/>
                <w:spacing w:val="-4"/>
                <w:sz w:val="11"/>
              </w:rPr>
              <w:t> </w:t>
            </w:r>
            <w:r>
              <w:rPr>
                <w:rFonts w:ascii="Calibri"/>
                <w:b/>
                <w:sz w:val="11"/>
              </w:rPr>
              <w:t>recognised</w:t>
            </w:r>
            <w:r>
              <w:rPr>
                <w:rFonts w:ascii="Calibri"/>
                <w:b/>
                <w:spacing w:val="-3"/>
                <w:sz w:val="11"/>
              </w:rPr>
              <w:t> </w:t>
            </w:r>
            <w:r>
              <w:rPr>
                <w:rFonts w:ascii="Calibri"/>
                <w:b/>
                <w:sz w:val="11"/>
              </w:rPr>
              <w:t>in</w:t>
            </w:r>
            <w:r>
              <w:rPr>
                <w:rFonts w:ascii="Calibri"/>
                <w:b/>
                <w:spacing w:val="-2"/>
                <w:sz w:val="11"/>
              </w:rPr>
              <w:t> </w:t>
            </w:r>
            <w:r>
              <w:rPr>
                <w:rFonts w:ascii="Calibri"/>
                <w:b/>
                <w:sz w:val="11"/>
              </w:rPr>
              <w:t>Entities</w:t>
            </w:r>
            <w:r>
              <w:rPr>
                <w:rFonts w:ascii="Calibri"/>
                <w:b/>
                <w:spacing w:val="-4"/>
                <w:sz w:val="11"/>
              </w:rPr>
              <w:t> </w:t>
            </w:r>
            <w:r>
              <w:rPr>
                <w:rFonts w:ascii="Calibri"/>
                <w:b/>
                <w:sz w:val="11"/>
              </w:rPr>
              <w:t>books</w:t>
            </w:r>
            <w:r>
              <w:rPr>
                <w:rFonts w:ascii="Calibri"/>
                <w:b/>
                <w:spacing w:val="-10"/>
                <w:sz w:val="11"/>
              </w:rPr>
              <w:t> </w:t>
            </w:r>
            <w:r>
              <w:rPr>
                <w:rFonts w:ascii="Calibri"/>
                <w:b/>
                <w:sz w:val="11"/>
              </w:rPr>
              <w:t>ONLY</w:t>
            </w:r>
          </w:p>
          <w:p>
            <w:pPr>
              <w:pStyle w:val="TableParagraph"/>
              <w:tabs>
                <w:tab w:pos="7426" w:val="left" w:leader="none"/>
              </w:tabs>
              <w:spacing w:line="114" w:lineRule="exact" w:before="11"/>
              <w:ind w:left="5058"/>
              <w:jc w:val="center"/>
              <w:rPr>
                <w:b/>
                <w:sz w:val="10"/>
              </w:rPr>
            </w:pPr>
            <w:r>
              <w:rPr>
                <w:b/>
                <w:sz w:val="10"/>
              </w:rPr>
              <w:t>2021/22</w:t>
              <w:tab/>
              <w:t>2020/21</w:t>
            </w:r>
          </w:p>
        </w:tc>
      </w:tr>
      <w:tr>
        <w:trPr>
          <w:trHeight w:val="242" w:hRule="atLeast"/>
        </w:trPr>
        <w:tc>
          <w:tcPr>
            <w:tcW w:w="9546" w:type="dxa"/>
            <w:gridSpan w:val="11"/>
            <w:tcBorders>
              <w:top w:val="single" w:sz="2" w:space="0" w:color="000000"/>
              <w:bottom w:val="single" w:sz="2" w:space="0" w:color="000000"/>
            </w:tcBorders>
          </w:tcPr>
          <w:p>
            <w:pPr>
              <w:pStyle w:val="TableParagraph"/>
              <w:tabs>
                <w:tab w:pos="2015" w:val="left" w:leader="none"/>
                <w:tab w:pos="3182" w:val="left" w:leader="none"/>
                <w:tab w:pos="5027" w:val="left" w:leader="none"/>
                <w:tab w:pos="7432" w:val="left" w:leader="none"/>
              </w:tabs>
              <w:spacing w:line="130" w:lineRule="exact"/>
              <w:ind w:left="314"/>
              <w:rPr>
                <w:b/>
                <w:sz w:val="10"/>
              </w:rPr>
            </w:pPr>
            <w:r>
              <w:rPr>
                <w:b/>
                <w:sz w:val="10"/>
              </w:rPr>
              <w:t>Name</w:t>
            </w:r>
            <w:r>
              <w:rPr>
                <w:b/>
                <w:spacing w:val="-1"/>
                <w:sz w:val="10"/>
              </w:rPr>
              <w:t> </w:t>
            </w:r>
            <w:r>
              <w:rPr>
                <w:b/>
                <w:sz w:val="10"/>
              </w:rPr>
              <w:t>of</w:t>
            </w:r>
            <w:r>
              <w:rPr>
                <w:b/>
                <w:spacing w:val="-2"/>
                <w:sz w:val="10"/>
              </w:rPr>
              <w:t> </w:t>
            </w:r>
            <w:r>
              <w:rPr>
                <w:b/>
                <w:sz w:val="10"/>
              </w:rPr>
              <w:t>arrangement</w:t>
              <w:tab/>
            </w:r>
            <w:r>
              <w:rPr>
                <w:b/>
                <w:position w:val="6"/>
                <w:sz w:val="10"/>
              </w:rPr>
              <w:t>Parties to</w:t>
            </w:r>
            <w:r>
              <w:rPr>
                <w:b/>
                <w:spacing w:val="1"/>
                <w:position w:val="6"/>
                <w:sz w:val="10"/>
              </w:rPr>
              <w:t> </w:t>
            </w:r>
            <w:r>
              <w:rPr>
                <w:b/>
                <w:position w:val="6"/>
                <w:sz w:val="10"/>
              </w:rPr>
              <w:t>the</w:t>
              <w:tab/>
            </w:r>
            <w:r>
              <w:rPr>
                <w:b/>
                <w:sz w:val="10"/>
              </w:rPr>
              <w:t>Description of</w:t>
            </w:r>
            <w:r>
              <w:rPr>
                <w:b/>
                <w:spacing w:val="-4"/>
                <w:sz w:val="10"/>
              </w:rPr>
              <w:t> </w:t>
            </w:r>
            <w:r>
              <w:rPr>
                <w:b/>
                <w:sz w:val="10"/>
              </w:rPr>
              <w:t>principal</w:t>
            </w:r>
            <w:r>
              <w:rPr>
                <w:b/>
                <w:spacing w:val="-1"/>
                <w:sz w:val="10"/>
              </w:rPr>
              <w:t> </w:t>
            </w:r>
            <w:r>
              <w:rPr>
                <w:b/>
                <w:sz w:val="10"/>
              </w:rPr>
              <w:t>activities</w:t>
              <w:tab/>
              <w:t>Assets    Liabilities   </w:t>
            </w:r>
            <w:r>
              <w:rPr>
                <w:b/>
                <w:spacing w:val="10"/>
                <w:sz w:val="10"/>
              </w:rPr>
              <w:t> </w:t>
            </w:r>
            <w:r>
              <w:rPr>
                <w:b/>
                <w:sz w:val="10"/>
              </w:rPr>
              <w:t>Income     </w:t>
            </w:r>
            <w:r>
              <w:rPr>
                <w:b/>
                <w:spacing w:val="4"/>
                <w:sz w:val="10"/>
              </w:rPr>
              <w:t> </w:t>
            </w:r>
            <w:r>
              <w:rPr>
                <w:b/>
                <w:sz w:val="10"/>
              </w:rPr>
              <w:t>Expenditure</w:t>
              <w:tab/>
              <w:t>Assets Liabilities Income</w:t>
            </w:r>
            <w:r>
              <w:rPr>
                <w:b/>
                <w:spacing w:val="21"/>
                <w:sz w:val="10"/>
              </w:rPr>
              <w:t> </w:t>
            </w:r>
            <w:r>
              <w:rPr>
                <w:b/>
                <w:sz w:val="10"/>
              </w:rPr>
              <w:t>Expenditure</w:t>
            </w:r>
          </w:p>
          <w:p>
            <w:pPr>
              <w:pStyle w:val="TableParagraph"/>
              <w:spacing w:line="92" w:lineRule="exact"/>
              <w:ind w:left="2032"/>
              <w:rPr>
                <w:b/>
                <w:sz w:val="10"/>
              </w:rPr>
            </w:pPr>
            <w:r>
              <w:rPr>
                <w:b/>
                <w:sz w:val="10"/>
              </w:rPr>
              <w:t>arrangement</w:t>
            </w:r>
          </w:p>
        </w:tc>
      </w:tr>
      <w:tr>
        <w:trPr>
          <w:trHeight w:val="119" w:hRule="atLeast"/>
        </w:trPr>
        <w:tc>
          <w:tcPr>
            <w:tcW w:w="1634" w:type="dxa"/>
            <w:tcBorders>
              <w:top w:val="single" w:sz="2" w:space="0" w:color="000000"/>
              <w:bottom w:val="single" w:sz="2" w:space="0" w:color="000000"/>
              <w:right w:val="nil"/>
            </w:tcBorders>
          </w:tcPr>
          <w:p>
            <w:pPr>
              <w:pStyle w:val="TableParagraph"/>
              <w:rPr>
                <w:rFonts w:ascii="Times New Roman"/>
                <w:sz w:val="6"/>
              </w:rPr>
            </w:pPr>
          </w:p>
        </w:tc>
        <w:tc>
          <w:tcPr>
            <w:tcW w:w="1355" w:type="dxa"/>
            <w:tcBorders>
              <w:top w:val="single" w:sz="2" w:space="0" w:color="000000"/>
              <w:left w:val="nil"/>
              <w:bottom w:val="single" w:sz="2" w:space="0" w:color="000000"/>
              <w:right w:val="nil"/>
            </w:tcBorders>
          </w:tcPr>
          <w:p>
            <w:pPr>
              <w:pStyle w:val="TableParagraph"/>
              <w:rPr>
                <w:rFonts w:ascii="Times New Roman"/>
                <w:sz w:val="6"/>
              </w:rPr>
            </w:pPr>
          </w:p>
        </w:tc>
        <w:tc>
          <w:tcPr>
            <w:tcW w:w="2341" w:type="dxa"/>
            <w:tcBorders>
              <w:top w:val="single" w:sz="2" w:space="0" w:color="000000"/>
              <w:left w:val="nil"/>
              <w:bottom w:val="single" w:sz="2" w:space="0" w:color="000000"/>
              <w:right w:val="nil"/>
            </w:tcBorders>
          </w:tcPr>
          <w:p>
            <w:pPr>
              <w:pStyle w:val="TableParagraph"/>
              <w:spacing w:line="100" w:lineRule="exact"/>
              <w:ind w:right="11"/>
              <w:jc w:val="right"/>
              <w:rPr>
                <w:b/>
                <w:sz w:val="10"/>
              </w:rPr>
            </w:pPr>
            <w:r>
              <w:rPr>
                <w:b/>
                <w:sz w:val="10"/>
              </w:rPr>
              <w:t>£'000</w:t>
            </w:r>
          </w:p>
        </w:tc>
        <w:tc>
          <w:tcPr>
            <w:tcW w:w="527" w:type="dxa"/>
            <w:tcBorders>
              <w:top w:val="single" w:sz="2" w:space="0" w:color="000000"/>
              <w:left w:val="nil"/>
              <w:bottom w:val="single" w:sz="2" w:space="0" w:color="000000"/>
              <w:right w:val="nil"/>
            </w:tcBorders>
          </w:tcPr>
          <w:p>
            <w:pPr>
              <w:pStyle w:val="TableParagraph"/>
              <w:spacing w:line="100" w:lineRule="exact"/>
              <w:ind w:left="252"/>
              <w:rPr>
                <w:b/>
                <w:sz w:val="10"/>
              </w:rPr>
            </w:pPr>
            <w:r>
              <w:rPr>
                <w:b/>
                <w:sz w:val="10"/>
              </w:rPr>
              <w:t>£'000</w:t>
            </w:r>
          </w:p>
        </w:tc>
        <w:tc>
          <w:tcPr>
            <w:tcW w:w="527" w:type="dxa"/>
            <w:tcBorders>
              <w:top w:val="single" w:sz="2" w:space="0" w:color="000000"/>
              <w:left w:val="nil"/>
              <w:bottom w:val="single" w:sz="2" w:space="0" w:color="000000"/>
              <w:right w:val="nil"/>
            </w:tcBorders>
          </w:tcPr>
          <w:p>
            <w:pPr>
              <w:pStyle w:val="TableParagraph"/>
              <w:spacing w:line="100" w:lineRule="exact"/>
              <w:ind w:left="260"/>
              <w:rPr>
                <w:b/>
                <w:sz w:val="10"/>
              </w:rPr>
            </w:pPr>
            <w:r>
              <w:rPr>
                <w:b/>
                <w:sz w:val="10"/>
              </w:rPr>
              <w:t>£'000</w:t>
            </w:r>
          </w:p>
        </w:tc>
        <w:tc>
          <w:tcPr>
            <w:tcW w:w="320" w:type="dxa"/>
            <w:tcBorders>
              <w:top w:val="single" w:sz="2" w:space="0" w:color="000000"/>
              <w:left w:val="nil"/>
              <w:bottom w:val="single" w:sz="2" w:space="0" w:color="000000"/>
              <w:right w:val="nil"/>
            </w:tcBorders>
          </w:tcPr>
          <w:p>
            <w:pPr>
              <w:pStyle w:val="TableParagraph"/>
              <w:rPr>
                <w:rFonts w:ascii="Times New Roman"/>
                <w:sz w:val="6"/>
              </w:rPr>
            </w:pPr>
          </w:p>
        </w:tc>
        <w:tc>
          <w:tcPr>
            <w:tcW w:w="649" w:type="dxa"/>
            <w:tcBorders>
              <w:top w:val="single" w:sz="2" w:space="0" w:color="000000"/>
              <w:left w:val="nil"/>
              <w:bottom w:val="single" w:sz="2" w:space="0" w:color="000000"/>
              <w:right w:val="nil"/>
            </w:tcBorders>
          </w:tcPr>
          <w:p>
            <w:pPr>
              <w:pStyle w:val="TableParagraph"/>
              <w:spacing w:line="100" w:lineRule="exact"/>
              <w:ind w:left="61"/>
              <w:rPr>
                <w:b/>
                <w:sz w:val="10"/>
              </w:rPr>
            </w:pPr>
            <w:r>
              <w:rPr>
                <w:b/>
                <w:sz w:val="10"/>
              </w:rPr>
              <w:t>£'000</w:t>
            </w:r>
          </w:p>
        </w:tc>
        <w:tc>
          <w:tcPr>
            <w:tcW w:w="536" w:type="dxa"/>
            <w:tcBorders>
              <w:top w:val="single" w:sz="2" w:space="0" w:color="000000"/>
              <w:left w:val="nil"/>
              <w:bottom w:val="single" w:sz="2" w:space="0" w:color="000000"/>
              <w:right w:val="nil"/>
            </w:tcBorders>
          </w:tcPr>
          <w:p>
            <w:pPr>
              <w:pStyle w:val="TableParagraph"/>
              <w:spacing w:line="100" w:lineRule="exact"/>
              <w:ind w:left="122"/>
              <w:rPr>
                <w:b/>
                <w:sz w:val="10"/>
              </w:rPr>
            </w:pPr>
            <w:r>
              <w:rPr>
                <w:b/>
                <w:sz w:val="10"/>
              </w:rPr>
              <w:t>£'000</w:t>
            </w:r>
          </w:p>
        </w:tc>
        <w:tc>
          <w:tcPr>
            <w:tcW w:w="568" w:type="dxa"/>
            <w:tcBorders>
              <w:top w:val="single" w:sz="2" w:space="0" w:color="000000"/>
              <w:left w:val="nil"/>
              <w:bottom w:val="single" w:sz="2" w:space="0" w:color="000000"/>
              <w:right w:val="nil"/>
            </w:tcBorders>
          </w:tcPr>
          <w:p>
            <w:pPr>
              <w:pStyle w:val="TableParagraph"/>
              <w:spacing w:line="100" w:lineRule="exact"/>
              <w:ind w:left="105"/>
              <w:rPr>
                <w:b/>
                <w:sz w:val="10"/>
              </w:rPr>
            </w:pPr>
            <w:r>
              <w:rPr>
                <w:b/>
                <w:sz w:val="10"/>
              </w:rPr>
              <w:t>£'000</w:t>
            </w:r>
          </w:p>
        </w:tc>
        <w:tc>
          <w:tcPr>
            <w:tcW w:w="552" w:type="dxa"/>
            <w:tcBorders>
              <w:top w:val="single" w:sz="2" w:space="0" w:color="000000"/>
              <w:left w:val="nil"/>
              <w:bottom w:val="single" w:sz="2" w:space="0" w:color="000000"/>
              <w:right w:val="nil"/>
            </w:tcBorders>
          </w:tcPr>
          <w:p>
            <w:pPr>
              <w:pStyle w:val="TableParagraph"/>
              <w:spacing w:line="100" w:lineRule="exact"/>
              <w:ind w:left="91"/>
              <w:rPr>
                <w:b/>
                <w:sz w:val="10"/>
              </w:rPr>
            </w:pPr>
            <w:r>
              <w:rPr>
                <w:b/>
                <w:sz w:val="10"/>
              </w:rPr>
              <w:t>£'000</w:t>
            </w:r>
          </w:p>
        </w:tc>
        <w:tc>
          <w:tcPr>
            <w:tcW w:w="537" w:type="dxa"/>
            <w:tcBorders>
              <w:top w:val="single" w:sz="2" w:space="0" w:color="000000"/>
              <w:left w:val="nil"/>
              <w:bottom w:val="single" w:sz="2" w:space="0" w:color="000000"/>
            </w:tcBorders>
          </w:tcPr>
          <w:p>
            <w:pPr>
              <w:pStyle w:val="TableParagraph"/>
              <w:spacing w:line="100" w:lineRule="exact"/>
              <w:ind w:left="125"/>
              <w:rPr>
                <w:b/>
                <w:sz w:val="10"/>
              </w:rPr>
            </w:pPr>
            <w:r>
              <w:rPr>
                <w:b/>
                <w:sz w:val="10"/>
              </w:rPr>
              <w:t>£'000</w:t>
            </w:r>
          </w:p>
        </w:tc>
      </w:tr>
      <w:tr>
        <w:trPr>
          <w:trHeight w:val="614" w:hRule="atLeast"/>
        </w:trPr>
        <w:tc>
          <w:tcPr>
            <w:tcW w:w="1634" w:type="dxa"/>
            <w:tcBorders>
              <w:top w:val="single" w:sz="2" w:space="0" w:color="000000"/>
              <w:bottom w:val="single" w:sz="2" w:space="0" w:color="000000"/>
              <w:right w:val="nil"/>
            </w:tcBorders>
          </w:tcPr>
          <w:p>
            <w:pPr>
              <w:pStyle w:val="TableParagraph"/>
              <w:rPr>
                <w:sz w:val="10"/>
              </w:rPr>
            </w:pPr>
          </w:p>
          <w:p>
            <w:pPr>
              <w:pStyle w:val="TableParagraph"/>
              <w:spacing w:line="261" w:lineRule="auto" w:before="74"/>
              <w:ind w:left="28" w:right="68"/>
              <w:rPr>
                <w:sz w:val="10"/>
              </w:rPr>
            </w:pPr>
            <w:r>
              <w:rPr>
                <w:sz w:val="10"/>
              </w:rPr>
              <w:t>Pooled Budget - Better Care Fund (BCF)</w:t>
            </w:r>
          </w:p>
        </w:tc>
        <w:tc>
          <w:tcPr>
            <w:tcW w:w="1355" w:type="dxa"/>
            <w:tcBorders>
              <w:top w:val="single" w:sz="2" w:space="0" w:color="000000"/>
              <w:left w:val="nil"/>
              <w:bottom w:val="single" w:sz="2" w:space="0" w:color="000000"/>
              <w:right w:val="nil"/>
            </w:tcBorders>
          </w:tcPr>
          <w:p>
            <w:pPr>
              <w:pStyle w:val="TableParagraph"/>
              <w:rPr>
                <w:sz w:val="10"/>
              </w:rPr>
            </w:pPr>
          </w:p>
          <w:p>
            <w:pPr>
              <w:pStyle w:val="TableParagraph"/>
              <w:spacing w:line="261" w:lineRule="auto" w:before="74"/>
              <w:ind w:left="96"/>
              <w:rPr>
                <w:sz w:val="10"/>
              </w:rPr>
            </w:pPr>
            <w:r>
              <w:rPr>
                <w:sz w:val="10"/>
              </w:rPr>
              <w:t>North Lincolnshire CCG &amp; North Lincolnshire Council</w:t>
            </w:r>
          </w:p>
        </w:tc>
        <w:tc>
          <w:tcPr>
            <w:tcW w:w="2341" w:type="dxa"/>
            <w:tcBorders>
              <w:top w:val="single" w:sz="2" w:space="0" w:color="000000"/>
              <w:left w:val="nil"/>
              <w:bottom w:val="single" w:sz="2" w:space="0" w:color="000000"/>
              <w:right w:val="nil"/>
            </w:tcBorders>
          </w:tcPr>
          <w:p>
            <w:pPr>
              <w:pStyle w:val="TableParagraph"/>
              <w:spacing w:line="261" w:lineRule="auto" w:before="2"/>
              <w:ind w:left="107" w:right="479"/>
              <w:rPr>
                <w:sz w:val="10"/>
              </w:rPr>
            </w:pPr>
            <w:r>
              <w:rPr>
                <w:sz w:val="10"/>
              </w:rPr>
              <w:t>The integration of Health &amp; Social Care so that people can manage their own health &amp; wellbeing, to live</w:t>
            </w:r>
          </w:p>
          <w:p>
            <w:pPr>
              <w:pStyle w:val="TableParagraph"/>
              <w:spacing w:line="106" w:lineRule="exact" w:before="7"/>
              <w:ind w:left="107" w:right="579"/>
              <w:rPr>
                <w:sz w:val="10"/>
              </w:rPr>
            </w:pPr>
            <w:r>
              <w:rPr>
                <w:sz w:val="10"/>
              </w:rPr>
              <w:t>independently in their community, for as long as possible.</w:t>
            </w:r>
          </w:p>
        </w:tc>
        <w:tc>
          <w:tcPr>
            <w:tcW w:w="527" w:type="dxa"/>
            <w:tcBorders>
              <w:top w:val="single" w:sz="2" w:space="0" w:color="000000"/>
              <w:left w:val="nil"/>
              <w:bottom w:val="single" w:sz="2" w:space="0" w:color="000000"/>
              <w:right w:val="nil"/>
            </w:tcBorders>
          </w:tcPr>
          <w:p>
            <w:pPr>
              <w:pStyle w:val="TableParagraph"/>
              <w:rPr>
                <w:sz w:val="10"/>
              </w:rPr>
            </w:pPr>
          </w:p>
          <w:p>
            <w:pPr>
              <w:pStyle w:val="TableParagraph"/>
              <w:spacing w:before="10"/>
              <w:rPr>
                <w:sz w:val="11"/>
              </w:rPr>
            </w:pPr>
          </w:p>
          <w:p>
            <w:pPr>
              <w:pStyle w:val="TableParagraph"/>
              <w:ind w:left="29"/>
              <w:rPr>
                <w:sz w:val="10"/>
              </w:rPr>
            </w:pPr>
            <w:r>
              <w:rPr>
                <w:w w:val="100"/>
                <w:sz w:val="10"/>
              </w:rPr>
              <w:t>0</w:t>
            </w:r>
          </w:p>
        </w:tc>
        <w:tc>
          <w:tcPr>
            <w:tcW w:w="527" w:type="dxa"/>
            <w:tcBorders>
              <w:top w:val="single" w:sz="2" w:space="0" w:color="000000"/>
              <w:left w:val="nil"/>
              <w:bottom w:val="single" w:sz="2" w:space="0" w:color="000000"/>
              <w:right w:val="nil"/>
            </w:tcBorders>
          </w:tcPr>
          <w:p>
            <w:pPr>
              <w:pStyle w:val="TableParagraph"/>
              <w:rPr>
                <w:sz w:val="10"/>
              </w:rPr>
            </w:pPr>
          </w:p>
          <w:p>
            <w:pPr>
              <w:pStyle w:val="TableParagraph"/>
              <w:spacing w:before="10"/>
              <w:rPr>
                <w:sz w:val="11"/>
              </w:rPr>
            </w:pPr>
          </w:p>
          <w:p>
            <w:pPr>
              <w:pStyle w:val="TableParagraph"/>
              <w:ind w:left="46"/>
              <w:rPr>
                <w:sz w:val="10"/>
              </w:rPr>
            </w:pPr>
            <w:r>
              <w:rPr>
                <w:w w:val="100"/>
                <w:sz w:val="10"/>
              </w:rPr>
              <w:t>0</w:t>
            </w:r>
          </w:p>
        </w:tc>
        <w:tc>
          <w:tcPr>
            <w:tcW w:w="320" w:type="dxa"/>
            <w:tcBorders>
              <w:top w:val="single" w:sz="2" w:space="0" w:color="000000"/>
              <w:left w:val="nil"/>
              <w:bottom w:val="single" w:sz="2" w:space="0" w:color="000000"/>
              <w:right w:val="nil"/>
            </w:tcBorders>
          </w:tcPr>
          <w:p>
            <w:pPr>
              <w:pStyle w:val="TableParagraph"/>
              <w:rPr>
                <w:sz w:val="10"/>
              </w:rPr>
            </w:pPr>
          </w:p>
          <w:p>
            <w:pPr>
              <w:pStyle w:val="TableParagraph"/>
              <w:spacing w:before="10"/>
              <w:rPr>
                <w:sz w:val="11"/>
              </w:rPr>
            </w:pPr>
          </w:p>
          <w:p>
            <w:pPr>
              <w:pStyle w:val="TableParagraph"/>
              <w:ind w:left="40"/>
              <w:rPr>
                <w:sz w:val="10"/>
              </w:rPr>
            </w:pPr>
            <w:r>
              <w:rPr>
                <w:w w:val="100"/>
                <w:sz w:val="10"/>
              </w:rPr>
              <w:t>0</w:t>
            </w:r>
          </w:p>
        </w:tc>
        <w:tc>
          <w:tcPr>
            <w:tcW w:w="649" w:type="dxa"/>
            <w:tcBorders>
              <w:top w:val="single" w:sz="2" w:space="0" w:color="000000"/>
              <w:left w:val="nil"/>
              <w:bottom w:val="single" w:sz="2" w:space="0" w:color="000000"/>
              <w:right w:val="nil"/>
            </w:tcBorders>
          </w:tcPr>
          <w:p>
            <w:pPr>
              <w:pStyle w:val="TableParagraph"/>
              <w:rPr>
                <w:sz w:val="10"/>
              </w:rPr>
            </w:pPr>
          </w:p>
          <w:p>
            <w:pPr>
              <w:pStyle w:val="TableParagraph"/>
              <w:spacing w:before="10"/>
              <w:rPr>
                <w:sz w:val="11"/>
              </w:rPr>
            </w:pPr>
          </w:p>
          <w:p>
            <w:pPr>
              <w:pStyle w:val="TableParagraph"/>
              <w:ind w:left="243"/>
              <w:rPr>
                <w:b/>
                <w:sz w:val="10"/>
              </w:rPr>
            </w:pPr>
            <w:r>
              <w:rPr>
                <w:b/>
                <w:sz w:val="10"/>
              </w:rPr>
              <w:t>13,277</w:t>
            </w:r>
          </w:p>
        </w:tc>
        <w:tc>
          <w:tcPr>
            <w:tcW w:w="536" w:type="dxa"/>
            <w:tcBorders>
              <w:top w:val="single" w:sz="2" w:space="0" w:color="000000"/>
              <w:left w:val="nil"/>
              <w:bottom w:val="single" w:sz="2" w:space="0" w:color="000000"/>
              <w:right w:val="nil"/>
            </w:tcBorders>
          </w:tcPr>
          <w:p>
            <w:pPr>
              <w:pStyle w:val="TableParagraph"/>
              <w:rPr>
                <w:sz w:val="10"/>
              </w:rPr>
            </w:pPr>
          </w:p>
          <w:p>
            <w:pPr>
              <w:pStyle w:val="TableParagraph"/>
              <w:spacing w:before="10"/>
              <w:rPr>
                <w:sz w:val="11"/>
              </w:rPr>
            </w:pPr>
          </w:p>
          <w:p>
            <w:pPr>
              <w:pStyle w:val="TableParagraph"/>
              <w:ind w:right="78"/>
              <w:jc w:val="right"/>
              <w:rPr>
                <w:sz w:val="10"/>
              </w:rPr>
            </w:pPr>
            <w:r>
              <w:rPr>
                <w:w w:val="100"/>
                <w:sz w:val="10"/>
              </w:rPr>
              <w:t>0</w:t>
            </w:r>
          </w:p>
        </w:tc>
        <w:tc>
          <w:tcPr>
            <w:tcW w:w="568" w:type="dxa"/>
            <w:tcBorders>
              <w:top w:val="single" w:sz="2" w:space="0" w:color="000000"/>
              <w:left w:val="nil"/>
              <w:bottom w:val="single" w:sz="2" w:space="0" w:color="000000"/>
              <w:right w:val="nil"/>
            </w:tcBorders>
          </w:tcPr>
          <w:p>
            <w:pPr>
              <w:pStyle w:val="TableParagraph"/>
              <w:rPr>
                <w:sz w:val="10"/>
              </w:rPr>
            </w:pPr>
          </w:p>
          <w:p>
            <w:pPr>
              <w:pStyle w:val="TableParagraph"/>
              <w:spacing w:before="10"/>
              <w:rPr>
                <w:sz w:val="11"/>
              </w:rPr>
            </w:pPr>
          </w:p>
          <w:p>
            <w:pPr>
              <w:pStyle w:val="TableParagraph"/>
              <w:ind w:right="63"/>
              <w:jc w:val="right"/>
              <w:rPr>
                <w:sz w:val="10"/>
              </w:rPr>
            </w:pPr>
            <w:r>
              <w:rPr>
                <w:w w:val="100"/>
                <w:sz w:val="10"/>
              </w:rPr>
              <w:t>0</w:t>
            </w:r>
          </w:p>
        </w:tc>
        <w:tc>
          <w:tcPr>
            <w:tcW w:w="552" w:type="dxa"/>
            <w:tcBorders>
              <w:top w:val="single" w:sz="2" w:space="0" w:color="000000"/>
              <w:left w:val="nil"/>
              <w:bottom w:val="single" w:sz="2" w:space="0" w:color="000000"/>
              <w:right w:val="nil"/>
            </w:tcBorders>
          </w:tcPr>
          <w:p>
            <w:pPr>
              <w:pStyle w:val="TableParagraph"/>
              <w:rPr>
                <w:sz w:val="10"/>
              </w:rPr>
            </w:pPr>
          </w:p>
          <w:p>
            <w:pPr>
              <w:pStyle w:val="TableParagraph"/>
              <w:spacing w:before="10"/>
              <w:rPr>
                <w:sz w:val="11"/>
              </w:rPr>
            </w:pPr>
          </w:p>
          <w:p>
            <w:pPr>
              <w:pStyle w:val="TableParagraph"/>
              <w:ind w:right="94"/>
              <w:jc w:val="right"/>
              <w:rPr>
                <w:sz w:val="10"/>
              </w:rPr>
            </w:pPr>
            <w:r>
              <w:rPr>
                <w:w w:val="100"/>
                <w:sz w:val="10"/>
              </w:rPr>
              <w:t>0</w:t>
            </w:r>
          </w:p>
        </w:tc>
        <w:tc>
          <w:tcPr>
            <w:tcW w:w="537" w:type="dxa"/>
            <w:tcBorders>
              <w:top w:val="single" w:sz="2" w:space="0" w:color="000000"/>
              <w:left w:val="nil"/>
              <w:bottom w:val="single" w:sz="2" w:space="0" w:color="000000"/>
            </w:tcBorders>
          </w:tcPr>
          <w:p>
            <w:pPr>
              <w:pStyle w:val="TableParagraph"/>
              <w:rPr>
                <w:sz w:val="10"/>
              </w:rPr>
            </w:pPr>
          </w:p>
          <w:p>
            <w:pPr>
              <w:pStyle w:val="TableParagraph"/>
              <w:spacing w:before="10"/>
              <w:rPr>
                <w:sz w:val="11"/>
              </w:rPr>
            </w:pPr>
          </w:p>
          <w:p>
            <w:pPr>
              <w:pStyle w:val="TableParagraph"/>
              <w:ind w:left="252" w:right="-29"/>
              <w:rPr>
                <w:sz w:val="10"/>
              </w:rPr>
            </w:pPr>
            <w:r>
              <w:rPr>
                <w:spacing w:val="-1"/>
                <w:sz w:val="10"/>
              </w:rPr>
              <w:t>12,604</w:t>
            </w:r>
          </w:p>
        </w:tc>
      </w:tr>
    </w:tbl>
    <w:p>
      <w:pPr>
        <w:spacing w:after="0"/>
        <w:rPr>
          <w:sz w:val="10"/>
        </w:rPr>
        <w:sectPr>
          <w:pgSz w:w="11920" w:h="16850"/>
          <w:pgMar w:header="0" w:footer="405" w:top="1000" w:bottom="600" w:left="740" w:right="520"/>
        </w:sectPr>
      </w:pPr>
    </w:p>
    <w:p>
      <w:pPr>
        <w:spacing w:before="72"/>
        <w:ind w:left="315" w:right="0" w:firstLine="0"/>
        <w:jc w:val="left"/>
        <w:rPr>
          <w:sz w:val="11"/>
        </w:rPr>
      </w:pPr>
      <w:r>
        <w:rPr>
          <w:sz w:val="11"/>
        </w:rPr>
        <w:t>NHS North Lincolnshire CCG - Annual Accounts 2021-22</w:t>
      </w:r>
    </w:p>
    <w:p>
      <w:pPr>
        <w:pStyle w:val="BodyText"/>
        <w:spacing w:before="9"/>
        <w:rPr>
          <w:sz w:val="12"/>
        </w:rPr>
      </w:pPr>
    </w:p>
    <w:p>
      <w:pPr>
        <w:pStyle w:val="ListParagraph"/>
        <w:numPr>
          <w:ilvl w:val="0"/>
          <w:numId w:val="36"/>
        </w:numPr>
        <w:tabs>
          <w:tab w:pos="472" w:val="left" w:leader="none"/>
        </w:tabs>
        <w:spacing w:line="240" w:lineRule="auto" w:before="0" w:after="0"/>
        <w:ind w:left="472" w:right="0" w:hanging="157"/>
        <w:jc w:val="left"/>
        <w:rPr>
          <w:b/>
          <w:sz w:val="11"/>
        </w:rPr>
      </w:pPr>
      <w:r>
        <w:rPr>
          <w:b/>
          <w:sz w:val="11"/>
        </w:rPr>
        <w:t>Related party</w:t>
      </w:r>
      <w:r>
        <w:rPr>
          <w:b/>
          <w:spacing w:val="-7"/>
          <w:sz w:val="11"/>
        </w:rPr>
        <w:t> </w:t>
      </w:r>
      <w:r>
        <w:rPr>
          <w:b/>
          <w:sz w:val="11"/>
        </w:rPr>
        <w:t>transactions</w:t>
      </w:r>
    </w:p>
    <w:p>
      <w:pPr>
        <w:pStyle w:val="BodyText"/>
        <w:spacing w:before="6"/>
        <w:rPr>
          <w:b/>
          <w:sz w:val="17"/>
        </w:rPr>
      </w:pPr>
    </w:p>
    <w:p>
      <w:pPr>
        <w:spacing w:before="1"/>
        <w:ind w:left="315" w:right="0" w:firstLine="0"/>
        <w:jc w:val="left"/>
        <w:rPr>
          <w:b/>
          <w:sz w:val="11"/>
        </w:rPr>
      </w:pPr>
      <w:r>
        <w:rPr>
          <w:b/>
          <w:sz w:val="11"/>
        </w:rPr>
        <w:t>Details of related party transactions with individuals in 2021/22 are as follows:</w:t>
      </w:r>
    </w:p>
    <w:p>
      <w:pPr>
        <w:pStyle w:val="BodyText"/>
        <w:spacing w:before="3"/>
        <w:rPr>
          <w:b/>
          <w:sz w:val="11"/>
        </w:rPr>
      </w:pPr>
    </w:p>
    <w:p>
      <w:pPr>
        <w:spacing w:before="0"/>
        <w:ind w:left="6181" w:right="0" w:firstLine="0"/>
        <w:jc w:val="left"/>
        <w:rPr>
          <w:b/>
          <w:sz w:val="11"/>
        </w:rPr>
      </w:pPr>
      <w:r>
        <w:rPr>
          <w:b/>
          <w:sz w:val="11"/>
        </w:rPr>
        <w:t>Receipts Amounts Amounts</w:t>
      </w:r>
    </w:p>
    <w:p>
      <w:pPr>
        <w:spacing w:after="0"/>
        <w:jc w:val="left"/>
        <w:rPr>
          <w:sz w:val="11"/>
        </w:rPr>
        <w:sectPr>
          <w:pgSz w:w="11920" w:h="16850"/>
          <w:pgMar w:header="0" w:footer="405" w:top="1000" w:bottom="600" w:left="740" w:right="520"/>
        </w:sectPr>
      </w:pPr>
    </w:p>
    <w:p>
      <w:pPr>
        <w:pStyle w:val="BodyText"/>
        <w:spacing w:before="8"/>
        <w:rPr>
          <w:b/>
          <w:sz w:val="13"/>
        </w:rPr>
      </w:pPr>
    </w:p>
    <w:p>
      <w:pPr>
        <w:spacing w:before="0"/>
        <w:ind w:left="0" w:right="0" w:firstLine="0"/>
        <w:jc w:val="right"/>
        <w:rPr>
          <w:b/>
          <w:sz w:val="11"/>
        </w:rPr>
      </w:pPr>
      <w:r>
        <w:rPr>
          <w:b/>
          <w:sz w:val="11"/>
        </w:rPr>
        <w:t>Payments to</w:t>
      </w:r>
    </w:p>
    <w:p>
      <w:pPr>
        <w:spacing w:line="268" w:lineRule="auto" w:before="16"/>
        <w:ind w:left="84" w:right="-15" w:firstLine="76"/>
        <w:jc w:val="left"/>
        <w:rPr>
          <w:b/>
          <w:sz w:val="11"/>
        </w:rPr>
      </w:pPr>
      <w:r>
        <w:rPr/>
        <w:br w:type="column"/>
      </w:r>
      <w:r>
        <w:rPr>
          <w:b/>
          <w:sz w:val="11"/>
        </w:rPr>
        <w:t>from Related</w:t>
      </w:r>
    </w:p>
    <w:p>
      <w:pPr>
        <w:spacing w:line="268" w:lineRule="auto" w:before="16"/>
        <w:ind w:left="110" w:right="-17" w:hanging="10"/>
        <w:jc w:val="left"/>
        <w:rPr>
          <w:b/>
          <w:sz w:val="11"/>
        </w:rPr>
      </w:pPr>
      <w:r>
        <w:rPr/>
        <w:br w:type="column"/>
      </w:r>
      <w:r>
        <w:rPr>
          <w:b/>
          <w:sz w:val="11"/>
        </w:rPr>
        <w:t>owed to Related</w:t>
      </w:r>
    </w:p>
    <w:p>
      <w:pPr>
        <w:spacing w:line="268" w:lineRule="auto" w:before="16"/>
        <w:ind w:left="108" w:right="2884" w:hanging="36"/>
        <w:jc w:val="left"/>
        <w:rPr>
          <w:b/>
          <w:sz w:val="11"/>
        </w:rPr>
      </w:pPr>
      <w:r>
        <w:rPr/>
        <w:br w:type="column"/>
      </w:r>
      <w:r>
        <w:rPr>
          <w:b/>
          <w:sz w:val="11"/>
        </w:rPr>
        <w:t>due from Related</w:t>
      </w:r>
    </w:p>
    <w:p>
      <w:pPr>
        <w:spacing w:after="0" w:line="268" w:lineRule="auto"/>
        <w:jc w:val="left"/>
        <w:rPr>
          <w:sz w:val="11"/>
        </w:rPr>
        <w:sectPr>
          <w:type w:val="continuous"/>
          <w:pgSz w:w="11920" w:h="16850"/>
          <w:pgMar w:top="1600" w:bottom="560" w:left="740" w:right="520"/>
          <w:cols w:num="4" w:equalWidth="0">
            <w:col w:w="6089" w:space="40"/>
            <w:col w:w="487" w:space="39"/>
            <w:col w:w="519" w:space="39"/>
            <w:col w:w="3447"/>
          </w:cols>
        </w:sectPr>
      </w:pPr>
    </w:p>
    <w:p>
      <w:pPr>
        <w:pStyle w:val="BodyText"/>
        <w:spacing w:before="5"/>
        <w:rPr>
          <w:b/>
          <w:sz w:val="24"/>
        </w:rPr>
      </w:pPr>
    </w:p>
    <w:tbl>
      <w:tblPr>
        <w:tblW w:w="0" w:type="auto"/>
        <w:jc w:val="left"/>
        <w:tblInd w:w="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11"/>
        <w:gridCol w:w="678"/>
        <w:gridCol w:w="381"/>
        <w:gridCol w:w="269"/>
        <w:gridCol w:w="284"/>
        <w:gridCol w:w="304"/>
        <w:gridCol w:w="452"/>
      </w:tblGrid>
      <w:tr>
        <w:trPr>
          <w:trHeight w:val="382" w:hRule="atLeast"/>
        </w:trPr>
        <w:tc>
          <w:tcPr>
            <w:tcW w:w="5989" w:type="dxa"/>
            <w:gridSpan w:val="2"/>
          </w:tcPr>
          <w:p>
            <w:pPr>
              <w:pStyle w:val="TableParagraph"/>
              <w:spacing w:line="123" w:lineRule="exact"/>
              <w:ind w:left="5185" w:right="59"/>
              <w:jc w:val="center"/>
              <w:rPr>
                <w:b/>
                <w:sz w:val="11"/>
              </w:rPr>
            </w:pPr>
            <w:r>
              <w:rPr>
                <w:b/>
                <w:sz w:val="11"/>
              </w:rPr>
              <w:t>Related Party</w:t>
            </w:r>
          </w:p>
          <w:p>
            <w:pPr>
              <w:pStyle w:val="TableParagraph"/>
              <w:spacing w:before="10"/>
              <w:ind w:left="5185" w:right="43"/>
              <w:jc w:val="center"/>
              <w:rPr>
                <w:b/>
                <w:sz w:val="11"/>
              </w:rPr>
            </w:pPr>
            <w:r>
              <w:rPr>
                <w:b/>
                <w:sz w:val="11"/>
              </w:rPr>
              <w:t>£'000</w:t>
            </w:r>
          </w:p>
        </w:tc>
        <w:tc>
          <w:tcPr>
            <w:tcW w:w="381" w:type="dxa"/>
          </w:tcPr>
          <w:p>
            <w:pPr>
              <w:pStyle w:val="TableParagraph"/>
              <w:spacing w:line="123" w:lineRule="exact"/>
              <w:ind w:left="78"/>
              <w:rPr>
                <w:b/>
                <w:sz w:val="11"/>
              </w:rPr>
            </w:pPr>
            <w:r>
              <w:rPr>
                <w:b/>
                <w:sz w:val="11"/>
              </w:rPr>
              <w:t>Party</w:t>
            </w:r>
          </w:p>
          <w:p>
            <w:pPr>
              <w:pStyle w:val="TableParagraph"/>
              <w:spacing w:before="10"/>
              <w:ind w:left="85"/>
              <w:rPr>
                <w:b/>
                <w:sz w:val="11"/>
              </w:rPr>
            </w:pPr>
            <w:r>
              <w:rPr>
                <w:b/>
                <w:sz w:val="11"/>
              </w:rPr>
              <w:t>£'000</w:t>
            </w:r>
          </w:p>
        </w:tc>
        <w:tc>
          <w:tcPr>
            <w:tcW w:w="269" w:type="dxa"/>
          </w:tcPr>
          <w:p>
            <w:pPr>
              <w:pStyle w:val="TableParagraph"/>
              <w:rPr>
                <w:rFonts w:ascii="Times New Roman"/>
                <w:sz w:val="10"/>
              </w:rPr>
            </w:pPr>
          </w:p>
        </w:tc>
        <w:tc>
          <w:tcPr>
            <w:tcW w:w="284" w:type="dxa"/>
          </w:tcPr>
          <w:p>
            <w:pPr>
              <w:pStyle w:val="TableParagraph"/>
              <w:spacing w:line="123" w:lineRule="exact"/>
              <w:ind w:left="-20"/>
              <w:rPr>
                <w:b/>
                <w:sz w:val="11"/>
              </w:rPr>
            </w:pPr>
            <w:r>
              <w:rPr>
                <w:b/>
                <w:sz w:val="11"/>
              </w:rPr>
              <w:t>Party</w:t>
            </w:r>
          </w:p>
          <w:p>
            <w:pPr>
              <w:pStyle w:val="TableParagraph"/>
              <w:spacing w:before="10"/>
              <w:ind w:left="-13"/>
              <w:rPr>
                <w:b/>
                <w:sz w:val="11"/>
              </w:rPr>
            </w:pPr>
            <w:r>
              <w:rPr>
                <w:b/>
                <w:sz w:val="11"/>
              </w:rPr>
              <w:t>£'000</w:t>
            </w:r>
          </w:p>
        </w:tc>
        <w:tc>
          <w:tcPr>
            <w:tcW w:w="756" w:type="dxa"/>
            <w:gridSpan w:val="2"/>
          </w:tcPr>
          <w:p>
            <w:pPr>
              <w:pStyle w:val="TableParagraph"/>
              <w:spacing w:line="123" w:lineRule="exact"/>
              <w:ind w:left="257"/>
              <w:rPr>
                <w:b/>
                <w:sz w:val="11"/>
              </w:rPr>
            </w:pPr>
            <w:r>
              <w:rPr>
                <w:b/>
                <w:sz w:val="11"/>
              </w:rPr>
              <w:t>Party</w:t>
            </w:r>
          </w:p>
          <w:p>
            <w:pPr>
              <w:pStyle w:val="TableParagraph"/>
              <w:spacing w:before="10"/>
              <w:ind w:left="262"/>
              <w:rPr>
                <w:b/>
                <w:sz w:val="11"/>
              </w:rPr>
            </w:pPr>
            <w:r>
              <w:rPr>
                <w:b/>
                <w:sz w:val="11"/>
              </w:rPr>
              <w:t>£'000</w:t>
            </w:r>
          </w:p>
        </w:tc>
      </w:tr>
      <w:tr>
        <w:trPr>
          <w:trHeight w:val="261" w:hRule="atLeast"/>
        </w:trPr>
        <w:tc>
          <w:tcPr>
            <w:tcW w:w="5311" w:type="dxa"/>
          </w:tcPr>
          <w:p>
            <w:pPr>
              <w:pStyle w:val="TableParagraph"/>
              <w:spacing w:before="3"/>
              <w:rPr>
                <w:b/>
                <w:sz w:val="10"/>
              </w:rPr>
            </w:pPr>
          </w:p>
          <w:p>
            <w:pPr>
              <w:pStyle w:val="TableParagraph"/>
              <w:spacing w:line="123" w:lineRule="exact"/>
              <w:ind w:left="110"/>
              <w:rPr>
                <w:b/>
                <w:sz w:val="11"/>
              </w:rPr>
            </w:pPr>
            <w:r>
              <w:rPr>
                <w:b/>
                <w:sz w:val="11"/>
              </w:rPr>
              <w:t>Dr Faisel Baig</w:t>
            </w:r>
          </w:p>
        </w:tc>
        <w:tc>
          <w:tcPr>
            <w:tcW w:w="678" w:type="dxa"/>
          </w:tcPr>
          <w:p>
            <w:pPr>
              <w:pStyle w:val="TableParagraph"/>
              <w:rPr>
                <w:rFonts w:ascii="Times New Roman"/>
                <w:sz w:val="10"/>
              </w:rPr>
            </w:pPr>
          </w:p>
        </w:tc>
        <w:tc>
          <w:tcPr>
            <w:tcW w:w="381" w:type="dxa"/>
          </w:tcPr>
          <w:p>
            <w:pPr>
              <w:pStyle w:val="TableParagraph"/>
              <w:rPr>
                <w:rFonts w:ascii="Times New Roman"/>
                <w:sz w:val="10"/>
              </w:rPr>
            </w:pPr>
          </w:p>
        </w:tc>
        <w:tc>
          <w:tcPr>
            <w:tcW w:w="269" w:type="dxa"/>
          </w:tcPr>
          <w:p>
            <w:pPr>
              <w:pStyle w:val="TableParagraph"/>
              <w:rPr>
                <w:rFonts w:ascii="Times New Roman"/>
                <w:sz w:val="10"/>
              </w:rPr>
            </w:pPr>
          </w:p>
        </w:tc>
        <w:tc>
          <w:tcPr>
            <w:tcW w:w="284" w:type="dxa"/>
          </w:tcPr>
          <w:p>
            <w:pPr>
              <w:pStyle w:val="TableParagraph"/>
              <w:rPr>
                <w:rFonts w:ascii="Times New Roman"/>
                <w:sz w:val="10"/>
              </w:rPr>
            </w:pPr>
          </w:p>
        </w:tc>
        <w:tc>
          <w:tcPr>
            <w:tcW w:w="304" w:type="dxa"/>
          </w:tcPr>
          <w:p>
            <w:pPr>
              <w:pStyle w:val="TableParagraph"/>
              <w:rPr>
                <w:rFonts w:ascii="Times New Roman"/>
                <w:sz w:val="10"/>
              </w:rPr>
            </w:pPr>
          </w:p>
        </w:tc>
        <w:tc>
          <w:tcPr>
            <w:tcW w:w="452" w:type="dxa"/>
          </w:tcPr>
          <w:p>
            <w:pPr>
              <w:pStyle w:val="TableParagraph"/>
              <w:rPr>
                <w:rFonts w:ascii="Times New Roman"/>
                <w:sz w:val="10"/>
              </w:rPr>
            </w:pPr>
          </w:p>
        </w:tc>
      </w:tr>
      <w:tr>
        <w:trPr>
          <w:trHeight w:val="272" w:hRule="atLeast"/>
        </w:trPr>
        <w:tc>
          <w:tcPr>
            <w:tcW w:w="5311" w:type="dxa"/>
          </w:tcPr>
          <w:p>
            <w:pPr>
              <w:pStyle w:val="TableParagraph"/>
              <w:spacing w:before="13"/>
              <w:ind w:left="110"/>
              <w:rPr>
                <w:b/>
                <w:sz w:val="11"/>
              </w:rPr>
            </w:pPr>
            <w:r>
              <w:rPr>
                <w:b/>
                <w:sz w:val="11"/>
              </w:rPr>
              <w:t>CCG Chair</w:t>
            </w:r>
          </w:p>
          <w:p>
            <w:pPr>
              <w:pStyle w:val="TableParagraph"/>
              <w:spacing w:line="112" w:lineRule="exact" w:before="1"/>
              <w:ind w:left="110"/>
              <w:rPr>
                <w:sz w:val="11"/>
              </w:rPr>
            </w:pPr>
            <w:r>
              <w:rPr>
                <w:sz w:val="11"/>
              </w:rPr>
              <w:t>Out of Hours GP - Core Care Links</w:t>
            </w:r>
          </w:p>
        </w:tc>
        <w:tc>
          <w:tcPr>
            <w:tcW w:w="678" w:type="dxa"/>
          </w:tcPr>
          <w:p>
            <w:pPr>
              <w:pStyle w:val="TableParagraph"/>
              <w:spacing w:before="11"/>
              <w:rPr>
                <w:b/>
                <w:sz w:val="11"/>
              </w:rPr>
            </w:pPr>
          </w:p>
          <w:p>
            <w:pPr>
              <w:pStyle w:val="TableParagraph"/>
              <w:spacing w:line="115" w:lineRule="exact"/>
              <w:ind w:right="80"/>
              <w:jc w:val="right"/>
              <w:rPr>
                <w:sz w:val="11"/>
              </w:rPr>
            </w:pPr>
            <w:r>
              <w:rPr>
                <w:sz w:val="11"/>
              </w:rPr>
              <w:t>692</w:t>
            </w:r>
          </w:p>
        </w:tc>
        <w:tc>
          <w:tcPr>
            <w:tcW w:w="381" w:type="dxa"/>
          </w:tcPr>
          <w:p>
            <w:pPr>
              <w:pStyle w:val="TableParagraph"/>
              <w:rPr>
                <w:rFonts w:ascii="Times New Roman"/>
                <w:sz w:val="10"/>
              </w:rPr>
            </w:pPr>
          </w:p>
        </w:tc>
        <w:tc>
          <w:tcPr>
            <w:tcW w:w="269" w:type="dxa"/>
          </w:tcPr>
          <w:p>
            <w:pPr>
              <w:pStyle w:val="TableParagraph"/>
              <w:spacing w:before="11"/>
              <w:rPr>
                <w:b/>
                <w:sz w:val="11"/>
              </w:rPr>
            </w:pPr>
          </w:p>
          <w:p>
            <w:pPr>
              <w:pStyle w:val="TableParagraph"/>
              <w:spacing w:line="115" w:lineRule="exact"/>
              <w:ind w:left="23"/>
              <w:rPr>
                <w:sz w:val="11"/>
              </w:rPr>
            </w:pPr>
            <w:r>
              <w:rPr>
                <w:w w:val="100"/>
                <w:sz w:val="11"/>
              </w:rPr>
              <w:t>0</w:t>
            </w:r>
          </w:p>
        </w:tc>
        <w:tc>
          <w:tcPr>
            <w:tcW w:w="284" w:type="dxa"/>
          </w:tcPr>
          <w:p>
            <w:pPr>
              <w:pStyle w:val="TableParagraph"/>
              <w:rPr>
                <w:rFonts w:ascii="Times New Roman"/>
                <w:sz w:val="10"/>
              </w:rPr>
            </w:pPr>
          </w:p>
        </w:tc>
        <w:tc>
          <w:tcPr>
            <w:tcW w:w="304" w:type="dxa"/>
          </w:tcPr>
          <w:p>
            <w:pPr>
              <w:pStyle w:val="TableParagraph"/>
              <w:spacing w:before="11"/>
              <w:rPr>
                <w:b/>
                <w:sz w:val="11"/>
              </w:rPr>
            </w:pPr>
          </w:p>
          <w:p>
            <w:pPr>
              <w:pStyle w:val="TableParagraph"/>
              <w:spacing w:line="115" w:lineRule="exact"/>
              <w:ind w:left="27"/>
              <w:rPr>
                <w:sz w:val="11"/>
              </w:rPr>
            </w:pPr>
            <w:r>
              <w:rPr>
                <w:w w:val="100"/>
                <w:sz w:val="11"/>
              </w:rPr>
              <w:t>0</w:t>
            </w:r>
          </w:p>
        </w:tc>
        <w:tc>
          <w:tcPr>
            <w:tcW w:w="452" w:type="dxa"/>
          </w:tcPr>
          <w:p>
            <w:pPr>
              <w:pStyle w:val="TableParagraph"/>
              <w:spacing w:before="11"/>
              <w:rPr>
                <w:b/>
                <w:sz w:val="11"/>
              </w:rPr>
            </w:pPr>
          </w:p>
          <w:p>
            <w:pPr>
              <w:pStyle w:val="TableParagraph"/>
              <w:spacing w:line="115" w:lineRule="exact"/>
              <w:ind w:right="106"/>
              <w:jc w:val="right"/>
              <w:rPr>
                <w:sz w:val="11"/>
              </w:rPr>
            </w:pPr>
            <w:r>
              <w:rPr>
                <w:w w:val="100"/>
                <w:sz w:val="11"/>
              </w:rPr>
              <w:t>0</w:t>
            </w:r>
          </w:p>
        </w:tc>
      </w:tr>
      <w:tr>
        <w:trPr>
          <w:trHeight w:val="134" w:hRule="atLeast"/>
        </w:trPr>
        <w:tc>
          <w:tcPr>
            <w:tcW w:w="5311" w:type="dxa"/>
          </w:tcPr>
          <w:p>
            <w:pPr>
              <w:pStyle w:val="TableParagraph"/>
              <w:spacing w:line="112" w:lineRule="exact" w:before="2"/>
              <w:ind w:left="110"/>
              <w:rPr>
                <w:sz w:val="11"/>
              </w:rPr>
            </w:pPr>
            <w:r>
              <w:rPr>
                <w:sz w:val="11"/>
              </w:rPr>
              <w:t>Member of Safecare, North Lincs GP Federation</w:t>
            </w:r>
          </w:p>
        </w:tc>
        <w:tc>
          <w:tcPr>
            <w:tcW w:w="678" w:type="dxa"/>
          </w:tcPr>
          <w:p>
            <w:pPr>
              <w:pStyle w:val="TableParagraph"/>
              <w:spacing w:line="112" w:lineRule="exact" w:before="2"/>
              <w:ind w:right="75"/>
              <w:jc w:val="right"/>
              <w:rPr>
                <w:sz w:val="11"/>
              </w:rPr>
            </w:pPr>
            <w:r>
              <w:rPr>
                <w:sz w:val="11"/>
              </w:rPr>
              <w:t>1,572</w:t>
            </w:r>
          </w:p>
        </w:tc>
        <w:tc>
          <w:tcPr>
            <w:tcW w:w="381" w:type="dxa"/>
          </w:tcPr>
          <w:p>
            <w:pPr>
              <w:pStyle w:val="TableParagraph"/>
              <w:rPr>
                <w:rFonts w:ascii="Times New Roman"/>
                <w:sz w:val="8"/>
              </w:rPr>
            </w:pPr>
          </w:p>
        </w:tc>
        <w:tc>
          <w:tcPr>
            <w:tcW w:w="269" w:type="dxa"/>
          </w:tcPr>
          <w:p>
            <w:pPr>
              <w:pStyle w:val="TableParagraph"/>
              <w:spacing w:line="112" w:lineRule="exact" w:before="2"/>
              <w:ind w:left="23"/>
              <w:rPr>
                <w:sz w:val="11"/>
              </w:rPr>
            </w:pPr>
            <w:r>
              <w:rPr>
                <w:w w:val="100"/>
                <w:sz w:val="11"/>
              </w:rPr>
              <w:t>0</w:t>
            </w:r>
          </w:p>
        </w:tc>
        <w:tc>
          <w:tcPr>
            <w:tcW w:w="284" w:type="dxa"/>
          </w:tcPr>
          <w:p>
            <w:pPr>
              <w:pStyle w:val="TableParagraph"/>
              <w:rPr>
                <w:rFonts w:ascii="Times New Roman"/>
                <w:sz w:val="8"/>
              </w:rPr>
            </w:pPr>
          </w:p>
        </w:tc>
        <w:tc>
          <w:tcPr>
            <w:tcW w:w="304" w:type="dxa"/>
          </w:tcPr>
          <w:p>
            <w:pPr>
              <w:pStyle w:val="TableParagraph"/>
              <w:spacing w:line="112" w:lineRule="exact" w:before="2"/>
              <w:ind w:left="27"/>
              <w:rPr>
                <w:sz w:val="11"/>
              </w:rPr>
            </w:pPr>
            <w:r>
              <w:rPr>
                <w:w w:val="100"/>
                <w:sz w:val="11"/>
              </w:rPr>
              <w:t>0</w:t>
            </w:r>
          </w:p>
        </w:tc>
        <w:tc>
          <w:tcPr>
            <w:tcW w:w="452" w:type="dxa"/>
          </w:tcPr>
          <w:p>
            <w:pPr>
              <w:pStyle w:val="TableParagraph"/>
              <w:spacing w:line="112" w:lineRule="exact" w:before="2"/>
              <w:ind w:right="108"/>
              <w:jc w:val="right"/>
              <w:rPr>
                <w:sz w:val="11"/>
              </w:rPr>
            </w:pPr>
            <w:r>
              <w:rPr>
                <w:w w:val="100"/>
                <w:sz w:val="11"/>
              </w:rPr>
              <w:t>0</w:t>
            </w:r>
          </w:p>
        </w:tc>
      </w:tr>
      <w:tr>
        <w:trPr>
          <w:trHeight w:val="141" w:hRule="atLeast"/>
        </w:trPr>
        <w:tc>
          <w:tcPr>
            <w:tcW w:w="5311" w:type="dxa"/>
          </w:tcPr>
          <w:p>
            <w:pPr>
              <w:pStyle w:val="TableParagraph"/>
              <w:spacing w:line="119" w:lineRule="exact" w:before="2"/>
              <w:ind w:left="110"/>
              <w:rPr>
                <w:sz w:val="11"/>
              </w:rPr>
            </w:pPr>
            <w:r>
              <w:rPr>
                <w:sz w:val="11"/>
              </w:rPr>
              <w:t>Spouse working as a salaried GP at Riverside Surgery</w:t>
            </w:r>
          </w:p>
        </w:tc>
        <w:tc>
          <w:tcPr>
            <w:tcW w:w="678" w:type="dxa"/>
          </w:tcPr>
          <w:p>
            <w:pPr>
              <w:pStyle w:val="TableParagraph"/>
              <w:spacing w:line="119" w:lineRule="exact" w:before="2"/>
              <w:ind w:right="78"/>
              <w:jc w:val="right"/>
              <w:rPr>
                <w:sz w:val="11"/>
              </w:rPr>
            </w:pPr>
            <w:r>
              <w:rPr>
                <w:sz w:val="11"/>
              </w:rPr>
              <w:t>3,225</w:t>
            </w:r>
          </w:p>
        </w:tc>
        <w:tc>
          <w:tcPr>
            <w:tcW w:w="381" w:type="dxa"/>
          </w:tcPr>
          <w:p>
            <w:pPr>
              <w:pStyle w:val="TableParagraph"/>
              <w:rPr>
                <w:rFonts w:ascii="Times New Roman"/>
                <w:sz w:val="8"/>
              </w:rPr>
            </w:pPr>
          </w:p>
        </w:tc>
        <w:tc>
          <w:tcPr>
            <w:tcW w:w="269" w:type="dxa"/>
          </w:tcPr>
          <w:p>
            <w:pPr>
              <w:pStyle w:val="TableParagraph"/>
              <w:spacing w:line="119" w:lineRule="exact" w:before="2"/>
              <w:ind w:left="23"/>
              <w:rPr>
                <w:sz w:val="11"/>
              </w:rPr>
            </w:pPr>
            <w:r>
              <w:rPr>
                <w:w w:val="100"/>
                <w:sz w:val="11"/>
              </w:rPr>
              <w:t>1</w:t>
            </w:r>
          </w:p>
        </w:tc>
        <w:tc>
          <w:tcPr>
            <w:tcW w:w="284" w:type="dxa"/>
          </w:tcPr>
          <w:p>
            <w:pPr>
              <w:pStyle w:val="TableParagraph"/>
              <w:rPr>
                <w:rFonts w:ascii="Times New Roman"/>
                <w:sz w:val="8"/>
              </w:rPr>
            </w:pPr>
          </w:p>
        </w:tc>
        <w:tc>
          <w:tcPr>
            <w:tcW w:w="304" w:type="dxa"/>
          </w:tcPr>
          <w:p>
            <w:pPr>
              <w:pStyle w:val="TableParagraph"/>
              <w:spacing w:line="119" w:lineRule="exact" w:before="2"/>
              <w:ind w:left="27"/>
              <w:rPr>
                <w:sz w:val="11"/>
              </w:rPr>
            </w:pPr>
            <w:r>
              <w:rPr>
                <w:w w:val="100"/>
                <w:sz w:val="11"/>
              </w:rPr>
              <w:t>0</w:t>
            </w:r>
          </w:p>
        </w:tc>
        <w:tc>
          <w:tcPr>
            <w:tcW w:w="452" w:type="dxa"/>
          </w:tcPr>
          <w:p>
            <w:pPr>
              <w:pStyle w:val="TableParagraph"/>
              <w:spacing w:line="119" w:lineRule="exact" w:before="2"/>
              <w:ind w:right="106"/>
              <w:jc w:val="right"/>
              <w:rPr>
                <w:sz w:val="11"/>
              </w:rPr>
            </w:pPr>
            <w:r>
              <w:rPr>
                <w:w w:val="100"/>
                <w:sz w:val="11"/>
              </w:rPr>
              <w:t>1</w:t>
            </w:r>
          </w:p>
        </w:tc>
      </w:tr>
      <w:tr>
        <w:trPr>
          <w:trHeight w:val="212" w:hRule="atLeast"/>
        </w:trPr>
        <w:tc>
          <w:tcPr>
            <w:tcW w:w="5311" w:type="dxa"/>
          </w:tcPr>
          <w:p>
            <w:pPr>
              <w:pStyle w:val="TableParagraph"/>
              <w:spacing w:before="9"/>
              <w:ind w:left="110"/>
              <w:rPr>
                <w:sz w:val="11"/>
              </w:rPr>
            </w:pPr>
            <w:r>
              <w:rPr>
                <w:sz w:val="11"/>
              </w:rPr>
              <w:t>Chair, Scunthorpe Towns Fund Board (North Lincolnshire Council)</w:t>
            </w:r>
          </w:p>
        </w:tc>
        <w:tc>
          <w:tcPr>
            <w:tcW w:w="678" w:type="dxa"/>
          </w:tcPr>
          <w:p>
            <w:pPr>
              <w:pStyle w:val="TableParagraph"/>
              <w:spacing w:before="9"/>
              <w:ind w:right="79"/>
              <w:jc w:val="right"/>
              <w:rPr>
                <w:sz w:val="11"/>
              </w:rPr>
            </w:pPr>
            <w:r>
              <w:rPr>
                <w:sz w:val="11"/>
              </w:rPr>
              <w:t>14,070</w:t>
            </w:r>
          </w:p>
        </w:tc>
        <w:tc>
          <w:tcPr>
            <w:tcW w:w="650" w:type="dxa"/>
            <w:gridSpan w:val="2"/>
          </w:tcPr>
          <w:p>
            <w:pPr>
              <w:pStyle w:val="TableParagraph"/>
              <w:spacing w:before="9"/>
              <w:ind w:left="282"/>
              <w:rPr>
                <w:sz w:val="11"/>
              </w:rPr>
            </w:pPr>
            <w:r>
              <w:rPr>
                <w:sz w:val="11"/>
              </w:rPr>
              <w:t>332</w:t>
            </w:r>
          </w:p>
        </w:tc>
        <w:tc>
          <w:tcPr>
            <w:tcW w:w="588" w:type="dxa"/>
            <w:gridSpan w:val="2"/>
          </w:tcPr>
          <w:p>
            <w:pPr>
              <w:pStyle w:val="TableParagraph"/>
              <w:spacing w:before="9"/>
              <w:ind w:left="186"/>
              <w:rPr>
                <w:sz w:val="11"/>
              </w:rPr>
            </w:pPr>
            <w:r>
              <w:rPr>
                <w:sz w:val="11"/>
              </w:rPr>
              <w:t>478</w:t>
            </w:r>
          </w:p>
        </w:tc>
        <w:tc>
          <w:tcPr>
            <w:tcW w:w="452" w:type="dxa"/>
          </w:tcPr>
          <w:p>
            <w:pPr>
              <w:pStyle w:val="TableParagraph"/>
              <w:spacing w:before="9"/>
              <w:ind w:right="105"/>
              <w:jc w:val="right"/>
              <w:rPr>
                <w:sz w:val="11"/>
              </w:rPr>
            </w:pPr>
            <w:r>
              <w:rPr>
                <w:sz w:val="11"/>
              </w:rPr>
              <w:t>99</w:t>
            </w:r>
          </w:p>
        </w:tc>
      </w:tr>
      <w:tr>
        <w:trPr>
          <w:trHeight w:val="471" w:hRule="atLeast"/>
        </w:trPr>
        <w:tc>
          <w:tcPr>
            <w:tcW w:w="5311" w:type="dxa"/>
          </w:tcPr>
          <w:p>
            <w:pPr>
              <w:pStyle w:val="TableParagraph"/>
              <w:spacing w:line="254" w:lineRule="auto" w:before="73"/>
              <w:ind w:left="110" w:right="4422"/>
              <w:rPr>
                <w:b/>
                <w:sz w:val="11"/>
              </w:rPr>
            </w:pPr>
            <w:r>
              <w:rPr>
                <w:b/>
                <w:sz w:val="11"/>
              </w:rPr>
              <w:t>Emma Latimer Chief Officer</w:t>
            </w:r>
          </w:p>
          <w:p>
            <w:pPr>
              <w:pStyle w:val="TableParagraph"/>
              <w:spacing w:line="110" w:lineRule="exact"/>
              <w:ind w:left="110"/>
              <w:rPr>
                <w:sz w:val="11"/>
              </w:rPr>
            </w:pPr>
            <w:r>
              <w:rPr>
                <w:sz w:val="11"/>
              </w:rPr>
              <w:t>Chief Officer - Hull CCG</w:t>
            </w:r>
          </w:p>
        </w:tc>
        <w:tc>
          <w:tcPr>
            <w:tcW w:w="678" w:type="dxa"/>
          </w:tcPr>
          <w:p>
            <w:pPr>
              <w:pStyle w:val="TableParagraph"/>
              <w:rPr>
                <w:b/>
                <w:sz w:val="12"/>
              </w:rPr>
            </w:pPr>
          </w:p>
          <w:p>
            <w:pPr>
              <w:pStyle w:val="TableParagraph"/>
              <w:spacing w:before="10"/>
              <w:rPr>
                <w:b/>
                <w:sz w:val="16"/>
              </w:rPr>
            </w:pPr>
          </w:p>
          <w:p>
            <w:pPr>
              <w:pStyle w:val="TableParagraph"/>
              <w:spacing w:line="119" w:lineRule="exact"/>
              <w:ind w:right="80"/>
              <w:jc w:val="right"/>
              <w:rPr>
                <w:sz w:val="11"/>
              </w:rPr>
            </w:pPr>
            <w:r>
              <w:rPr>
                <w:sz w:val="11"/>
              </w:rPr>
              <w:t>570</w:t>
            </w:r>
          </w:p>
        </w:tc>
        <w:tc>
          <w:tcPr>
            <w:tcW w:w="650" w:type="dxa"/>
            <w:gridSpan w:val="2"/>
          </w:tcPr>
          <w:p>
            <w:pPr>
              <w:pStyle w:val="TableParagraph"/>
              <w:rPr>
                <w:b/>
                <w:sz w:val="12"/>
              </w:rPr>
            </w:pPr>
          </w:p>
          <w:p>
            <w:pPr>
              <w:pStyle w:val="TableParagraph"/>
              <w:spacing w:before="10"/>
              <w:rPr>
                <w:b/>
                <w:sz w:val="16"/>
              </w:rPr>
            </w:pPr>
          </w:p>
          <w:p>
            <w:pPr>
              <w:pStyle w:val="TableParagraph"/>
              <w:spacing w:line="119" w:lineRule="exact"/>
              <w:ind w:left="282"/>
              <w:rPr>
                <w:sz w:val="11"/>
              </w:rPr>
            </w:pPr>
            <w:r>
              <w:rPr>
                <w:sz w:val="11"/>
              </w:rPr>
              <w:t>107</w:t>
            </w:r>
          </w:p>
        </w:tc>
        <w:tc>
          <w:tcPr>
            <w:tcW w:w="588" w:type="dxa"/>
            <w:gridSpan w:val="2"/>
          </w:tcPr>
          <w:p>
            <w:pPr>
              <w:pStyle w:val="TableParagraph"/>
              <w:rPr>
                <w:b/>
                <w:sz w:val="12"/>
              </w:rPr>
            </w:pPr>
          </w:p>
          <w:p>
            <w:pPr>
              <w:pStyle w:val="TableParagraph"/>
              <w:spacing w:before="10"/>
              <w:rPr>
                <w:b/>
                <w:sz w:val="16"/>
              </w:rPr>
            </w:pPr>
          </w:p>
          <w:p>
            <w:pPr>
              <w:pStyle w:val="TableParagraph"/>
              <w:spacing w:line="119" w:lineRule="exact"/>
              <w:ind w:left="229" w:right="195"/>
              <w:jc w:val="center"/>
              <w:rPr>
                <w:sz w:val="11"/>
              </w:rPr>
            </w:pPr>
            <w:r>
              <w:rPr>
                <w:sz w:val="11"/>
              </w:rPr>
              <w:t>66</w:t>
            </w:r>
          </w:p>
        </w:tc>
        <w:tc>
          <w:tcPr>
            <w:tcW w:w="452" w:type="dxa"/>
          </w:tcPr>
          <w:p>
            <w:pPr>
              <w:pStyle w:val="TableParagraph"/>
              <w:rPr>
                <w:b/>
                <w:sz w:val="12"/>
              </w:rPr>
            </w:pPr>
          </w:p>
          <w:p>
            <w:pPr>
              <w:pStyle w:val="TableParagraph"/>
              <w:spacing w:before="10"/>
              <w:rPr>
                <w:b/>
                <w:sz w:val="16"/>
              </w:rPr>
            </w:pPr>
          </w:p>
          <w:p>
            <w:pPr>
              <w:pStyle w:val="TableParagraph"/>
              <w:spacing w:line="119" w:lineRule="exact"/>
              <w:ind w:right="106"/>
              <w:jc w:val="right"/>
              <w:rPr>
                <w:sz w:val="11"/>
              </w:rPr>
            </w:pPr>
            <w:r>
              <w:rPr>
                <w:w w:val="100"/>
                <w:sz w:val="11"/>
              </w:rPr>
              <w:t>0</w:t>
            </w:r>
          </w:p>
        </w:tc>
      </w:tr>
      <w:tr>
        <w:trPr>
          <w:trHeight w:val="211" w:hRule="atLeast"/>
        </w:trPr>
        <w:tc>
          <w:tcPr>
            <w:tcW w:w="5311" w:type="dxa"/>
          </w:tcPr>
          <w:p>
            <w:pPr>
              <w:pStyle w:val="TableParagraph"/>
              <w:spacing w:before="9"/>
              <w:ind w:left="110"/>
              <w:rPr>
                <w:sz w:val="11"/>
              </w:rPr>
            </w:pPr>
            <w:r>
              <w:rPr>
                <w:sz w:val="11"/>
              </w:rPr>
              <w:t>Chief Officer - East Riding CCG</w:t>
            </w:r>
          </w:p>
        </w:tc>
        <w:tc>
          <w:tcPr>
            <w:tcW w:w="678" w:type="dxa"/>
          </w:tcPr>
          <w:p>
            <w:pPr>
              <w:pStyle w:val="TableParagraph"/>
              <w:spacing w:before="9"/>
              <w:ind w:right="80"/>
              <w:jc w:val="right"/>
              <w:rPr>
                <w:sz w:val="11"/>
              </w:rPr>
            </w:pPr>
            <w:r>
              <w:rPr>
                <w:sz w:val="11"/>
              </w:rPr>
              <w:t>156</w:t>
            </w:r>
          </w:p>
        </w:tc>
        <w:tc>
          <w:tcPr>
            <w:tcW w:w="650" w:type="dxa"/>
            <w:gridSpan w:val="2"/>
          </w:tcPr>
          <w:p>
            <w:pPr>
              <w:pStyle w:val="TableParagraph"/>
              <w:spacing w:before="9"/>
              <w:ind w:left="342"/>
              <w:rPr>
                <w:sz w:val="11"/>
              </w:rPr>
            </w:pPr>
            <w:r>
              <w:rPr>
                <w:sz w:val="11"/>
              </w:rPr>
              <w:t>49</w:t>
            </w:r>
          </w:p>
        </w:tc>
        <w:tc>
          <w:tcPr>
            <w:tcW w:w="284" w:type="dxa"/>
          </w:tcPr>
          <w:p>
            <w:pPr>
              <w:pStyle w:val="TableParagraph"/>
              <w:rPr>
                <w:rFonts w:ascii="Times New Roman"/>
                <w:sz w:val="10"/>
              </w:rPr>
            </w:pPr>
          </w:p>
        </w:tc>
        <w:tc>
          <w:tcPr>
            <w:tcW w:w="304" w:type="dxa"/>
          </w:tcPr>
          <w:p>
            <w:pPr>
              <w:pStyle w:val="TableParagraph"/>
              <w:spacing w:before="9"/>
              <w:ind w:left="27"/>
              <w:rPr>
                <w:sz w:val="11"/>
              </w:rPr>
            </w:pPr>
            <w:r>
              <w:rPr>
                <w:w w:val="100"/>
                <w:sz w:val="11"/>
              </w:rPr>
              <w:t>0</w:t>
            </w:r>
          </w:p>
        </w:tc>
        <w:tc>
          <w:tcPr>
            <w:tcW w:w="452" w:type="dxa"/>
          </w:tcPr>
          <w:p>
            <w:pPr>
              <w:pStyle w:val="TableParagraph"/>
              <w:spacing w:before="9"/>
              <w:ind w:right="108"/>
              <w:jc w:val="right"/>
              <w:rPr>
                <w:sz w:val="11"/>
              </w:rPr>
            </w:pPr>
            <w:r>
              <w:rPr>
                <w:w w:val="100"/>
                <w:sz w:val="11"/>
              </w:rPr>
              <w:t>0</w:t>
            </w:r>
          </w:p>
        </w:tc>
      </w:tr>
      <w:tr>
        <w:trPr>
          <w:trHeight w:val="471" w:hRule="atLeast"/>
        </w:trPr>
        <w:tc>
          <w:tcPr>
            <w:tcW w:w="5311" w:type="dxa"/>
          </w:tcPr>
          <w:p>
            <w:pPr>
              <w:pStyle w:val="TableParagraph"/>
              <w:spacing w:before="72"/>
              <w:ind w:left="110"/>
              <w:rPr>
                <w:b/>
                <w:sz w:val="11"/>
              </w:rPr>
            </w:pPr>
            <w:r>
              <w:rPr>
                <w:b/>
                <w:sz w:val="11"/>
              </w:rPr>
              <w:t>Emma Sayner</w:t>
            </w:r>
          </w:p>
          <w:p>
            <w:pPr>
              <w:pStyle w:val="TableParagraph"/>
              <w:spacing w:line="126" w:lineRule="exact" w:before="10"/>
              <w:ind w:left="110"/>
              <w:rPr>
                <w:b/>
                <w:sz w:val="11"/>
              </w:rPr>
            </w:pPr>
            <w:r>
              <w:rPr>
                <w:b/>
                <w:sz w:val="11"/>
              </w:rPr>
              <w:t>Chief Finance Officer</w:t>
            </w:r>
          </w:p>
          <w:p>
            <w:pPr>
              <w:pStyle w:val="TableParagraph"/>
              <w:spacing w:line="117" w:lineRule="exact"/>
              <w:ind w:left="110"/>
              <w:rPr>
                <w:sz w:val="11"/>
              </w:rPr>
            </w:pPr>
            <w:r>
              <w:rPr>
                <w:sz w:val="11"/>
              </w:rPr>
              <w:t>Chief Finance Officer - Hull CCG</w:t>
            </w:r>
          </w:p>
        </w:tc>
        <w:tc>
          <w:tcPr>
            <w:tcW w:w="678" w:type="dxa"/>
          </w:tcPr>
          <w:p>
            <w:pPr>
              <w:pStyle w:val="TableParagraph"/>
              <w:rPr>
                <w:b/>
                <w:sz w:val="12"/>
              </w:rPr>
            </w:pPr>
          </w:p>
          <w:p>
            <w:pPr>
              <w:pStyle w:val="TableParagraph"/>
              <w:rPr>
                <w:b/>
                <w:sz w:val="17"/>
              </w:rPr>
            </w:pPr>
          </w:p>
          <w:p>
            <w:pPr>
              <w:pStyle w:val="TableParagraph"/>
              <w:spacing w:line="118" w:lineRule="exact"/>
              <w:ind w:right="80"/>
              <w:jc w:val="right"/>
              <w:rPr>
                <w:sz w:val="11"/>
              </w:rPr>
            </w:pPr>
            <w:r>
              <w:rPr>
                <w:sz w:val="11"/>
              </w:rPr>
              <w:t>570</w:t>
            </w:r>
          </w:p>
        </w:tc>
        <w:tc>
          <w:tcPr>
            <w:tcW w:w="650" w:type="dxa"/>
            <w:gridSpan w:val="2"/>
          </w:tcPr>
          <w:p>
            <w:pPr>
              <w:pStyle w:val="TableParagraph"/>
              <w:rPr>
                <w:b/>
                <w:sz w:val="12"/>
              </w:rPr>
            </w:pPr>
          </w:p>
          <w:p>
            <w:pPr>
              <w:pStyle w:val="TableParagraph"/>
              <w:rPr>
                <w:b/>
                <w:sz w:val="17"/>
              </w:rPr>
            </w:pPr>
          </w:p>
          <w:p>
            <w:pPr>
              <w:pStyle w:val="TableParagraph"/>
              <w:spacing w:line="118" w:lineRule="exact"/>
              <w:ind w:left="282"/>
              <w:rPr>
                <w:sz w:val="11"/>
              </w:rPr>
            </w:pPr>
            <w:r>
              <w:rPr>
                <w:sz w:val="11"/>
              </w:rPr>
              <w:t>107</w:t>
            </w:r>
          </w:p>
        </w:tc>
        <w:tc>
          <w:tcPr>
            <w:tcW w:w="588" w:type="dxa"/>
            <w:gridSpan w:val="2"/>
          </w:tcPr>
          <w:p>
            <w:pPr>
              <w:pStyle w:val="TableParagraph"/>
              <w:rPr>
                <w:b/>
                <w:sz w:val="12"/>
              </w:rPr>
            </w:pPr>
          </w:p>
          <w:p>
            <w:pPr>
              <w:pStyle w:val="TableParagraph"/>
              <w:rPr>
                <w:b/>
                <w:sz w:val="17"/>
              </w:rPr>
            </w:pPr>
          </w:p>
          <w:p>
            <w:pPr>
              <w:pStyle w:val="TableParagraph"/>
              <w:spacing w:line="118" w:lineRule="exact"/>
              <w:ind w:left="229" w:right="195"/>
              <w:jc w:val="center"/>
              <w:rPr>
                <w:sz w:val="11"/>
              </w:rPr>
            </w:pPr>
            <w:r>
              <w:rPr>
                <w:sz w:val="11"/>
              </w:rPr>
              <w:t>66</w:t>
            </w:r>
          </w:p>
        </w:tc>
        <w:tc>
          <w:tcPr>
            <w:tcW w:w="452" w:type="dxa"/>
          </w:tcPr>
          <w:p>
            <w:pPr>
              <w:pStyle w:val="TableParagraph"/>
              <w:rPr>
                <w:b/>
                <w:sz w:val="12"/>
              </w:rPr>
            </w:pPr>
          </w:p>
          <w:p>
            <w:pPr>
              <w:pStyle w:val="TableParagraph"/>
              <w:rPr>
                <w:b/>
                <w:sz w:val="17"/>
              </w:rPr>
            </w:pPr>
          </w:p>
          <w:p>
            <w:pPr>
              <w:pStyle w:val="TableParagraph"/>
              <w:spacing w:line="118" w:lineRule="exact"/>
              <w:ind w:right="108"/>
              <w:jc w:val="right"/>
              <w:rPr>
                <w:sz w:val="11"/>
              </w:rPr>
            </w:pPr>
            <w:r>
              <w:rPr>
                <w:w w:val="100"/>
                <w:sz w:val="11"/>
              </w:rPr>
              <w:t>0</w:t>
            </w:r>
          </w:p>
        </w:tc>
      </w:tr>
      <w:tr>
        <w:trPr>
          <w:trHeight w:val="210" w:hRule="atLeast"/>
        </w:trPr>
        <w:tc>
          <w:tcPr>
            <w:tcW w:w="5311" w:type="dxa"/>
          </w:tcPr>
          <w:p>
            <w:pPr>
              <w:pStyle w:val="TableParagraph"/>
              <w:spacing w:before="8"/>
              <w:ind w:left="110"/>
              <w:rPr>
                <w:sz w:val="11"/>
              </w:rPr>
            </w:pPr>
            <w:r>
              <w:rPr>
                <w:sz w:val="11"/>
              </w:rPr>
              <w:t>Citycare Board Member</w:t>
            </w:r>
          </w:p>
        </w:tc>
        <w:tc>
          <w:tcPr>
            <w:tcW w:w="678" w:type="dxa"/>
          </w:tcPr>
          <w:p>
            <w:pPr>
              <w:pStyle w:val="TableParagraph"/>
              <w:spacing w:before="8"/>
              <w:ind w:right="78"/>
              <w:jc w:val="right"/>
              <w:rPr>
                <w:sz w:val="11"/>
              </w:rPr>
            </w:pPr>
            <w:r>
              <w:rPr>
                <w:sz w:val="11"/>
              </w:rPr>
              <w:t>60</w:t>
            </w:r>
          </w:p>
        </w:tc>
        <w:tc>
          <w:tcPr>
            <w:tcW w:w="381" w:type="dxa"/>
          </w:tcPr>
          <w:p>
            <w:pPr>
              <w:pStyle w:val="TableParagraph"/>
              <w:rPr>
                <w:rFonts w:ascii="Times New Roman"/>
                <w:sz w:val="10"/>
              </w:rPr>
            </w:pPr>
          </w:p>
        </w:tc>
        <w:tc>
          <w:tcPr>
            <w:tcW w:w="269" w:type="dxa"/>
          </w:tcPr>
          <w:p>
            <w:pPr>
              <w:pStyle w:val="TableParagraph"/>
              <w:spacing w:before="8"/>
              <w:ind w:left="23"/>
              <w:rPr>
                <w:sz w:val="11"/>
              </w:rPr>
            </w:pPr>
            <w:r>
              <w:rPr>
                <w:w w:val="100"/>
                <w:sz w:val="11"/>
              </w:rPr>
              <w:t>0</w:t>
            </w:r>
          </w:p>
        </w:tc>
        <w:tc>
          <w:tcPr>
            <w:tcW w:w="588" w:type="dxa"/>
            <w:gridSpan w:val="2"/>
          </w:tcPr>
          <w:p>
            <w:pPr>
              <w:pStyle w:val="TableParagraph"/>
              <w:spacing w:before="8"/>
              <w:ind w:left="229" w:right="195"/>
              <w:jc w:val="center"/>
              <w:rPr>
                <w:sz w:val="11"/>
              </w:rPr>
            </w:pPr>
            <w:r>
              <w:rPr>
                <w:sz w:val="11"/>
              </w:rPr>
              <w:t>13</w:t>
            </w:r>
          </w:p>
        </w:tc>
        <w:tc>
          <w:tcPr>
            <w:tcW w:w="452" w:type="dxa"/>
          </w:tcPr>
          <w:p>
            <w:pPr>
              <w:pStyle w:val="TableParagraph"/>
              <w:spacing w:before="8"/>
              <w:ind w:right="108"/>
              <w:jc w:val="right"/>
              <w:rPr>
                <w:sz w:val="11"/>
              </w:rPr>
            </w:pPr>
            <w:r>
              <w:rPr>
                <w:w w:val="100"/>
                <w:sz w:val="11"/>
              </w:rPr>
              <w:t>0</w:t>
            </w:r>
          </w:p>
        </w:tc>
      </w:tr>
      <w:tr>
        <w:trPr>
          <w:trHeight w:val="547" w:hRule="atLeast"/>
        </w:trPr>
        <w:tc>
          <w:tcPr>
            <w:tcW w:w="5311" w:type="dxa"/>
          </w:tcPr>
          <w:p>
            <w:pPr>
              <w:pStyle w:val="TableParagraph"/>
              <w:spacing w:before="72"/>
              <w:ind w:left="110"/>
              <w:rPr>
                <w:b/>
                <w:sz w:val="11"/>
              </w:rPr>
            </w:pPr>
            <w:r>
              <w:rPr>
                <w:b/>
                <w:sz w:val="11"/>
              </w:rPr>
              <w:t>Alex Seale</w:t>
            </w:r>
          </w:p>
          <w:p>
            <w:pPr>
              <w:pStyle w:val="TableParagraph"/>
              <w:spacing w:before="10"/>
              <w:ind w:left="110"/>
              <w:rPr>
                <w:b/>
                <w:sz w:val="11"/>
              </w:rPr>
            </w:pPr>
            <w:r>
              <w:rPr>
                <w:b/>
                <w:sz w:val="11"/>
              </w:rPr>
              <w:t>Chief Operating Officer</w:t>
            </w:r>
          </w:p>
          <w:p>
            <w:pPr>
              <w:pStyle w:val="TableParagraph"/>
              <w:spacing w:before="10"/>
              <w:ind w:left="110"/>
              <w:rPr>
                <w:sz w:val="11"/>
              </w:rPr>
            </w:pPr>
            <w:r>
              <w:rPr>
                <w:sz w:val="11"/>
              </w:rPr>
              <w:t>Partner Govenor for Northern Lincolnshire &amp; Goole NHS FT</w:t>
            </w:r>
          </w:p>
        </w:tc>
        <w:tc>
          <w:tcPr>
            <w:tcW w:w="678" w:type="dxa"/>
          </w:tcPr>
          <w:p>
            <w:pPr>
              <w:pStyle w:val="TableParagraph"/>
              <w:rPr>
                <w:b/>
                <w:sz w:val="12"/>
              </w:rPr>
            </w:pPr>
          </w:p>
          <w:p>
            <w:pPr>
              <w:pStyle w:val="TableParagraph"/>
              <w:rPr>
                <w:b/>
                <w:sz w:val="12"/>
              </w:rPr>
            </w:pPr>
          </w:p>
          <w:p>
            <w:pPr>
              <w:pStyle w:val="TableParagraph"/>
              <w:spacing w:before="69"/>
              <w:ind w:right="75"/>
              <w:jc w:val="right"/>
              <w:rPr>
                <w:sz w:val="11"/>
              </w:rPr>
            </w:pPr>
            <w:r>
              <w:rPr>
                <w:sz w:val="11"/>
              </w:rPr>
              <w:t>128,626</w:t>
            </w:r>
          </w:p>
        </w:tc>
        <w:tc>
          <w:tcPr>
            <w:tcW w:w="381" w:type="dxa"/>
          </w:tcPr>
          <w:p>
            <w:pPr>
              <w:pStyle w:val="TableParagraph"/>
              <w:rPr>
                <w:rFonts w:ascii="Times New Roman"/>
                <w:sz w:val="10"/>
              </w:rPr>
            </w:pPr>
          </w:p>
        </w:tc>
        <w:tc>
          <w:tcPr>
            <w:tcW w:w="269" w:type="dxa"/>
          </w:tcPr>
          <w:p>
            <w:pPr>
              <w:pStyle w:val="TableParagraph"/>
              <w:rPr>
                <w:b/>
                <w:sz w:val="12"/>
              </w:rPr>
            </w:pPr>
          </w:p>
          <w:p>
            <w:pPr>
              <w:pStyle w:val="TableParagraph"/>
              <w:rPr>
                <w:b/>
                <w:sz w:val="12"/>
              </w:rPr>
            </w:pPr>
          </w:p>
          <w:p>
            <w:pPr>
              <w:pStyle w:val="TableParagraph"/>
              <w:spacing w:before="69"/>
              <w:ind w:left="23"/>
              <w:rPr>
                <w:sz w:val="11"/>
              </w:rPr>
            </w:pPr>
            <w:r>
              <w:rPr>
                <w:w w:val="100"/>
                <w:sz w:val="11"/>
              </w:rPr>
              <w:t>0</w:t>
            </w:r>
          </w:p>
        </w:tc>
        <w:tc>
          <w:tcPr>
            <w:tcW w:w="284" w:type="dxa"/>
          </w:tcPr>
          <w:p>
            <w:pPr>
              <w:pStyle w:val="TableParagraph"/>
              <w:rPr>
                <w:rFonts w:ascii="Times New Roman"/>
                <w:sz w:val="10"/>
              </w:rPr>
            </w:pPr>
          </w:p>
        </w:tc>
        <w:tc>
          <w:tcPr>
            <w:tcW w:w="304" w:type="dxa"/>
          </w:tcPr>
          <w:p>
            <w:pPr>
              <w:pStyle w:val="TableParagraph"/>
              <w:rPr>
                <w:b/>
                <w:sz w:val="12"/>
              </w:rPr>
            </w:pPr>
          </w:p>
          <w:p>
            <w:pPr>
              <w:pStyle w:val="TableParagraph"/>
              <w:rPr>
                <w:b/>
                <w:sz w:val="12"/>
              </w:rPr>
            </w:pPr>
          </w:p>
          <w:p>
            <w:pPr>
              <w:pStyle w:val="TableParagraph"/>
              <w:spacing w:before="69"/>
              <w:ind w:left="27"/>
              <w:rPr>
                <w:sz w:val="11"/>
              </w:rPr>
            </w:pPr>
            <w:r>
              <w:rPr>
                <w:w w:val="100"/>
                <w:sz w:val="11"/>
              </w:rPr>
              <w:t>0</w:t>
            </w:r>
          </w:p>
        </w:tc>
        <w:tc>
          <w:tcPr>
            <w:tcW w:w="452" w:type="dxa"/>
          </w:tcPr>
          <w:p>
            <w:pPr>
              <w:pStyle w:val="TableParagraph"/>
              <w:rPr>
                <w:b/>
                <w:sz w:val="12"/>
              </w:rPr>
            </w:pPr>
          </w:p>
          <w:p>
            <w:pPr>
              <w:pStyle w:val="TableParagraph"/>
              <w:rPr>
                <w:b/>
                <w:sz w:val="12"/>
              </w:rPr>
            </w:pPr>
          </w:p>
          <w:p>
            <w:pPr>
              <w:pStyle w:val="TableParagraph"/>
              <w:spacing w:before="69"/>
              <w:ind w:right="106"/>
              <w:jc w:val="right"/>
              <w:rPr>
                <w:sz w:val="11"/>
              </w:rPr>
            </w:pPr>
            <w:r>
              <w:rPr>
                <w:w w:val="100"/>
                <w:sz w:val="11"/>
              </w:rPr>
              <w:t>0</w:t>
            </w:r>
          </w:p>
        </w:tc>
      </w:tr>
      <w:tr>
        <w:trPr>
          <w:trHeight w:val="548" w:hRule="atLeast"/>
        </w:trPr>
        <w:tc>
          <w:tcPr>
            <w:tcW w:w="5311" w:type="dxa"/>
          </w:tcPr>
          <w:p>
            <w:pPr>
              <w:pStyle w:val="TableParagraph"/>
              <w:spacing w:before="72"/>
              <w:ind w:left="110"/>
              <w:rPr>
                <w:b/>
                <w:sz w:val="11"/>
              </w:rPr>
            </w:pPr>
            <w:r>
              <w:rPr>
                <w:b/>
                <w:sz w:val="11"/>
              </w:rPr>
              <w:t>Helen Davis</w:t>
            </w:r>
          </w:p>
          <w:p>
            <w:pPr>
              <w:pStyle w:val="TableParagraph"/>
              <w:spacing w:before="10"/>
              <w:ind w:left="110"/>
              <w:rPr>
                <w:b/>
                <w:sz w:val="11"/>
              </w:rPr>
            </w:pPr>
            <w:r>
              <w:rPr>
                <w:b/>
                <w:sz w:val="11"/>
              </w:rPr>
              <w:t>Interim Director of Nursing &amp; Quality</w:t>
            </w:r>
          </w:p>
          <w:p>
            <w:pPr>
              <w:pStyle w:val="TableParagraph"/>
              <w:spacing w:before="10"/>
              <w:ind w:left="110"/>
              <w:rPr>
                <w:sz w:val="11"/>
              </w:rPr>
            </w:pPr>
            <w:r>
              <w:rPr>
                <w:sz w:val="11"/>
              </w:rPr>
              <w:t>Husband is employed by Northern Lincolnshire &amp; Goole NHS FT</w:t>
            </w:r>
          </w:p>
        </w:tc>
        <w:tc>
          <w:tcPr>
            <w:tcW w:w="678" w:type="dxa"/>
          </w:tcPr>
          <w:p>
            <w:pPr>
              <w:pStyle w:val="TableParagraph"/>
              <w:rPr>
                <w:b/>
                <w:sz w:val="12"/>
              </w:rPr>
            </w:pPr>
          </w:p>
          <w:p>
            <w:pPr>
              <w:pStyle w:val="TableParagraph"/>
              <w:rPr>
                <w:b/>
                <w:sz w:val="12"/>
              </w:rPr>
            </w:pPr>
          </w:p>
          <w:p>
            <w:pPr>
              <w:pStyle w:val="TableParagraph"/>
              <w:spacing w:before="69"/>
              <w:ind w:right="75"/>
              <w:jc w:val="right"/>
              <w:rPr>
                <w:sz w:val="11"/>
              </w:rPr>
            </w:pPr>
            <w:r>
              <w:rPr>
                <w:sz w:val="11"/>
              </w:rPr>
              <w:t>128,626</w:t>
            </w:r>
          </w:p>
        </w:tc>
        <w:tc>
          <w:tcPr>
            <w:tcW w:w="381" w:type="dxa"/>
          </w:tcPr>
          <w:p>
            <w:pPr>
              <w:pStyle w:val="TableParagraph"/>
              <w:rPr>
                <w:rFonts w:ascii="Times New Roman"/>
                <w:sz w:val="10"/>
              </w:rPr>
            </w:pPr>
          </w:p>
        </w:tc>
        <w:tc>
          <w:tcPr>
            <w:tcW w:w="269" w:type="dxa"/>
          </w:tcPr>
          <w:p>
            <w:pPr>
              <w:pStyle w:val="TableParagraph"/>
              <w:rPr>
                <w:b/>
                <w:sz w:val="12"/>
              </w:rPr>
            </w:pPr>
          </w:p>
          <w:p>
            <w:pPr>
              <w:pStyle w:val="TableParagraph"/>
              <w:rPr>
                <w:b/>
                <w:sz w:val="12"/>
              </w:rPr>
            </w:pPr>
          </w:p>
          <w:p>
            <w:pPr>
              <w:pStyle w:val="TableParagraph"/>
              <w:spacing w:before="69"/>
              <w:ind w:left="23"/>
              <w:rPr>
                <w:sz w:val="11"/>
              </w:rPr>
            </w:pPr>
            <w:r>
              <w:rPr>
                <w:w w:val="100"/>
                <w:sz w:val="11"/>
              </w:rPr>
              <w:t>0</w:t>
            </w:r>
          </w:p>
        </w:tc>
        <w:tc>
          <w:tcPr>
            <w:tcW w:w="284" w:type="dxa"/>
          </w:tcPr>
          <w:p>
            <w:pPr>
              <w:pStyle w:val="TableParagraph"/>
              <w:rPr>
                <w:rFonts w:ascii="Times New Roman"/>
                <w:sz w:val="10"/>
              </w:rPr>
            </w:pPr>
          </w:p>
        </w:tc>
        <w:tc>
          <w:tcPr>
            <w:tcW w:w="304" w:type="dxa"/>
          </w:tcPr>
          <w:p>
            <w:pPr>
              <w:pStyle w:val="TableParagraph"/>
              <w:rPr>
                <w:b/>
                <w:sz w:val="12"/>
              </w:rPr>
            </w:pPr>
          </w:p>
          <w:p>
            <w:pPr>
              <w:pStyle w:val="TableParagraph"/>
              <w:rPr>
                <w:b/>
                <w:sz w:val="12"/>
              </w:rPr>
            </w:pPr>
          </w:p>
          <w:p>
            <w:pPr>
              <w:pStyle w:val="TableParagraph"/>
              <w:spacing w:before="69"/>
              <w:ind w:left="27"/>
              <w:rPr>
                <w:sz w:val="11"/>
              </w:rPr>
            </w:pPr>
            <w:r>
              <w:rPr>
                <w:w w:val="100"/>
                <w:sz w:val="11"/>
              </w:rPr>
              <w:t>0</w:t>
            </w:r>
          </w:p>
        </w:tc>
        <w:tc>
          <w:tcPr>
            <w:tcW w:w="452" w:type="dxa"/>
          </w:tcPr>
          <w:p>
            <w:pPr>
              <w:pStyle w:val="TableParagraph"/>
              <w:rPr>
                <w:b/>
                <w:sz w:val="12"/>
              </w:rPr>
            </w:pPr>
          </w:p>
          <w:p>
            <w:pPr>
              <w:pStyle w:val="TableParagraph"/>
              <w:rPr>
                <w:b/>
                <w:sz w:val="12"/>
              </w:rPr>
            </w:pPr>
          </w:p>
          <w:p>
            <w:pPr>
              <w:pStyle w:val="TableParagraph"/>
              <w:spacing w:before="69"/>
              <w:ind w:right="108"/>
              <w:jc w:val="right"/>
              <w:rPr>
                <w:sz w:val="11"/>
              </w:rPr>
            </w:pPr>
            <w:r>
              <w:rPr>
                <w:w w:val="100"/>
                <w:sz w:val="11"/>
              </w:rPr>
              <w:t>0</w:t>
            </w:r>
          </w:p>
        </w:tc>
      </w:tr>
      <w:tr>
        <w:trPr>
          <w:trHeight w:val="471" w:hRule="atLeast"/>
        </w:trPr>
        <w:tc>
          <w:tcPr>
            <w:tcW w:w="5311" w:type="dxa"/>
          </w:tcPr>
          <w:p>
            <w:pPr>
              <w:pStyle w:val="TableParagraph"/>
              <w:spacing w:line="254" w:lineRule="auto" w:before="73"/>
              <w:ind w:left="110" w:right="3756"/>
              <w:rPr>
                <w:b/>
                <w:sz w:val="11"/>
              </w:rPr>
            </w:pPr>
            <w:r>
              <w:rPr>
                <w:b/>
                <w:sz w:val="11"/>
              </w:rPr>
              <w:t>Dr Satpal Singh Shekhawat Associate Medical Director</w:t>
            </w:r>
          </w:p>
          <w:p>
            <w:pPr>
              <w:pStyle w:val="TableParagraph"/>
              <w:spacing w:line="110" w:lineRule="exact"/>
              <w:ind w:left="110"/>
              <w:rPr>
                <w:sz w:val="11"/>
              </w:rPr>
            </w:pPr>
            <w:r>
              <w:rPr>
                <w:sz w:val="11"/>
              </w:rPr>
              <w:t>GP Partner at Kirton Lindsey Surgery (member of the South Primary Care Network), including MCATs</w:t>
            </w:r>
          </w:p>
        </w:tc>
        <w:tc>
          <w:tcPr>
            <w:tcW w:w="678" w:type="dxa"/>
          </w:tcPr>
          <w:p>
            <w:pPr>
              <w:pStyle w:val="TableParagraph"/>
              <w:rPr>
                <w:b/>
                <w:sz w:val="12"/>
              </w:rPr>
            </w:pPr>
          </w:p>
          <w:p>
            <w:pPr>
              <w:pStyle w:val="TableParagraph"/>
              <w:spacing w:before="10"/>
              <w:rPr>
                <w:b/>
                <w:sz w:val="16"/>
              </w:rPr>
            </w:pPr>
          </w:p>
          <w:p>
            <w:pPr>
              <w:pStyle w:val="TableParagraph"/>
              <w:spacing w:line="119" w:lineRule="exact"/>
              <w:ind w:right="78"/>
              <w:jc w:val="right"/>
              <w:rPr>
                <w:sz w:val="11"/>
              </w:rPr>
            </w:pPr>
            <w:r>
              <w:rPr>
                <w:sz w:val="11"/>
              </w:rPr>
              <w:t>3,075</w:t>
            </w:r>
          </w:p>
        </w:tc>
        <w:tc>
          <w:tcPr>
            <w:tcW w:w="381" w:type="dxa"/>
          </w:tcPr>
          <w:p>
            <w:pPr>
              <w:pStyle w:val="TableParagraph"/>
              <w:rPr>
                <w:rFonts w:ascii="Times New Roman"/>
                <w:sz w:val="10"/>
              </w:rPr>
            </w:pPr>
          </w:p>
        </w:tc>
        <w:tc>
          <w:tcPr>
            <w:tcW w:w="269" w:type="dxa"/>
          </w:tcPr>
          <w:p>
            <w:pPr>
              <w:pStyle w:val="TableParagraph"/>
              <w:rPr>
                <w:b/>
                <w:sz w:val="12"/>
              </w:rPr>
            </w:pPr>
          </w:p>
          <w:p>
            <w:pPr>
              <w:pStyle w:val="TableParagraph"/>
              <w:spacing w:before="10"/>
              <w:rPr>
                <w:b/>
                <w:sz w:val="16"/>
              </w:rPr>
            </w:pPr>
          </w:p>
          <w:p>
            <w:pPr>
              <w:pStyle w:val="TableParagraph"/>
              <w:spacing w:line="119" w:lineRule="exact"/>
              <w:ind w:left="23"/>
              <w:rPr>
                <w:sz w:val="11"/>
              </w:rPr>
            </w:pPr>
            <w:r>
              <w:rPr>
                <w:w w:val="100"/>
                <w:sz w:val="11"/>
              </w:rPr>
              <w:t>2</w:t>
            </w:r>
          </w:p>
        </w:tc>
        <w:tc>
          <w:tcPr>
            <w:tcW w:w="284" w:type="dxa"/>
          </w:tcPr>
          <w:p>
            <w:pPr>
              <w:pStyle w:val="TableParagraph"/>
              <w:rPr>
                <w:rFonts w:ascii="Times New Roman"/>
                <w:sz w:val="10"/>
              </w:rPr>
            </w:pPr>
          </w:p>
        </w:tc>
        <w:tc>
          <w:tcPr>
            <w:tcW w:w="304" w:type="dxa"/>
          </w:tcPr>
          <w:p>
            <w:pPr>
              <w:pStyle w:val="TableParagraph"/>
              <w:rPr>
                <w:b/>
                <w:sz w:val="12"/>
              </w:rPr>
            </w:pPr>
          </w:p>
          <w:p>
            <w:pPr>
              <w:pStyle w:val="TableParagraph"/>
              <w:spacing w:before="10"/>
              <w:rPr>
                <w:b/>
                <w:sz w:val="16"/>
              </w:rPr>
            </w:pPr>
          </w:p>
          <w:p>
            <w:pPr>
              <w:pStyle w:val="TableParagraph"/>
              <w:spacing w:line="119" w:lineRule="exact"/>
              <w:ind w:left="27"/>
              <w:rPr>
                <w:sz w:val="11"/>
              </w:rPr>
            </w:pPr>
            <w:r>
              <w:rPr>
                <w:w w:val="100"/>
                <w:sz w:val="11"/>
              </w:rPr>
              <w:t>0</w:t>
            </w:r>
          </w:p>
        </w:tc>
        <w:tc>
          <w:tcPr>
            <w:tcW w:w="452" w:type="dxa"/>
          </w:tcPr>
          <w:p>
            <w:pPr>
              <w:pStyle w:val="TableParagraph"/>
              <w:rPr>
                <w:b/>
                <w:sz w:val="12"/>
              </w:rPr>
            </w:pPr>
          </w:p>
          <w:p>
            <w:pPr>
              <w:pStyle w:val="TableParagraph"/>
              <w:spacing w:before="10"/>
              <w:rPr>
                <w:b/>
                <w:sz w:val="16"/>
              </w:rPr>
            </w:pPr>
          </w:p>
          <w:p>
            <w:pPr>
              <w:pStyle w:val="TableParagraph"/>
              <w:spacing w:line="119" w:lineRule="exact"/>
              <w:ind w:right="106"/>
              <w:jc w:val="right"/>
              <w:rPr>
                <w:sz w:val="11"/>
              </w:rPr>
            </w:pPr>
            <w:r>
              <w:rPr>
                <w:w w:val="100"/>
                <w:sz w:val="11"/>
              </w:rPr>
              <w:t>1</w:t>
            </w:r>
          </w:p>
        </w:tc>
      </w:tr>
      <w:tr>
        <w:trPr>
          <w:trHeight w:val="211" w:hRule="atLeast"/>
        </w:trPr>
        <w:tc>
          <w:tcPr>
            <w:tcW w:w="5311" w:type="dxa"/>
          </w:tcPr>
          <w:p>
            <w:pPr>
              <w:pStyle w:val="TableParagraph"/>
              <w:spacing w:before="9"/>
              <w:ind w:left="110"/>
              <w:rPr>
                <w:sz w:val="11"/>
              </w:rPr>
            </w:pPr>
            <w:r>
              <w:rPr>
                <w:sz w:val="11"/>
              </w:rPr>
              <w:t>Member of Safecare, North Lincs GP Federation</w:t>
            </w:r>
          </w:p>
        </w:tc>
        <w:tc>
          <w:tcPr>
            <w:tcW w:w="678" w:type="dxa"/>
          </w:tcPr>
          <w:p>
            <w:pPr>
              <w:pStyle w:val="TableParagraph"/>
              <w:spacing w:before="9"/>
              <w:ind w:right="75"/>
              <w:jc w:val="right"/>
              <w:rPr>
                <w:sz w:val="11"/>
              </w:rPr>
            </w:pPr>
            <w:r>
              <w:rPr>
                <w:sz w:val="11"/>
              </w:rPr>
              <w:t>1,572</w:t>
            </w:r>
          </w:p>
        </w:tc>
        <w:tc>
          <w:tcPr>
            <w:tcW w:w="381" w:type="dxa"/>
          </w:tcPr>
          <w:p>
            <w:pPr>
              <w:pStyle w:val="TableParagraph"/>
              <w:rPr>
                <w:rFonts w:ascii="Times New Roman"/>
                <w:sz w:val="10"/>
              </w:rPr>
            </w:pPr>
          </w:p>
        </w:tc>
        <w:tc>
          <w:tcPr>
            <w:tcW w:w="269" w:type="dxa"/>
          </w:tcPr>
          <w:p>
            <w:pPr>
              <w:pStyle w:val="TableParagraph"/>
              <w:spacing w:before="9"/>
              <w:ind w:left="23"/>
              <w:rPr>
                <w:sz w:val="11"/>
              </w:rPr>
            </w:pPr>
            <w:r>
              <w:rPr>
                <w:w w:val="100"/>
                <w:sz w:val="11"/>
              </w:rPr>
              <w:t>0</w:t>
            </w:r>
          </w:p>
        </w:tc>
        <w:tc>
          <w:tcPr>
            <w:tcW w:w="284" w:type="dxa"/>
          </w:tcPr>
          <w:p>
            <w:pPr>
              <w:pStyle w:val="TableParagraph"/>
              <w:rPr>
                <w:rFonts w:ascii="Times New Roman"/>
                <w:sz w:val="10"/>
              </w:rPr>
            </w:pPr>
          </w:p>
        </w:tc>
        <w:tc>
          <w:tcPr>
            <w:tcW w:w="304" w:type="dxa"/>
          </w:tcPr>
          <w:p>
            <w:pPr>
              <w:pStyle w:val="TableParagraph"/>
              <w:spacing w:before="9"/>
              <w:ind w:left="27"/>
              <w:rPr>
                <w:sz w:val="11"/>
              </w:rPr>
            </w:pPr>
            <w:r>
              <w:rPr>
                <w:w w:val="100"/>
                <w:sz w:val="11"/>
              </w:rPr>
              <w:t>0</w:t>
            </w:r>
          </w:p>
        </w:tc>
        <w:tc>
          <w:tcPr>
            <w:tcW w:w="452" w:type="dxa"/>
          </w:tcPr>
          <w:p>
            <w:pPr>
              <w:pStyle w:val="TableParagraph"/>
              <w:spacing w:before="9"/>
              <w:ind w:right="108"/>
              <w:jc w:val="right"/>
              <w:rPr>
                <w:sz w:val="11"/>
              </w:rPr>
            </w:pPr>
            <w:r>
              <w:rPr>
                <w:w w:val="100"/>
                <w:sz w:val="11"/>
              </w:rPr>
              <w:t>0</w:t>
            </w:r>
          </w:p>
        </w:tc>
      </w:tr>
      <w:tr>
        <w:trPr>
          <w:trHeight w:val="471" w:hRule="atLeast"/>
        </w:trPr>
        <w:tc>
          <w:tcPr>
            <w:tcW w:w="5311" w:type="dxa"/>
          </w:tcPr>
          <w:p>
            <w:pPr>
              <w:pStyle w:val="TableParagraph"/>
              <w:spacing w:line="259" w:lineRule="auto" w:before="72"/>
              <w:ind w:left="110" w:right="4349"/>
              <w:rPr>
                <w:b/>
                <w:sz w:val="11"/>
              </w:rPr>
            </w:pPr>
            <w:r>
              <w:rPr>
                <w:b/>
                <w:sz w:val="11"/>
              </w:rPr>
              <w:t>Dr Salim Modan GP Member</w:t>
            </w:r>
          </w:p>
          <w:p>
            <w:pPr>
              <w:pStyle w:val="TableParagraph"/>
              <w:spacing w:line="106" w:lineRule="exact"/>
              <w:ind w:left="110"/>
              <w:rPr>
                <w:sz w:val="11"/>
              </w:rPr>
            </w:pPr>
            <w:r>
              <w:rPr>
                <w:sz w:val="11"/>
              </w:rPr>
              <w:t>Partner at Riverside Surgery (member of the East Primary Care Network)</w:t>
            </w:r>
          </w:p>
        </w:tc>
        <w:tc>
          <w:tcPr>
            <w:tcW w:w="678" w:type="dxa"/>
          </w:tcPr>
          <w:p>
            <w:pPr>
              <w:pStyle w:val="TableParagraph"/>
              <w:rPr>
                <w:b/>
                <w:sz w:val="12"/>
              </w:rPr>
            </w:pPr>
          </w:p>
          <w:p>
            <w:pPr>
              <w:pStyle w:val="TableParagraph"/>
              <w:rPr>
                <w:b/>
                <w:sz w:val="17"/>
              </w:rPr>
            </w:pPr>
          </w:p>
          <w:p>
            <w:pPr>
              <w:pStyle w:val="TableParagraph"/>
              <w:spacing w:line="118" w:lineRule="exact"/>
              <w:ind w:right="78"/>
              <w:jc w:val="right"/>
              <w:rPr>
                <w:sz w:val="11"/>
              </w:rPr>
            </w:pPr>
            <w:r>
              <w:rPr>
                <w:sz w:val="11"/>
              </w:rPr>
              <w:t>3,225</w:t>
            </w:r>
          </w:p>
        </w:tc>
        <w:tc>
          <w:tcPr>
            <w:tcW w:w="381" w:type="dxa"/>
          </w:tcPr>
          <w:p>
            <w:pPr>
              <w:pStyle w:val="TableParagraph"/>
              <w:rPr>
                <w:rFonts w:ascii="Times New Roman"/>
                <w:sz w:val="10"/>
              </w:rPr>
            </w:pPr>
          </w:p>
        </w:tc>
        <w:tc>
          <w:tcPr>
            <w:tcW w:w="269" w:type="dxa"/>
          </w:tcPr>
          <w:p>
            <w:pPr>
              <w:pStyle w:val="TableParagraph"/>
              <w:rPr>
                <w:b/>
                <w:sz w:val="12"/>
              </w:rPr>
            </w:pPr>
          </w:p>
          <w:p>
            <w:pPr>
              <w:pStyle w:val="TableParagraph"/>
              <w:rPr>
                <w:b/>
                <w:sz w:val="17"/>
              </w:rPr>
            </w:pPr>
          </w:p>
          <w:p>
            <w:pPr>
              <w:pStyle w:val="TableParagraph"/>
              <w:spacing w:line="118" w:lineRule="exact"/>
              <w:ind w:left="23"/>
              <w:rPr>
                <w:sz w:val="11"/>
              </w:rPr>
            </w:pPr>
            <w:r>
              <w:rPr>
                <w:w w:val="100"/>
                <w:sz w:val="11"/>
              </w:rPr>
              <w:t>1</w:t>
            </w:r>
          </w:p>
        </w:tc>
        <w:tc>
          <w:tcPr>
            <w:tcW w:w="284" w:type="dxa"/>
          </w:tcPr>
          <w:p>
            <w:pPr>
              <w:pStyle w:val="TableParagraph"/>
              <w:rPr>
                <w:rFonts w:ascii="Times New Roman"/>
                <w:sz w:val="10"/>
              </w:rPr>
            </w:pPr>
          </w:p>
        </w:tc>
        <w:tc>
          <w:tcPr>
            <w:tcW w:w="304" w:type="dxa"/>
          </w:tcPr>
          <w:p>
            <w:pPr>
              <w:pStyle w:val="TableParagraph"/>
              <w:rPr>
                <w:b/>
                <w:sz w:val="12"/>
              </w:rPr>
            </w:pPr>
          </w:p>
          <w:p>
            <w:pPr>
              <w:pStyle w:val="TableParagraph"/>
              <w:rPr>
                <w:b/>
                <w:sz w:val="17"/>
              </w:rPr>
            </w:pPr>
          </w:p>
          <w:p>
            <w:pPr>
              <w:pStyle w:val="TableParagraph"/>
              <w:spacing w:line="118" w:lineRule="exact"/>
              <w:ind w:left="27"/>
              <w:rPr>
                <w:sz w:val="11"/>
              </w:rPr>
            </w:pPr>
            <w:r>
              <w:rPr>
                <w:w w:val="100"/>
                <w:sz w:val="11"/>
              </w:rPr>
              <w:t>0</w:t>
            </w:r>
          </w:p>
        </w:tc>
        <w:tc>
          <w:tcPr>
            <w:tcW w:w="452" w:type="dxa"/>
          </w:tcPr>
          <w:p>
            <w:pPr>
              <w:pStyle w:val="TableParagraph"/>
              <w:rPr>
                <w:b/>
                <w:sz w:val="12"/>
              </w:rPr>
            </w:pPr>
          </w:p>
          <w:p>
            <w:pPr>
              <w:pStyle w:val="TableParagraph"/>
              <w:rPr>
                <w:b/>
                <w:sz w:val="17"/>
              </w:rPr>
            </w:pPr>
          </w:p>
          <w:p>
            <w:pPr>
              <w:pStyle w:val="TableParagraph"/>
              <w:spacing w:line="118" w:lineRule="exact"/>
              <w:ind w:right="106"/>
              <w:jc w:val="right"/>
              <w:rPr>
                <w:sz w:val="11"/>
              </w:rPr>
            </w:pPr>
            <w:r>
              <w:rPr>
                <w:w w:val="100"/>
                <w:sz w:val="11"/>
              </w:rPr>
              <w:t>1</w:t>
            </w:r>
          </w:p>
        </w:tc>
      </w:tr>
      <w:tr>
        <w:trPr>
          <w:trHeight w:val="348" w:hRule="atLeast"/>
        </w:trPr>
        <w:tc>
          <w:tcPr>
            <w:tcW w:w="5311" w:type="dxa"/>
          </w:tcPr>
          <w:p>
            <w:pPr>
              <w:pStyle w:val="TableParagraph"/>
              <w:spacing w:line="259" w:lineRule="auto" w:before="8"/>
              <w:ind w:left="110" w:right="2821"/>
              <w:rPr>
                <w:sz w:val="11"/>
              </w:rPr>
            </w:pPr>
            <w:r>
              <w:rPr>
                <w:sz w:val="11"/>
              </w:rPr>
              <w:t>Member of Safecare, North Lincs GP Federation Director of the East Primary Care Network *</w:t>
            </w:r>
          </w:p>
        </w:tc>
        <w:tc>
          <w:tcPr>
            <w:tcW w:w="678" w:type="dxa"/>
          </w:tcPr>
          <w:p>
            <w:pPr>
              <w:pStyle w:val="TableParagraph"/>
              <w:spacing w:before="8"/>
              <w:ind w:right="75"/>
              <w:jc w:val="right"/>
              <w:rPr>
                <w:sz w:val="11"/>
              </w:rPr>
            </w:pPr>
            <w:r>
              <w:rPr>
                <w:sz w:val="11"/>
              </w:rPr>
              <w:t>1,572</w:t>
            </w:r>
          </w:p>
        </w:tc>
        <w:tc>
          <w:tcPr>
            <w:tcW w:w="381" w:type="dxa"/>
          </w:tcPr>
          <w:p>
            <w:pPr>
              <w:pStyle w:val="TableParagraph"/>
              <w:rPr>
                <w:rFonts w:ascii="Times New Roman"/>
                <w:sz w:val="10"/>
              </w:rPr>
            </w:pPr>
          </w:p>
        </w:tc>
        <w:tc>
          <w:tcPr>
            <w:tcW w:w="269" w:type="dxa"/>
          </w:tcPr>
          <w:p>
            <w:pPr>
              <w:pStyle w:val="TableParagraph"/>
              <w:spacing w:before="8"/>
              <w:ind w:left="23"/>
              <w:rPr>
                <w:sz w:val="11"/>
              </w:rPr>
            </w:pPr>
            <w:r>
              <w:rPr>
                <w:w w:val="100"/>
                <w:sz w:val="11"/>
              </w:rPr>
              <w:t>0</w:t>
            </w:r>
          </w:p>
        </w:tc>
        <w:tc>
          <w:tcPr>
            <w:tcW w:w="284" w:type="dxa"/>
          </w:tcPr>
          <w:p>
            <w:pPr>
              <w:pStyle w:val="TableParagraph"/>
              <w:rPr>
                <w:rFonts w:ascii="Times New Roman"/>
                <w:sz w:val="10"/>
              </w:rPr>
            </w:pPr>
          </w:p>
        </w:tc>
        <w:tc>
          <w:tcPr>
            <w:tcW w:w="304" w:type="dxa"/>
          </w:tcPr>
          <w:p>
            <w:pPr>
              <w:pStyle w:val="TableParagraph"/>
              <w:spacing w:before="8"/>
              <w:ind w:left="27"/>
              <w:rPr>
                <w:sz w:val="11"/>
              </w:rPr>
            </w:pPr>
            <w:r>
              <w:rPr>
                <w:w w:val="100"/>
                <w:sz w:val="11"/>
              </w:rPr>
              <w:t>0</w:t>
            </w:r>
          </w:p>
        </w:tc>
        <w:tc>
          <w:tcPr>
            <w:tcW w:w="452" w:type="dxa"/>
          </w:tcPr>
          <w:p>
            <w:pPr>
              <w:pStyle w:val="TableParagraph"/>
              <w:spacing w:before="8"/>
              <w:ind w:right="108"/>
              <w:jc w:val="right"/>
              <w:rPr>
                <w:sz w:val="11"/>
              </w:rPr>
            </w:pPr>
            <w:r>
              <w:rPr>
                <w:w w:val="100"/>
                <w:sz w:val="11"/>
              </w:rPr>
              <w:t>0</w:t>
            </w:r>
          </w:p>
        </w:tc>
      </w:tr>
      <w:tr>
        <w:trPr>
          <w:trHeight w:val="466" w:hRule="atLeast"/>
        </w:trPr>
        <w:tc>
          <w:tcPr>
            <w:tcW w:w="5311" w:type="dxa"/>
          </w:tcPr>
          <w:p>
            <w:pPr>
              <w:pStyle w:val="TableParagraph"/>
              <w:spacing w:line="259" w:lineRule="auto" w:before="73"/>
              <w:ind w:left="110" w:right="4276"/>
              <w:rPr>
                <w:b/>
                <w:sz w:val="11"/>
              </w:rPr>
            </w:pPr>
            <w:r>
              <w:rPr>
                <w:b/>
                <w:sz w:val="11"/>
              </w:rPr>
              <w:t>Dr Hardik Gandhi GP Member</w:t>
            </w:r>
          </w:p>
          <w:p>
            <w:pPr>
              <w:pStyle w:val="TableParagraph"/>
              <w:spacing w:line="100" w:lineRule="exact"/>
              <w:ind w:left="110"/>
              <w:rPr>
                <w:sz w:val="11"/>
              </w:rPr>
            </w:pPr>
            <w:r>
              <w:rPr>
                <w:sz w:val="11"/>
              </w:rPr>
              <w:t>Partner at Cedar Medical Practice (member of the South Primary Care Network)</w:t>
            </w:r>
          </w:p>
        </w:tc>
        <w:tc>
          <w:tcPr>
            <w:tcW w:w="678" w:type="dxa"/>
          </w:tcPr>
          <w:p>
            <w:pPr>
              <w:pStyle w:val="TableParagraph"/>
              <w:rPr>
                <w:b/>
                <w:sz w:val="12"/>
              </w:rPr>
            </w:pPr>
          </w:p>
          <w:p>
            <w:pPr>
              <w:pStyle w:val="TableParagraph"/>
              <w:spacing w:before="1"/>
              <w:rPr>
                <w:b/>
                <w:sz w:val="17"/>
              </w:rPr>
            </w:pPr>
          </w:p>
          <w:p>
            <w:pPr>
              <w:pStyle w:val="TableParagraph"/>
              <w:spacing w:line="112" w:lineRule="exact"/>
              <w:ind w:right="78"/>
              <w:jc w:val="right"/>
              <w:rPr>
                <w:sz w:val="11"/>
              </w:rPr>
            </w:pPr>
            <w:r>
              <w:rPr>
                <w:sz w:val="11"/>
              </w:rPr>
              <w:t>1,002</w:t>
            </w:r>
          </w:p>
        </w:tc>
        <w:tc>
          <w:tcPr>
            <w:tcW w:w="381" w:type="dxa"/>
          </w:tcPr>
          <w:p>
            <w:pPr>
              <w:pStyle w:val="TableParagraph"/>
              <w:rPr>
                <w:rFonts w:ascii="Times New Roman"/>
                <w:sz w:val="10"/>
              </w:rPr>
            </w:pPr>
          </w:p>
        </w:tc>
        <w:tc>
          <w:tcPr>
            <w:tcW w:w="269" w:type="dxa"/>
          </w:tcPr>
          <w:p>
            <w:pPr>
              <w:pStyle w:val="TableParagraph"/>
              <w:rPr>
                <w:b/>
                <w:sz w:val="12"/>
              </w:rPr>
            </w:pPr>
          </w:p>
          <w:p>
            <w:pPr>
              <w:pStyle w:val="TableParagraph"/>
              <w:spacing w:before="1"/>
              <w:rPr>
                <w:b/>
                <w:sz w:val="17"/>
              </w:rPr>
            </w:pPr>
          </w:p>
          <w:p>
            <w:pPr>
              <w:pStyle w:val="TableParagraph"/>
              <w:spacing w:line="112" w:lineRule="exact"/>
              <w:ind w:left="23"/>
              <w:rPr>
                <w:sz w:val="11"/>
              </w:rPr>
            </w:pPr>
            <w:r>
              <w:rPr>
                <w:w w:val="100"/>
                <w:sz w:val="11"/>
              </w:rPr>
              <w:t>1</w:t>
            </w:r>
          </w:p>
        </w:tc>
        <w:tc>
          <w:tcPr>
            <w:tcW w:w="284" w:type="dxa"/>
          </w:tcPr>
          <w:p>
            <w:pPr>
              <w:pStyle w:val="TableParagraph"/>
              <w:rPr>
                <w:rFonts w:ascii="Times New Roman"/>
                <w:sz w:val="10"/>
              </w:rPr>
            </w:pPr>
          </w:p>
        </w:tc>
        <w:tc>
          <w:tcPr>
            <w:tcW w:w="304" w:type="dxa"/>
          </w:tcPr>
          <w:p>
            <w:pPr>
              <w:pStyle w:val="TableParagraph"/>
              <w:rPr>
                <w:b/>
                <w:sz w:val="12"/>
              </w:rPr>
            </w:pPr>
          </w:p>
          <w:p>
            <w:pPr>
              <w:pStyle w:val="TableParagraph"/>
              <w:spacing w:before="1"/>
              <w:rPr>
                <w:b/>
                <w:sz w:val="17"/>
              </w:rPr>
            </w:pPr>
          </w:p>
          <w:p>
            <w:pPr>
              <w:pStyle w:val="TableParagraph"/>
              <w:spacing w:line="112" w:lineRule="exact"/>
              <w:ind w:left="27"/>
              <w:rPr>
                <w:sz w:val="11"/>
              </w:rPr>
            </w:pPr>
            <w:r>
              <w:rPr>
                <w:w w:val="100"/>
                <w:sz w:val="11"/>
              </w:rPr>
              <w:t>0</w:t>
            </w:r>
          </w:p>
        </w:tc>
        <w:tc>
          <w:tcPr>
            <w:tcW w:w="452" w:type="dxa"/>
          </w:tcPr>
          <w:p>
            <w:pPr>
              <w:pStyle w:val="TableParagraph"/>
              <w:rPr>
                <w:b/>
                <w:sz w:val="12"/>
              </w:rPr>
            </w:pPr>
          </w:p>
          <w:p>
            <w:pPr>
              <w:pStyle w:val="TableParagraph"/>
              <w:spacing w:before="1"/>
              <w:rPr>
                <w:b/>
                <w:sz w:val="17"/>
              </w:rPr>
            </w:pPr>
          </w:p>
          <w:p>
            <w:pPr>
              <w:pStyle w:val="TableParagraph"/>
              <w:spacing w:line="112" w:lineRule="exact"/>
              <w:ind w:right="106"/>
              <w:jc w:val="right"/>
              <w:rPr>
                <w:sz w:val="11"/>
              </w:rPr>
            </w:pPr>
            <w:r>
              <w:rPr>
                <w:w w:val="100"/>
                <w:sz w:val="11"/>
              </w:rPr>
              <w:t>1</w:t>
            </w:r>
          </w:p>
        </w:tc>
      </w:tr>
      <w:tr>
        <w:trPr>
          <w:trHeight w:val="141" w:hRule="atLeast"/>
        </w:trPr>
        <w:tc>
          <w:tcPr>
            <w:tcW w:w="5311" w:type="dxa"/>
          </w:tcPr>
          <w:p>
            <w:pPr>
              <w:pStyle w:val="TableParagraph"/>
              <w:spacing w:line="119" w:lineRule="exact" w:before="2"/>
              <w:ind w:left="110"/>
              <w:rPr>
                <w:sz w:val="11"/>
              </w:rPr>
            </w:pPr>
            <w:r>
              <w:rPr>
                <w:sz w:val="11"/>
              </w:rPr>
              <w:t>Member of Safecare, North Lincs GP Federation and provides GP OOH Services under contract to Saf</w:t>
            </w:r>
          </w:p>
        </w:tc>
        <w:tc>
          <w:tcPr>
            <w:tcW w:w="678" w:type="dxa"/>
          </w:tcPr>
          <w:p>
            <w:pPr>
              <w:pStyle w:val="TableParagraph"/>
              <w:spacing w:line="119" w:lineRule="exact" w:before="2"/>
              <w:ind w:right="78"/>
              <w:jc w:val="right"/>
              <w:rPr>
                <w:sz w:val="11"/>
              </w:rPr>
            </w:pPr>
            <w:r>
              <w:rPr>
                <w:sz w:val="11"/>
              </w:rPr>
              <w:t>1,572</w:t>
            </w:r>
          </w:p>
        </w:tc>
        <w:tc>
          <w:tcPr>
            <w:tcW w:w="381" w:type="dxa"/>
          </w:tcPr>
          <w:p>
            <w:pPr>
              <w:pStyle w:val="TableParagraph"/>
              <w:rPr>
                <w:rFonts w:ascii="Times New Roman"/>
                <w:sz w:val="8"/>
              </w:rPr>
            </w:pPr>
          </w:p>
        </w:tc>
        <w:tc>
          <w:tcPr>
            <w:tcW w:w="269" w:type="dxa"/>
          </w:tcPr>
          <w:p>
            <w:pPr>
              <w:pStyle w:val="TableParagraph"/>
              <w:spacing w:line="119" w:lineRule="exact" w:before="2"/>
              <w:ind w:left="23"/>
              <w:rPr>
                <w:sz w:val="11"/>
              </w:rPr>
            </w:pPr>
            <w:r>
              <w:rPr>
                <w:w w:val="100"/>
                <w:sz w:val="11"/>
              </w:rPr>
              <w:t>0</w:t>
            </w:r>
          </w:p>
        </w:tc>
        <w:tc>
          <w:tcPr>
            <w:tcW w:w="284" w:type="dxa"/>
          </w:tcPr>
          <w:p>
            <w:pPr>
              <w:pStyle w:val="TableParagraph"/>
              <w:rPr>
                <w:rFonts w:ascii="Times New Roman"/>
                <w:sz w:val="8"/>
              </w:rPr>
            </w:pPr>
          </w:p>
        </w:tc>
        <w:tc>
          <w:tcPr>
            <w:tcW w:w="304" w:type="dxa"/>
          </w:tcPr>
          <w:p>
            <w:pPr>
              <w:pStyle w:val="TableParagraph"/>
              <w:spacing w:line="119" w:lineRule="exact" w:before="2"/>
              <w:ind w:left="27"/>
              <w:rPr>
                <w:sz w:val="11"/>
              </w:rPr>
            </w:pPr>
            <w:r>
              <w:rPr>
                <w:w w:val="100"/>
                <w:sz w:val="11"/>
              </w:rPr>
              <w:t>0</w:t>
            </w:r>
          </w:p>
        </w:tc>
        <w:tc>
          <w:tcPr>
            <w:tcW w:w="452" w:type="dxa"/>
          </w:tcPr>
          <w:p>
            <w:pPr>
              <w:pStyle w:val="TableParagraph"/>
              <w:spacing w:line="119" w:lineRule="exact" w:before="2"/>
              <w:ind w:right="106"/>
              <w:jc w:val="right"/>
              <w:rPr>
                <w:sz w:val="11"/>
              </w:rPr>
            </w:pPr>
            <w:r>
              <w:rPr>
                <w:w w:val="100"/>
                <w:sz w:val="11"/>
              </w:rPr>
              <w:t>0</w:t>
            </w:r>
          </w:p>
        </w:tc>
      </w:tr>
      <w:tr>
        <w:trPr>
          <w:trHeight w:val="348" w:hRule="atLeast"/>
        </w:trPr>
        <w:tc>
          <w:tcPr>
            <w:tcW w:w="5311" w:type="dxa"/>
          </w:tcPr>
          <w:p>
            <w:pPr>
              <w:pStyle w:val="TableParagraph"/>
              <w:spacing w:line="259" w:lineRule="auto" w:before="9"/>
              <w:ind w:left="110" w:right="179"/>
              <w:rPr>
                <w:sz w:val="11"/>
              </w:rPr>
            </w:pPr>
            <w:r>
              <w:rPr>
                <w:sz w:val="11"/>
              </w:rPr>
              <w:t>Spouse works as a Consultant Obstetrician and Gynaecologist in Scunthorpe General Hospital (Northe Director of the South Primary Care Network *</w:t>
            </w:r>
          </w:p>
        </w:tc>
        <w:tc>
          <w:tcPr>
            <w:tcW w:w="678" w:type="dxa"/>
          </w:tcPr>
          <w:p>
            <w:pPr>
              <w:pStyle w:val="TableParagraph"/>
              <w:spacing w:before="9"/>
              <w:ind w:right="78"/>
              <w:jc w:val="right"/>
              <w:rPr>
                <w:sz w:val="11"/>
              </w:rPr>
            </w:pPr>
            <w:r>
              <w:rPr>
                <w:sz w:val="11"/>
              </w:rPr>
              <w:t>128,626</w:t>
            </w:r>
          </w:p>
        </w:tc>
        <w:tc>
          <w:tcPr>
            <w:tcW w:w="381" w:type="dxa"/>
          </w:tcPr>
          <w:p>
            <w:pPr>
              <w:pStyle w:val="TableParagraph"/>
              <w:rPr>
                <w:rFonts w:ascii="Times New Roman"/>
                <w:sz w:val="10"/>
              </w:rPr>
            </w:pPr>
          </w:p>
        </w:tc>
        <w:tc>
          <w:tcPr>
            <w:tcW w:w="269" w:type="dxa"/>
          </w:tcPr>
          <w:p>
            <w:pPr>
              <w:pStyle w:val="TableParagraph"/>
              <w:spacing w:before="9"/>
              <w:ind w:left="23"/>
              <w:rPr>
                <w:sz w:val="11"/>
              </w:rPr>
            </w:pPr>
            <w:r>
              <w:rPr>
                <w:w w:val="100"/>
                <w:sz w:val="11"/>
              </w:rPr>
              <w:t>0</w:t>
            </w:r>
          </w:p>
        </w:tc>
        <w:tc>
          <w:tcPr>
            <w:tcW w:w="284" w:type="dxa"/>
          </w:tcPr>
          <w:p>
            <w:pPr>
              <w:pStyle w:val="TableParagraph"/>
              <w:rPr>
                <w:rFonts w:ascii="Times New Roman"/>
                <w:sz w:val="10"/>
              </w:rPr>
            </w:pPr>
          </w:p>
        </w:tc>
        <w:tc>
          <w:tcPr>
            <w:tcW w:w="304" w:type="dxa"/>
          </w:tcPr>
          <w:p>
            <w:pPr>
              <w:pStyle w:val="TableParagraph"/>
              <w:spacing w:before="9"/>
              <w:ind w:left="27"/>
              <w:rPr>
                <w:sz w:val="11"/>
              </w:rPr>
            </w:pPr>
            <w:r>
              <w:rPr>
                <w:w w:val="100"/>
                <w:sz w:val="11"/>
              </w:rPr>
              <w:t>0</w:t>
            </w:r>
          </w:p>
        </w:tc>
        <w:tc>
          <w:tcPr>
            <w:tcW w:w="452" w:type="dxa"/>
          </w:tcPr>
          <w:p>
            <w:pPr>
              <w:pStyle w:val="TableParagraph"/>
              <w:spacing w:before="9"/>
              <w:ind w:right="108"/>
              <w:jc w:val="right"/>
              <w:rPr>
                <w:sz w:val="11"/>
              </w:rPr>
            </w:pPr>
            <w:r>
              <w:rPr>
                <w:w w:val="100"/>
                <w:sz w:val="11"/>
              </w:rPr>
              <w:t>0</w:t>
            </w:r>
          </w:p>
        </w:tc>
      </w:tr>
      <w:tr>
        <w:trPr>
          <w:trHeight w:val="465" w:hRule="atLeast"/>
        </w:trPr>
        <w:tc>
          <w:tcPr>
            <w:tcW w:w="5311" w:type="dxa"/>
          </w:tcPr>
          <w:p>
            <w:pPr>
              <w:pStyle w:val="TableParagraph"/>
              <w:spacing w:line="259" w:lineRule="auto" w:before="72"/>
              <w:ind w:left="110" w:right="4422"/>
              <w:rPr>
                <w:b/>
                <w:sz w:val="11"/>
              </w:rPr>
            </w:pPr>
            <w:r>
              <w:rPr>
                <w:b/>
                <w:sz w:val="11"/>
              </w:rPr>
              <w:t>Dr Pratik Basu GP Member</w:t>
            </w:r>
          </w:p>
          <w:p>
            <w:pPr>
              <w:pStyle w:val="TableParagraph"/>
              <w:spacing w:line="100" w:lineRule="exact"/>
              <w:ind w:left="110"/>
              <w:rPr>
                <w:sz w:val="11"/>
              </w:rPr>
            </w:pPr>
            <w:r>
              <w:rPr>
                <w:sz w:val="11"/>
              </w:rPr>
              <w:t>Salaried GP (via Core Care Links) at the Birches Practice (member of the West Primary Care Network)</w:t>
            </w:r>
          </w:p>
        </w:tc>
        <w:tc>
          <w:tcPr>
            <w:tcW w:w="678" w:type="dxa"/>
          </w:tcPr>
          <w:p>
            <w:pPr>
              <w:pStyle w:val="TableParagraph"/>
              <w:rPr>
                <w:b/>
                <w:sz w:val="12"/>
              </w:rPr>
            </w:pPr>
          </w:p>
          <w:p>
            <w:pPr>
              <w:pStyle w:val="TableParagraph"/>
              <w:rPr>
                <w:b/>
                <w:sz w:val="17"/>
              </w:rPr>
            </w:pPr>
          </w:p>
          <w:p>
            <w:pPr>
              <w:pStyle w:val="TableParagraph"/>
              <w:spacing w:line="112" w:lineRule="exact"/>
              <w:ind w:right="78"/>
              <w:jc w:val="right"/>
              <w:rPr>
                <w:sz w:val="11"/>
              </w:rPr>
            </w:pPr>
            <w:r>
              <w:rPr>
                <w:sz w:val="11"/>
              </w:rPr>
              <w:t>1,069</w:t>
            </w:r>
          </w:p>
        </w:tc>
        <w:tc>
          <w:tcPr>
            <w:tcW w:w="381" w:type="dxa"/>
          </w:tcPr>
          <w:p>
            <w:pPr>
              <w:pStyle w:val="TableParagraph"/>
              <w:rPr>
                <w:rFonts w:ascii="Times New Roman"/>
                <w:sz w:val="10"/>
              </w:rPr>
            </w:pPr>
          </w:p>
        </w:tc>
        <w:tc>
          <w:tcPr>
            <w:tcW w:w="269" w:type="dxa"/>
          </w:tcPr>
          <w:p>
            <w:pPr>
              <w:pStyle w:val="TableParagraph"/>
              <w:rPr>
                <w:b/>
                <w:sz w:val="12"/>
              </w:rPr>
            </w:pPr>
          </w:p>
          <w:p>
            <w:pPr>
              <w:pStyle w:val="TableParagraph"/>
              <w:rPr>
                <w:b/>
                <w:sz w:val="17"/>
              </w:rPr>
            </w:pPr>
          </w:p>
          <w:p>
            <w:pPr>
              <w:pStyle w:val="TableParagraph"/>
              <w:spacing w:line="112" w:lineRule="exact"/>
              <w:ind w:left="23"/>
              <w:rPr>
                <w:sz w:val="11"/>
              </w:rPr>
            </w:pPr>
            <w:r>
              <w:rPr>
                <w:w w:val="100"/>
                <w:sz w:val="11"/>
              </w:rPr>
              <w:t>1</w:t>
            </w:r>
          </w:p>
        </w:tc>
        <w:tc>
          <w:tcPr>
            <w:tcW w:w="284" w:type="dxa"/>
          </w:tcPr>
          <w:p>
            <w:pPr>
              <w:pStyle w:val="TableParagraph"/>
              <w:rPr>
                <w:rFonts w:ascii="Times New Roman"/>
                <w:sz w:val="10"/>
              </w:rPr>
            </w:pPr>
          </w:p>
        </w:tc>
        <w:tc>
          <w:tcPr>
            <w:tcW w:w="304" w:type="dxa"/>
          </w:tcPr>
          <w:p>
            <w:pPr>
              <w:pStyle w:val="TableParagraph"/>
              <w:rPr>
                <w:b/>
                <w:sz w:val="12"/>
              </w:rPr>
            </w:pPr>
          </w:p>
          <w:p>
            <w:pPr>
              <w:pStyle w:val="TableParagraph"/>
              <w:rPr>
                <w:b/>
                <w:sz w:val="17"/>
              </w:rPr>
            </w:pPr>
          </w:p>
          <w:p>
            <w:pPr>
              <w:pStyle w:val="TableParagraph"/>
              <w:spacing w:line="112" w:lineRule="exact"/>
              <w:ind w:left="27"/>
              <w:rPr>
                <w:sz w:val="11"/>
              </w:rPr>
            </w:pPr>
            <w:r>
              <w:rPr>
                <w:w w:val="100"/>
                <w:sz w:val="11"/>
              </w:rPr>
              <w:t>0</w:t>
            </w:r>
          </w:p>
        </w:tc>
        <w:tc>
          <w:tcPr>
            <w:tcW w:w="452" w:type="dxa"/>
          </w:tcPr>
          <w:p>
            <w:pPr>
              <w:pStyle w:val="TableParagraph"/>
              <w:rPr>
                <w:b/>
                <w:sz w:val="12"/>
              </w:rPr>
            </w:pPr>
          </w:p>
          <w:p>
            <w:pPr>
              <w:pStyle w:val="TableParagraph"/>
              <w:rPr>
                <w:b/>
                <w:sz w:val="17"/>
              </w:rPr>
            </w:pPr>
          </w:p>
          <w:p>
            <w:pPr>
              <w:pStyle w:val="TableParagraph"/>
              <w:spacing w:line="112" w:lineRule="exact"/>
              <w:ind w:right="106"/>
              <w:jc w:val="right"/>
              <w:rPr>
                <w:sz w:val="11"/>
              </w:rPr>
            </w:pPr>
            <w:r>
              <w:rPr>
                <w:w w:val="100"/>
                <w:sz w:val="11"/>
              </w:rPr>
              <w:t>0</w:t>
            </w:r>
          </w:p>
        </w:tc>
      </w:tr>
      <w:tr>
        <w:trPr>
          <w:trHeight w:val="140" w:hRule="atLeast"/>
        </w:trPr>
        <w:tc>
          <w:tcPr>
            <w:tcW w:w="5311" w:type="dxa"/>
          </w:tcPr>
          <w:p>
            <w:pPr>
              <w:pStyle w:val="TableParagraph"/>
              <w:spacing w:line="118" w:lineRule="exact" w:before="2"/>
              <w:ind w:left="110"/>
              <w:rPr>
                <w:sz w:val="11"/>
              </w:rPr>
            </w:pPr>
            <w:r>
              <w:rPr>
                <w:sz w:val="11"/>
              </w:rPr>
              <w:t>Salaried GP (via Core Care Links) at the Oak Tree Medical Centre Practice (member of the West Prim</w:t>
            </w:r>
          </w:p>
        </w:tc>
        <w:tc>
          <w:tcPr>
            <w:tcW w:w="678" w:type="dxa"/>
          </w:tcPr>
          <w:p>
            <w:pPr>
              <w:pStyle w:val="TableParagraph"/>
              <w:spacing w:line="118" w:lineRule="exact" w:before="2"/>
              <w:ind w:right="80"/>
              <w:jc w:val="right"/>
              <w:rPr>
                <w:sz w:val="11"/>
              </w:rPr>
            </w:pPr>
            <w:r>
              <w:rPr>
                <w:sz w:val="11"/>
              </w:rPr>
              <w:t>692</w:t>
            </w:r>
          </w:p>
        </w:tc>
        <w:tc>
          <w:tcPr>
            <w:tcW w:w="381" w:type="dxa"/>
          </w:tcPr>
          <w:p>
            <w:pPr>
              <w:pStyle w:val="TableParagraph"/>
              <w:rPr>
                <w:rFonts w:ascii="Times New Roman"/>
                <w:sz w:val="8"/>
              </w:rPr>
            </w:pPr>
          </w:p>
        </w:tc>
        <w:tc>
          <w:tcPr>
            <w:tcW w:w="269" w:type="dxa"/>
          </w:tcPr>
          <w:p>
            <w:pPr>
              <w:pStyle w:val="TableParagraph"/>
              <w:spacing w:line="118" w:lineRule="exact" w:before="2"/>
              <w:ind w:left="23"/>
              <w:rPr>
                <w:sz w:val="11"/>
              </w:rPr>
            </w:pPr>
            <w:r>
              <w:rPr>
                <w:w w:val="100"/>
                <w:sz w:val="11"/>
              </w:rPr>
              <w:t>1</w:t>
            </w:r>
          </w:p>
        </w:tc>
        <w:tc>
          <w:tcPr>
            <w:tcW w:w="284" w:type="dxa"/>
          </w:tcPr>
          <w:p>
            <w:pPr>
              <w:pStyle w:val="TableParagraph"/>
              <w:rPr>
                <w:rFonts w:ascii="Times New Roman"/>
                <w:sz w:val="8"/>
              </w:rPr>
            </w:pPr>
          </w:p>
        </w:tc>
        <w:tc>
          <w:tcPr>
            <w:tcW w:w="304" w:type="dxa"/>
          </w:tcPr>
          <w:p>
            <w:pPr>
              <w:pStyle w:val="TableParagraph"/>
              <w:spacing w:line="118" w:lineRule="exact" w:before="2"/>
              <w:ind w:left="27"/>
              <w:rPr>
                <w:sz w:val="11"/>
              </w:rPr>
            </w:pPr>
            <w:r>
              <w:rPr>
                <w:w w:val="100"/>
                <w:sz w:val="11"/>
              </w:rPr>
              <w:t>0</w:t>
            </w:r>
          </w:p>
        </w:tc>
        <w:tc>
          <w:tcPr>
            <w:tcW w:w="452" w:type="dxa"/>
          </w:tcPr>
          <w:p>
            <w:pPr>
              <w:pStyle w:val="TableParagraph"/>
              <w:spacing w:line="118" w:lineRule="exact" w:before="2"/>
              <w:ind w:right="106"/>
              <w:jc w:val="right"/>
              <w:rPr>
                <w:sz w:val="11"/>
              </w:rPr>
            </w:pPr>
            <w:r>
              <w:rPr>
                <w:w w:val="100"/>
                <w:sz w:val="11"/>
              </w:rPr>
              <w:t>1</w:t>
            </w:r>
          </w:p>
        </w:tc>
      </w:tr>
      <w:tr>
        <w:trPr>
          <w:trHeight w:val="349" w:hRule="atLeast"/>
        </w:trPr>
        <w:tc>
          <w:tcPr>
            <w:tcW w:w="5311" w:type="dxa"/>
          </w:tcPr>
          <w:p>
            <w:pPr>
              <w:pStyle w:val="TableParagraph"/>
              <w:spacing w:line="259" w:lineRule="auto" w:before="10"/>
              <w:ind w:left="110" w:right="2821"/>
              <w:rPr>
                <w:sz w:val="11"/>
              </w:rPr>
            </w:pPr>
            <w:r>
              <w:rPr>
                <w:sz w:val="11"/>
              </w:rPr>
              <w:t>Member of Safecare, North Lincs GP Federation Director of the West Primary Care Network *</w:t>
            </w:r>
          </w:p>
        </w:tc>
        <w:tc>
          <w:tcPr>
            <w:tcW w:w="678" w:type="dxa"/>
          </w:tcPr>
          <w:p>
            <w:pPr>
              <w:pStyle w:val="TableParagraph"/>
              <w:spacing w:before="8"/>
              <w:ind w:right="75"/>
              <w:jc w:val="right"/>
              <w:rPr>
                <w:sz w:val="11"/>
              </w:rPr>
            </w:pPr>
            <w:r>
              <w:rPr>
                <w:sz w:val="11"/>
              </w:rPr>
              <w:t>1,572</w:t>
            </w:r>
          </w:p>
        </w:tc>
        <w:tc>
          <w:tcPr>
            <w:tcW w:w="381" w:type="dxa"/>
          </w:tcPr>
          <w:p>
            <w:pPr>
              <w:pStyle w:val="TableParagraph"/>
              <w:rPr>
                <w:rFonts w:ascii="Times New Roman"/>
                <w:sz w:val="10"/>
              </w:rPr>
            </w:pPr>
          </w:p>
        </w:tc>
        <w:tc>
          <w:tcPr>
            <w:tcW w:w="269" w:type="dxa"/>
          </w:tcPr>
          <w:p>
            <w:pPr>
              <w:pStyle w:val="TableParagraph"/>
              <w:spacing w:before="8"/>
              <w:ind w:left="23"/>
              <w:rPr>
                <w:sz w:val="11"/>
              </w:rPr>
            </w:pPr>
            <w:r>
              <w:rPr>
                <w:w w:val="100"/>
                <w:sz w:val="11"/>
              </w:rPr>
              <w:t>0</w:t>
            </w:r>
          </w:p>
        </w:tc>
        <w:tc>
          <w:tcPr>
            <w:tcW w:w="284" w:type="dxa"/>
          </w:tcPr>
          <w:p>
            <w:pPr>
              <w:pStyle w:val="TableParagraph"/>
              <w:rPr>
                <w:rFonts w:ascii="Times New Roman"/>
                <w:sz w:val="10"/>
              </w:rPr>
            </w:pPr>
          </w:p>
        </w:tc>
        <w:tc>
          <w:tcPr>
            <w:tcW w:w="304" w:type="dxa"/>
          </w:tcPr>
          <w:p>
            <w:pPr>
              <w:pStyle w:val="TableParagraph"/>
              <w:spacing w:before="8"/>
              <w:ind w:left="27"/>
              <w:rPr>
                <w:sz w:val="11"/>
              </w:rPr>
            </w:pPr>
            <w:r>
              <w:rPr>
                <w:w w:val="100"/>
                <w:sz w:val="11"/>
              </w:rPr>
              <w:t>0</w:t>
            </w:r>
          </w:p>
        </w:tc>
        <w:tc>
          <w:tcPr>
            <w:tcW w:w="452" w:type="dxa"/>
          </w:tcPr>
          <w:p>
            <w:pPr>
              <w:pStyle w:val="TableParagraph"/>
              <w:spacing w:before="8"/>
              <w:ind w:right="108"/>
              <w:jc w:val="right"/>
              <w:rPr>
                <w:sz w:val="11"/>
              </w:rPr>
            </w:pPr>
            <w:r>
              <w:rPr>
                <w:w w:val="100"/>
                <w:sz w:val="11"/>
              </w:rPr>
              <w:t>0</w:t>
            </w:r>
          </w:p>
        </w:tc>
      </w:tr>
      <w:tr>
        <w:trPr>
          <w:trHeight w:val="470" w:hRule="atLeast"/>
        </w:trPr>
        <w:tc>
          <w:tcPr>
            <w:tcW w:w="5311" w:type="dxa"/>
          </w:tcPr>
          <w:p>
            <w:pPr>
              <w:pStyle w:val="TableParagraph"/>
              <w:spacing w:line="259" w:lineRule="auto" w:before="72"/>
              <w:ind w:left="110" w:right="4184"/>
              <w:rPr>
                <w:b/>
                <w:sz w:val="11"/>
              </w:rPr>
            </w:pPr>
            <w:r>
              <w:rPr>
                <w:b/>
                <w:sz w:val="11"/>
              </w:rPr>
              <w:t>Dr Gary Armstrong GP Member</w:t>
            </w:r>
          </w:p>
          <w:p>
            <w:pPr>
              <w:pStyle w:val="TableParagraph"/>
              <w:spacing w:line="105" w:lineRule="exact"/>
              <w:ind w:left="110"/>
              <w:rPr>
                <w:sz w:val="11"/>
              </w:rPr>
            </w:pPr>
            <w:r>
              <w:rPr>
                <w:sz w:val="11"/>
              </w:rPr>
              <w:t>Partner at South Axholme Practice (member of West Primary Care Network)</w:t>
            </w:r>
          </w:p>
        </w:tc>
        <w:tc>
          <w:tcPr>
            <w:tcW w:w="678" w:type="dxa"/>
          </w:tcPr>
          <w:p>
            <w:pPr>
              <w:pStyle w:val="TableParagraph"/>
              <w:rPr>
                <w:b/>
                <w:sz w:val="12"/>
              </w:rPr>
            </w:pPr>
          </w:p>
          <w:p>
            <w:pPr>
              <w:pStyle w:val="TableParagraph"/>
              <w:spacing w:before="9"/>
              <w:rPr>
                <w:b/>
                <w:sz w:val="16"/>
              </w:rPr>
            </w:pPr>
          </w:p>
          <w:p>
            <w:pPr>
              <w:pStyle w:val="TableParagraph"/>
              <w:spacing w:line="119" w:lineRule="exact"/>
              <w:ind w:right="75"/>
              <w:jc w:val="right"/>
              <w:rPr>
                <w:sz w:val="11"/>
              </w:rPr>
            </w:pPr>
            <w:r>
              <w:rPr>
                <w:sz w:val="11"/>
              </w:rPr>
              <w:t>3,359</w:t>
            </w:r>
          </w:p>
        </w:tc>
        <w:tc>
          <w:tcPr>
            <w:tcW w:w="381" w:type="dxa"/>
          </w:tcPr>
          <w:p>
            <w:pPr>
              <w:pStyle w:val="TableParagraph"/>
              <w:rPr>
                <w:rFonts w:ascii="Times New Roman"/>
                <w:sz w:val="10"/>
              </w:rPr>
            </w:pPr>
          </w:p>
        </w:tc>
        <w:tc>
          <w:tcPr>
            <w:tcW w:w="269" w:type="dxa"/>
          </w:tcPr>
          <w:p>
            <w:pPr>
              <w:pStyle w:val="TableParagraph"/>
              <w:rPr>
                <w:b/>
                <w:sz w:val="12"/>
              </w:rPr>
            </w:pPr>
          </w:p>
          <w:p>
            <w:pPr>
              <w:pStyle w:val="TableParagraph"/>
              <w:spacing w:before="9"/>
              <w:rPr>
                <w:b/>
                <w:sz w:val="16"/>
              </w:rPr>
            </w:pPr>
          </w:p>
          <w:p>
            <w:pPr>
              <w:pStyle w:val="TableParagraph"/>
              <w:spacing w:line="119" w:lineRule="exact"/>
              <w:ind w:left="23"/>
              <w:rPr>
                <w:sz w:val="11"/>
              </w:rPr>
            </w:pPr>
            <w:r>
              <w:rPr>
                <w:w w:val="100"/>
                <w:sz w:val="11"/>
              </w:rPr>
              <w:t>4</w:t>
            </w:r>
          </w:p>
        </w:tc>
        <w:tc>
          <w:tcPr>
            <w:tcW w:w="284" w:type="dxa"/>
          </w:tcPr>
          <w:p>
            <w:pPr>
              <w:pStyle w:val="TableParagraph"/>
              <w:rPr>
                <w:rFonts w:ascii="Times New Roman"/>
                <w:sz w:val="10"/>
              </w:rPr>
            </w:pPr>
          </w:p>
        </w:tc>
        <w:tc>
          <w:tcPr>
            <w:tcW w:w="304" w:type="dxa"/>
          </w:tcPr>
          <w:p>
            <w:pPr>
              <w:pStyle w:val="TableParagraph"/>
              <w:rPr>
                <w:b/>
                <w:sz w:val="12"/>
              </w:rPr>
            </w:pPr>
          </w:p>
          <w:p>
            <w:pPr>
              <w:pStyle w:val="TableParagraph"/>
              <w:spacing w:before="9"/>
              <w:rPr>
                <w:b/>
                <w:sz w:val="16"/>
              </w:rPr>
            </w:pPr>
          </w:p>
          <w:p>
            <w:pPr>
              <w:pStyle w:val="TableParagraph"/>
              <w:spacing w:line="119" w:lineRule="exact"/>
              <w:ind w:left="27"/>
              <w:rPr>
                <w:sz w:val="11"/>
              </w:rPr>
            </w:pPr>
            <w:r>
              <w:rPr>
                <w:w w:val="100"/>
                <w:sz w:val="11"/>
              </w:rPr>
              <w:t>0</w:t>
            </w:r>
          </w:p>
        </w:tc>
        <w:tc>
          <w:tcPr>
            <w:tcW w:w="452" w:type="dxa"/>
          </w:tcPr>
          <w:p>
            <w:pPr>
              <w:pStyle w:val="TableParagraph"/>
              <w:rPr>
                <w:b/>
                <w:sz w:val="12"/>
              </w:rPr>
            </w:pPr>
          </w:p>
          <w:p>
            <w:pPr>
              <w:pStyle w:val="TableParagraph"/>
              <w:spacing w:before="9"/>
              <w:rPr>
                <w:b/>
                <w:sz w:val="16"/>
              </w:rPr>
            </w:pPr>
          </w:p>
          <w:p>
            <w:pPr>
              <w:pStyle w:val="TableParagraph"/>
              <w:spacing w:line="119" w:lineRule="exact"/>
              <w:ind w:right="106"/>
              <w:jc w:val="right"/>
              <w:rPr>
                <w:sz w:val="11"/>
              </w:rPr>
            </w:pPr>
            <w:r>
              <w:rPr>
                <w:w w:val="100"/>
                <w:sz w:val="11"/>
              </w:rPr>
              <w:t>0</w:t>
            </w:r>
          </w:p>
        </w:tc>
      </w:tr>
      <w:tr>
        <w:trPr>
          <w:trHeight w:val="256" w:hRule="atLeast"/>
        </w:trPr>
        <w:tc>
          <w:tcPr>
            <w:tcW w:w="5311" w:type="dxa"/>
          </w:tcPr>
          <w:p>
            <w:pPr>
              <w:pStyle w:val="TableParagraph"/>
              <w:spacing w:line="120" w:lineRule="exact" w:before="16"/>
              <w:ind w:left="110" w:right="2821"/>
              <w:rPr>
                <w:sz w:val="11"/>
              </w:rPr>
            </w:pPr>
            <w:r>
              <w:rPr>
                <w:sz w:val="11"/>
              </w:rPr>
              <w:t>Member of Safecare, North Lincs GP Federation Director of the West Primary Care Network *</w:t>
            </w:r>
          </w:p>
        </w:tc>
        <w:tc>
          <w:tcPr>
            <w:tcW w:w="678" w:type="dxa"/>
          </w:tcPr>
          <w:p>
            <w:pPr>
              <w:pStyle w:val="TableParagraph"/>
              <w:spacing w:before="9"/>
              <w:ind w:right="75"/>
              <w:jc w:val="right"/>
              <w:rPr>
                <w:sz w:val="11"/>
              </w:rPr>
            </w:pPr>
            <w:r>
              <w:rPr>
                <w:sz w:val="11"/>
              </w:rPr>
              <w:t>1,572</w:t>
            </w:r>
          </w:p>
        </w:tc>
        <w:tc>
          <w:tcPr>
            <w:tcW w:w="381" w:type="dxa"/>
          </w:tcPr>
          <w:p>
            <w:pPr>
              <w:pStyle w:val="TableParagraph"/>
              <w:rPr>
                <w:rFonts w:ascii="Times New Roman"/>
                <w:sz w:val="10"/>
              </w:rPr>
            </w:pPr>
          </w:p>
        </w:tc>
        <w:tc>
          <w:tcPr>
            <w:tcW w:w="269" w:type="dxa"/>
          </w:tcPr>
          <w:p>
            <w:pPr>
              <w:pStyle w:val="TableParagraph"/>
              <w:spacing w:before="9"/>
              <w:ind w:left="23"/>
              <w:rPr>
                <w:sz w:val="11"/>
              </w:rPr>
            </w:pPr>
            <w:r>
              <w:rPr>
                <w:w w:val="100"/>
                <w:sz w:val="11"/>
              </w:rPr>
              <w:t>0</w:t>
            </w:r>
          </w:p>
        </w:tc>
        <w:tc>
          <w:tcPr>
            <w:tcW w:w="284" w:type="dxa"/>
          </w:tcPr>
          <w:p>
            <w:pPr>
              <w:pStyle w:val="TableParagraph"/>
              <w:rPr>
                <w:rFonts w:ascii="Times New Roman"/>
                <w:sz w:val="10"/>
              </w:rPr>
            </w:pPr>
          </w:p>
        </w:tc>
        <w:tc>
          <w:tcPr>
            <w:tcW w:w="304" w:type="dxa"/>
          </w:tcPr>
          <w:p>
            <w:pPr>
              <w:pStyle w:val="TableParagraph"/>
              <w:spacing w:before="9"/>
              <w:ind w:left="27"/>
              <w:rPr>
                <w:sz w:val="11"/>
              </w:rPr>
            </w:pPr>
            <w:r>
              <w:rPr>
                <w:w w:val="100"/>
                <w:sz w:val="11"/>
              </w:rPr>
              <w:t>0</w:t>
            </w:r>
          </w:p>
        </w:tc>
        <w:tc>
          <w:tcPr>
            <w:tcW w:w="452" w:type="dxa"/>
          </w:tcPr>
          <w:p>
            <w:pPr>
              <w:pStyle w:val="TableParagraph"/>
              <w:spacing w:before="9"/>
              <w:ind w:right="108"/>
              <w:jc w:val="right"/>
              <w:rPr>
                <w:sz w:val="11"/>
              </w:rPr>
            </w:pPr>
            <w:r>
              <w:rPr>
                <w:w w:val="100"/>
                <w:sz w:val="11"/>
              </w:rPr>
              <w:t>0</w:t>
            </w:r>
          </w:p>
        </w:tc>
      </w:tr>
    </w:tbl>
    <w:p>
      <w:pPr>
        <w:pStyle w:val="BodyText"/>
        <w:spacing w:before="10"/>
        <w:rPr>
          <w:b/>
          <w:sz w:val="17"/>
        </w:rPr>
      </w:pPr>
    </w:p>
    <w:p>
      <w:pPr>
        <w:spacing w:before="97"/>
        <w:ind w:left="315" w:right="0" w:firstLine="0"/>
        <w:jc w:val="left"/>
        <w:rPr>
          <w:b/>
          <w:sz w:val="11"/>
        </w:rPr>
      </w:pPr>
      <w:r>
        <w:rPr>
          <w:b/>
          <w:sz w:val="11"/>
        </w:rPr>
        <w:t>Explanatory Note</w:t>
      </w:r>
    </w:p>
    <w:p>
      <w:pPr>
        <w:spacing w:line="259" w:lineRule="auto" w:before="13"/>
        <w:ind w:left="315" w:right="2973" w:firstLine="0"/>
        <w:jc w:val="left"/>
        <w:rPr>
          <w:sz w:val="11"/>
        </w:rPr>
      </w:pPr>
      <w:r>
        <w:rPr>
          <w:sz w:val="11"/>
        </w:rPr>
        <w:t>* From 1 July 2019, each of the 19 North Lincolnshire General Practices became a member of a Primary Care Network (PCN). There are 4 PCN's (North, South, East and West) within North Lincolnshire. Whilst the PCN's have provided services for the CCG during 2021-22, all financial transactions have been conducted with the lead practice of each PCN and therefore these transactions are not separately reported in the table above.</w:t>
      </w:r>
    </w:p>
    <w:p>
      <w:pPr>
        <w:pStyle w:val="BodyText"/>
        <w:rPr>
          <w:sz w:val="12"/>
        </w:rPr>
      </w:pPr>
    </w:p>
    <w:p>
      <w:pPr>
        <w:pStyle w:val="BodyText"/>
        <w:spacing w:before="10"/>
        <w:rPr>
          <w:sz w:val="16"/>
        </w:rPr>
      </w:pPr>
    </w:p>
    <w:p>
      <w:pPr>
        <w:spacing w:before="0"/>
        <w:ind w:left="315" w:right="0" w:firstLine="0"/>
        <w:jc w:val="left"/>
        <w:rPr>
          <w:sz w:val="11"/>
        </w:rPr>
      </w:pPr>
      <w:r>
        <w:rPr>
          <w:sz w:val="11"/>
        </w:rPr>
        <w:t>Only relationships with a financial transaction are disclosed.</w:t>
      </w:r>
    </w:p>
    <w:p>
      <w:pPr>
        <w:pStyle w:val="BodyText"/>
        <w:spacing w:before="5"/>
        <w:rPr>
          <w:sz w:val="15"/>
        </w:rPr>
      </w:pPr>
    </w:p>
    <w:p>
      <w:pPr>
        <w:spacing w:line="259" w:lineRule="auto" w:before="1"/>
        <w:ind w:left="316" w:right="3023" w:hanging="1"/>
        <w:jc w:val="left"/>
        <w:rPr>
          <w:sz w:val="11"/>
        </w:rPr>
      </w:pPr>
      <w:r>
        <w:rPr>
          <w:sz w:val="11"/>
        </w:rPr>
        <w:t>The Department of Health and Social Care (DHSC) and its related parties are deemed related parties of the entities within the Department Group. During the year the clinical commissioning group has had a significant number of material transactions with entities for which the DHSC is regarded as the parent Department.</w:t>
      </w:r>
    </w:p>
    <w:p>
      <w:pPr>
        <w:pStyle w:val="BodyText"/>
        <w:spacing w:before="10"/>
        <w:rPr>
          <w:sz w:val="11"/>
        </w:rPr>
      </w:pPr>
    </w:p>
    <w:p>
      <w:pPr>
        <w:pStyle w:val="ListParagraph"/>
        <w:numPr>
          <w:ilvl w:val="0"/>
          <w:numId w:val="37"/>
        </w:numPr>
        <w:tabs>
          <w:tab w:pos="851" w:val="left" w:leader="none"/>
          <w:tab w:pos="852" w:val="left" w:leader="none"/>
        </w:tabs>
        <w:spacing w:line="240" w:lineRule="auto" w:before="0" w:after="0"/>
        <w:ind w:left="851" w:right="0" w:hanging="537"/>
        <w:jc w:val="left"/>
        <w:rPr>
          <w:sz w:val="11"/>
        </w:rPr>
      </w:pPr>
      <w:r>
        <w:rPr>
          <w:sz w:val="11"/>
        </w:rPr>
        <w:t>NHS England</w:t>
      </w:r>
    </w:p>
    <w:p>
      <w:pPr>
        <w:pStyle w:val="BodyText"/>
        <w:spacing w:before="9"/>
        <w:rPr>
          <w:sz w:val="12"/>
        </w:rPr>
      </w:pPr>
    </w:p>
    <w:p>
      <w:pPr>
        <w:tabs>
          <w:tab w:pos="846" w:val="left" w:leader="none"/>
          <w:tab w:pos="5406" w:val="left" w:leader="none"/>
        </w:tabs>
        <w:spacing w:before="1"/>
        <w:ind w:left="315" w:right="0" w:firstLine="0"/>
        <w:jc w:val="left"/>
        <w:rPr>
          <w:sz w:val="11"/>
        </w:rPr>
      </w:pPr>
      <w:r>
        <w:rPr>
          <w:sz w:val="11"/>
        </w:rPr>
        <w:t>.</w:t>
        <w:tab/>
        <w:t>NHS Trusts</w:t>
        <w:tab/>
        <w:t>Hull University Teaching Hospitals NHS</w:t>
      </w:r>
      <w:r>
        <w:rPr>
          <w:spacing w:val="4"/>
          <w:sz w:val="11"/>
        </w:rPr>
        <w:t> </w:t>
      </w:r>
      <w:r>
        <w:rPr>
          <w:sz w:val="11"/>
        </w:rPr>
        <w:t>Trust</w:t>
      </w:r>
    </w:p>
    <w:p>
      <w:pPr>
        <w:spacing w:line="259" w:lineRule="auto" w:before="10"/>
        <w:ind w:left="5406" w:right="3020" w:firstLine="0"/>
        <w:jc w:val="left"/>
        <w:rPr>
          <w:sz w:val="11"/>
        </w:rPr>
      </w:pPr>
      <w:r>
        <w:rPr>
          <w:sz w:val="11"/>
        </w:rPr>
        <w:t>East Midlands Ambulance Service NHS Trust Leeds Teaching Hospitals NHS Trust</w:t>
      </w:r>
    </w:p>
    <w:p>
      <w:pPr>
        <w:spacing w:line="259" w:lineRule="auto" w:before="0"/>
        <w:ind w:left="5406" w:right="3247" w:firstLine="0"/>
        <w:jc w:val="left"/>
        <w:rPr>
          <w:sz w:val="11"/>
        </w:rPr>
      </w:pPr>
      <w:r>
        <w:rPr>
          <w:sz w:val="11"/>
        </w:rPr>
        <w:t>United Lincolnshire Hospitals NHS Trust Yorkshire Ambulance Service NHS Trust</w:t>
      </w:r>
    </w:p>
    <w:p>
      <w:pPr>
        <w:pStyle w:val="BodyText"/>
        <w:spacing w:before="11"/>
        <w:rPr>
          <w:sz w:val="11"/>
        </w:rPr>
      </w:pPr>
    </w:p>
    <w:p>
      <w:pPr>
        <w:tabs>
          <w:tab w:pos="846" w:val="left" w:leader="none"/>
          <w:tab w:pos="5406" w:val="left" w:leader="none"/>
        </w:tabs>
        <w:spacing w:line="259" w:lineRule="auto" w:before="0"/>
        <w:ind w:left="5406" w:right="2195" w:hanging="5091"/>
        <w:jc w:val="left"/>
        <w:rPr>
          <w:sz w:val="11"/>
        </w:rPr>
      </w:pPr>
      <w:r>
        <w:rPr>
          <w:sz w:val="11"/>
        </w:rPr>
        <w:t>.</w:t>
        <w:tab/>
        <w:t>NHS Foundation</w:t>
      </w:r>
      <w:r>
        <w:rPr>
          <w:spacing w:val="1"/>
          <w:sz w:val="11"/>
        </w:rPr>
        <w:t> </w:t>
      </w:r>
      <w:r>
        <w:rPr>
          <w:sz w:val="11"/>
        </w:rPr>
        <w:t>Trusts</w:t>
        <w:tab/>
        <w:t>Northern Lincolnshire &amp; Goole NHS Foundation Trust Rotherham Doncaster &amp; South Humber NHS Foundation Trust Doncaster &amp; Bassetlaw Hospitals NHS Foundation Trust Sheffield Teaching Hospitals NHS Foundation Trust Northumberland, Tyne &amp; Wear NHS Foundation Trust Lincolnshire Partnership NHS Foundation</w:t>
      </w:r>
      <w:r>
        <w:rPr>
          <w:spacing w:val="2"/>
          <w:sz w:val="11"/>
        </w:rPr>
        <w:t> </w:t>
      </w:r>
      <w:r>
        <w:rPr>
          <w:sz w:val="11"/>
        </w:rPr>
        <w:t>Trust</w:t>
      </w:r>
    </w:p>
    <w:p>
      <w:pPr>
        <w:pStyle w:val="ListParagraph"/>
        <w:numPr>
          <w:ilvl w:val="0"/>
          <w:numId w:val="37"/>
        </w:numPr>
        <w:tabs>
          <w:tab w:pos="851" w:val="left" w:leader="none"/>
          <w:tab w:pos="852" w:val="left" w:leader="none"/>
        </w:tabs>
        <w:spacing w:line="125" w:lineRule="exact" w:before="0" w:after="0"/>
        <w:ind w:left="851" w:right="0" w:hanging="536"/>
        <w:jc w:val="left"/>
        <w:rPr>
          <w:sz w:val="11"/>
        </w:rPr>
      </w:pPr>
      <w:r>
        <w:rPr>
          <w:sz w:val="11"/>
        </w:rPr>
        <w:t>NHS Litigation Authority; and,</w:t>
      </w:r>
    </w:p>
    <w:p>
      <w:pPr>
        <w:pStyle w:val="ListParagraph"/>
        <w:numPr>
          <w:ilvl w:val="0"/>
          <w:numId w:val="37"/>
        </w:numPr>
        <w:tabs>
          <w:tab w:pos="851" w:val="left" w:leader="none"/>
          <w:tab w:pos="852" w:val="left" w:leader="none"/>
        </w:tabs>
        <w:spacing w:line="240" w:lineRule="auto" w:before="10" w:after="0"/>
        <w:ind w:left="851" w:right="0" w:hanging="536"/>
        <w:jc w:val="left"/>
        <w:rPr>
          <w:sz w:val="11"/>
        </w:rPr>
      </w:pPr>
      <w:r>
        <w:rPr>
          <w:sz w:val="11"/>
        </w:rPr>
        <w:t>NHS Business Services</w:t>
      </w:r>
      <w:r>
        <w:rPr>
          <w:spacing w:val="-2"/>
          <w:sz w:val="11"/>
        </w:rPr>
        <w:t> </w:t>
      </w:r>
      <w:r>
        <w:rPr>
          <w:sz w:val="11"/>
        </w:rPr>
        <w:t>Authority.</w:t>
      </w:r>
    </w:p>
    <w:p>
      <w:pPr>
        <w:pStyle w:val="ListParagraph"/>
        <w:numPr>
          <w:ilvl w:val="0"/>
          <w:numId w:val="37"/>
        </w:numPr>
        <w:tabs>
          <w:tab w:pos="851" w:val="left" w:leader="none"/>
          <w:tab w:pos="852" w:val="left" w:leader="none"/>
        </w:tabs>
        <w:spacing w:line="240" w:lineRule="auto" w:before="10" w:after="0"/>
        <w:ind w:left="851" w:right="0" w:hanging="536"/>
        <w:jc w:val="left"/>
        <w:rPr>
          <w:sz w:val="11"/>
        </w:rPr>
      </w:pPr>
      <w:r>
        <w:rPr>
          <w:sz w:val="11"/>
        </w:rPr>
        <w:t>NHS Property</w:t>
      </w:r>
      <w:r>
        <w:rPr>
          <w:spacing w:val="-1"/>
          <w:sz w:val="11"/>
        </w:rPr>
        <w:t> </w:t>
      </w:r>
      <w:r>
        <w:rPr>
          <w:sz w:val="11"/>
        </w:rPr>
        <w:t>Services</w:t>
      </w:r>
    </w:p>
    <w:p>
      <w:pPr>
        <w:pStyle w:val="BodyText"/>
        <w:spacing w:before="9"/>
        <w:rPr>
          <w:sz w:val="12"/>
        </w:rPr>
      </w:pPr>
    </w:p>
    <w:p>
      <w:pPr>
        <w:spacing w:line="259" w:lineRule="auto" w:before="1"/>
        <w:ind w:left="315" w:right="2999" w:firstLine="0"/>
        <w:jc w:val="left"/>
        <w:rPr>
          <w:sz w:val="11"/>
        </w:rPr>
      </w:pPr>
      <w:r>
        <w:rPr>
          <w:sz w:val="11"/>
        </w:rPr>
        <w:t>In addition, the clinical commissioning group has had a number of material transactions with other government departments and other central and local government bodies. Most of these transactions have been with :</w:t>
      </w:r>
    </w:p>
    <w:p>
      <w:pPr>
        <w:spacing w:line="259" w:lineRule="auto" w:before="0"/>
        <w:ind w:left="5406" w:right="3913" w:firstLine="0"/>
        <w:jc w:val="left"/>
        <w:rPr>
          <w:sz w:val="11"/>
        </w:rPr>
      </w:pPr>
      <w:r>
        <w:rPr>
          <w:sz w:val="11"/>
        </w:rPr>
        <w:t>North Lincolnshire Council HM Revenue and Customs National Insurance Fund</w:t>
      </w:r>
    </w:p>
    <w:p>
      <w:pPr>
        <w:spacing w:after="0" w:line="259" w:lineRule="auto"/>
        <w:jc w:val="left"/>
        <w:rPr>
          <w:sz w:val="11"/>
        </w:rPr>
        <w:sectPr>
          <w:type w:val="continuous"/>
          <w:pgSz w:w="11920" w:h="16850"/>
          <w:pgMar w:top="1600" w:bottom="560" w:left="740" w:right="520"/>
        </w:sectPr>
      </w:pPr>
    </w:p>
    <w:p>
      <w:pPr>
        <w:spacing w:before="66"/>
        <w:ind w:left="325" w:right="0" w:firstLine="0"/>
        <w:jc w:val="left"/>
        <w:rPr>
          <w:sz w:val="19"/>
        </w:rPr>
      </w:pPr>
      <w:r>
        <w:rPr>
          <w:sz w:val="19"/>
        </w:rPr>
        <w:t>NHS North Lincolnshire CCG - Annual Accounts 2021-22</w:t>
      </w:r>
    </w:p>
    <w:p>
      <w:pPr>
        <w:pStyle w:val="BodyText"/>
        <w:spacing w:before="11"/>
        <w:rPr>
          <w:sz w:val="21"/>
        </w:rPr>
      </w:pPr>
    </w:p>
    <w:p>
      <w:pPr>
        <w:spacing w:before="0"/>
        <w:ind w:left="325" w:right="0" w:firstLine="0"/>
        <w:jc w:val="left"/>
        <w:rPr>
          <w:b/>
          <w:sz w:val="19"/>
        </w:rPr>
      </w:pPr>
      <w:r>
        <w:rPr>
          <w:b/>
          <w:sz w:val="19"/>
        </w:rPr>
        <w:t>15 Related party transactions cont'd</w:t>
      </w:r>
    </w:p>
    <w:p>
      <w:pPr>
        <w:pStyle w:val="BodyText"/>
        <w:spacing w:before="10"/>
        <w:rPr>
          <w:b/>
          <w:sz w:val="21"/>
        </w:rPr>
      </w:pPr>
    </w:p>
    <w:p>
      <w:pPr>
        <w:spacing w:line="259" w:lineRule="auto" w:before="0"/>
        <w:ind w:left="325" w:right="1011" w:firstLine="0"/>
        <w:jc w:val="left"/>
        <w:rPr>
          <w:sz w:val="19"/>
        </w:rPr>
      </w:pPr>
      <w:r>
        <w:rPr>
          <w:sz w:val="19"/>
        </w:rPr>
        <w:t>As members of the CCG, GP Practices are considered to be a related party and details of transactions with the practices in 2021/22 are as follows:</w:t>
      </w:r>
    </w:p>
    <w:p>
      <w:pPr>
        <w:pStyle w:val="BodyText"/>
        <w:spacing w:before="6" w:after="1"/>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35"/>
        <w:gridCol w:w="1198"/>
        <w:gridCol w:w="1051"/>
        <w:gridCol w:w="1101"/>
        <w:gridCol w:w="1160"/>
      </w:tblGrid>
      <w:tr>
        <w:trPr>
          <w:trHeight w:val="918" w:hRule="atLeast"/>
        </w:trPr>
        <w:tc>
          <w:tcPr>
            <w:tcW w:w="4135" w:type="dxa"/>
          </w:tcPr>
          <w:p>
            <w:pPr>
              <w:pStyle w:val="TableParagraph"/>
              <w:rPr>
                <w:rFonts w:ascii="Times New Roman"/>
                <w:sz w:val="18"/>
              </w:rPr>
            </w:pPr>
          </w:p>
        </w:tc>
        <w:tc>
          <w:tcPr>
            <w:tcW w:w="1198" w:type="dxa"/>
          </w:tcPr>
          <w:p>
            <w:pPr>
              <w:pStyle w:val="TableParagraph"/>
              <w:spacing w:line="266" w:lineRule="auto"/>
              <w:ind w:left="135" w:right="143" w:hanging="3"/>
              <w:jc w:val="center"/>
              <w:rPr>
                <w:b/>
                <w:sz w:val="19"/>
              </w:rPr>
            </w:pPr>
            <w:r>
              <w:rPr>
                <w:b/>
                <w:sz w:val="19"/>
              </w:rPr>
              <w:t>Payments to Related Party</w:t>
            </w:r>
          </w:p>
        </w:tc>
        <w:tc>
          <w:tcPr>
            <w:tcW w:w="1051" w:type="dxa"/>
          </w:tcPr>
          <w:p>
            <w:pPr>
              <w:pStyle w:val="TableParagraph"/>
              <w:spacing w:line="266" w:lineRule="auto"/>
              <w:ind w:left="91" w:right="205"/>
              <w:jc w:val="center"/>
              <w:rPr>
                <w:b/>
                <w:sz w:val="19"/>
              </w:rPr>
            </w:pPr>
            <w:r>
              <w:rPr>
                <w:b/>
                <w:spacing w:val="-2"/>
                <w:w w:val="95"/>
                <w:sz w:val="19"/>
              </w:rPr>
              <w:t>Receipts </w:t>
            </w:r>
            <w:r>
              <w:rPr>
                <w:b/>
                <w:sz w:val="19"/>
              </w:rPr>
              <w:t>from</w:t>
            </w:r>
          </w:p>
          <w:p>
            <w:pPr>
              <w:pStyle w:val="TableParagraph"/>
              <w:spacing w:line="220" w:lineRule="atLeast"/>
              <w:ind w:left="91" w:right="204"/>
              <w:jc w:val="center"/>
              <w:rPr>
                <w:b/>
                <w:sz w:val="19"/>
              </w:rPr>
            </w:pPr>
            <w:r>
              <w:rPr>
                <w:b/>
                <w:spacing w:val="-1"/>
                <w:sz w:val="19"/>
              </w:rPr>
              <w:t>Related </w:t>
            </w:r>
            <w:r>
              <w:rPr>
                <w:b/>
                <w:sz w:val="19"/>
              </w:rPr>
              <w:t>Party</w:t>
            </w:r>
          </w:p>
        </w:tc>
        <w:tc>
          <w:tcPr>
            <w:tcW w:w="1101" w:type="dxa"/>
          </w:tcPr>
          <w:p>
            <w:pPr>
              <w:pStyle w:val="TableParagraph"/>
              <w:spacing w:line="266" w:lineRule="auto"/>
              <w:ind w:left="94" w:right="190" w:hanging="6"/>
              <w:jc w:val="center"/>
              <w:rPr>
                <w:b/>
                <w:sz w:val="19"/>
              </w:rPr>
            </w:pPr>
            <w:r>
              <w:rPr>
                <w:b/>
                <w:spacing w:val="-3"/>
                <w:sz w:val="19"/>
              </w:rPr>
              <w:t>Amounts </w:t>
            </w:r>
            <w:r>
              <w:rPr>
                <w:b/>
                <w:sz w:val="19"/>
              </w:rPr>
              <w:t>owed to</w:t>
            </w:r>
          </w:p>
          <w:p>
            <w:pPr>
              <w:pStyle w:val="TableParagraph"/>
              <w:spacing w:line="220" w:lineRule="atLeast"/>
              <w:ind w:left="142" w:right="271"/>
              <w:jc w:val="center"/>
              <w:rPr>
                <w:b/>
                <w:sz w:val="19"/>
              </w:rPr>
            </w:pPr>
            <w:r>
              <w:rPr>
                <w:b/>
                <w:sz w:val="19"/>
              </w:rPr>
              <w:t>Related Party</w:t>
            </w:r>
          </w:p>
        </w:tc>
        <w:tc>
          <w:tcPr>
            <w:tcW w:w="1160" w:type="dxa"/>
          </w:tcPr>
          <w:p>
            <w:pPr>
              <w:pStyle w:val="TableParagraph"/>
              <w:spacing w:line="266" w:lineRule="auto"/>
              <w:ind w:left="71" w:right="270" w:hanging="3"/>
              <w:jc w:val="both"/>
              <w:rPr>
                <w:b/>
                <w:sz w:val="19"/>
              </w:rPr>
            </w:pPr>
            <w:r>
              <w:rPr>
                <w:b/>
                <w:spacing w:val="-3"/>
                <w:sz w:val="19"/>
              </w:rPr>
              <w:t>Amounts </w:t>
            </w:r>
            <w:r>
              <w:rPr>
                <w:b/>
                <w:sz w:val="19"/>
              </w:rPr>
              <w:t>due </w:t>
            </w:r>
            <w:r>
              <w:rPr>
                <w:b/>
                <w:spacing w:val="-8"/>
                <w:sz w:val="19"/>
              </w:rPr>
              <w:t>from </w:t>
            </w:r>
            <w:r>
              <w:rPr>
                <w:b/>
                <w:sz w:val="19"/>
              </w:rPr>
              <w:t>Related</w:t>
            </w:r>
          </w:p>
          <w:p>
            <w:pPr>
              <w:pStyle w:val="TableParagraph"/>
              <w:spacing w:line="177" w:lineRule="exact"/>
              <w:ind w:left="241"/>
              <w:rPr>
                <w:b/>
                <w:sz w:val="19"/>
              </w:rPr>
            </w:pPr>
            <w:r>
              <w:rPr>
                <w:b/>
                <w:sz w:val="19"/>
              </w:rPr>
              <w:t>Party</w:t>
            </w:r>
          </w:p>
        </w:tc>
      </w:tr>
      <w:tr>
        <w:trPr>
          <w:trHeight w:val="335" w:hRule="atLeast"/>
        </w:trPr>
        <w:tc>
          <w:tcPr>
            <w:tcW w:w="4135" w:type="dxa"/>
          </w:tcPr>
          <w:p>
            <w:pPr>
              <w:pStyle w:val="TableParagraph"/>
              <w:rPr>
                <w:rFonts w:ascii="Times New Roman"/>
                <w:sz w:val="18"/>
              </w:rPr>
            </w:pPr>
          </w:p>
        </w:tc>
        <w:tc>
          <w:tcPr>
            <w:tcW w:w="1198" w:type="dxa"/>
          </w:tcPr>
          <w:p>
            <w:pPr>
              <w:pStyle w:val="TableParagraph"/>
              <w:spacing w:line="206" w:lineRule="exact"/>
              <w:ind w:left="363"/>
              <w:rPr>
                <w:b/>
                <w:sz w:val="19"/>
              </w:rPr>
            </w:pPr>
            <w:r>
              <w:rPr>
                <w:b/>
                <w:sz w:val="19"/>
              </w:rPr>
              <w:t>£'000</w:t>
            </w:r>
          </w:p>
        </w:tc>
        <w:tc>
          <w:tcPr>
            <w:tcW w:w="1051" w:type="dxa"/>
          </w:tcPr>
          <w:p>
            <w:pPr>
              <w:pStyle w:val="TableParagraph"/>
              <w:spacing w:line="206" w:lineRule="exact"/>
              <w:ind w:left="240"/>
              <w:rPr>
                <w:b/>
                <w:sz w:val="19"/>
              </w:rPr>
            </w:pPr>
            <w:r>
              <w:rPr>
                <w:b/>
                <w:sz w:val="19"/>
              </w:rPr>
              <w:t>£'000</w:t>
            </w:r>
          </w:p>
        </w:tc>
        <w:tc>
          <w:tcPr>
            <w:tcW w:w="1101" w:type="dxa"/>
          </w:tcPr>
          <w:p>
            <w:pPr>
              <w:pStyle w:val="TableParagraph"/>
              <w:spacing w:line="206" w:lineRule="exact"/>
              <w:ind w:left="274"/>
              <w:rPr>
                <w:b/>
                <w:sz w:val="19"/>
              </w:rPr>
            </w:pPr>
            <w:r>
              <w:rPr>
                <w:b/>
                <w:sz w:val="19"/>
              </w:rPr>
              <w:t>£'000</w:t>
            </w:r>
          </w:p>
        </w:tc>
        <w:tc>
          <w:tcPr>
            <w:tcW w:w="1160" w:type="dxa"/>
          </w:tcPr>
          <w:p>
            <w:pPr>
              <w:pStyle w:val="TableParagraph"/>
              <w:spacing w:line="206" w:lineRule="exact"/>
              <w:ind w:left="251"/>
              <w:rPr>
                <w:b/>
                <w:sz w:val="19"/>
              </w:rPr>
            </w:pPr>
            <w:r>
              <w:rPr>
                <w:b/>
                <w:sz w:val="19"/>
              </w:rPr>
              <w:t>£'000</w:t>
            </w:r>
          </w:p>
        </w:tc>
      </w:tr>
      <w:tr>
        <w:trPr>
          <w:trHeight w:val="469" w:hRule="atLeast"/>
        </w:trPr>
        <w:tc>
          <w:tcPr>
            <w:tcW w:w="4135" w:type="dxa"/>
          </w:tcPr>
          <w:p>
            <w:pPr>
              <w:pStyle w:val="TableParagraph"/>
              <w:spacing w:before="122"/>
              <w:ind w:left="200"/>
              <w:rPr>
                <w:sz w:val="19"/>
              </w:rPr>
            </w:pPr>
            <w:r>
              <w:rPr>
                <w:sz w:val="19"/>
              </w:rPr>
              <w:t>Ancora Medical Practice</w:t>
            </w:r>
          </w:p>
        </w:tc>
        <w:tc>
          <w:tcPr>
            <w:tcW w:w="1198" w:type="dxa"/>
          </w:tcPr>
          <w:p>
            <w:pPr>
              <w:pStyle w:val="TableParagraph"/>
              <w:spacing w:before="122"/>
              <w:ind w:right="93"/>
              <w:jc w:val="right"/>
              <w:rPr>
                <w:sz w:val="19"/>
              </w:rPr>
            </w:pPr>
            <w:r>
              <w:rPr>
                <w:w w:val="95"/>
                <w:sz w:val="19"/>
              </w:rPr>
              <w:t>4,607</w:t>
            </w:r>
          </w:p>
        </w:tc>
        <w:tc>
          <w:tcPr>
            <w:tcW w:w="1051" w:type="dxa"/>
          </w:tcPr>
          <w:p>
            <w:pPr>
              <w:pStyle w:val="TableParagraph"/>
              <w:spacing w:before="122"/>
              <w:ind w:right="94"/>
              <w:jc w:val="right"/>
              <w:rPr>
                <w:sz w:val="19"/>
              </w:rPr>
            </w:pPr>
            <w:r>
              <w:rPr>
                <w:w w:val="98"/>
                <w:sz w:val="19"/>
              </w:rPr>
              <w:t>1</w:t>
            </w:r>
          </w:p>
        </w:tc>
        <w:tc>
          <w:tcPr>
            <w:tcW w:w="1101" w:type="dxa"/>
          </w:tcPr>
          <w:p>
            <w:pPr>
              <w:pStyle w:val="TableParagraph"/>
              <w:spacing w:before="122"/>
              <w:ind w:right="72"/>
              <w:jc w:val="right"/>
              <w:rPr>
                <w:sz w:val="19"/>
              </w:rPr>
            </w:pPr>
            <w:r>
              <w:rPr>
                <w:w w:val="98"/>
                <w:sz w:val="19"/>
              </w:rPr>
              <w:t>8</w:t>
            </w:r>
          </w:p>
        </w:tc>
        <w:tc>
          <w:tcPr>
            <w:tcW w:w="1160" w:type="dxa"/>
          </w:tcPr>
          <w:p>
            <w:pPr>
              <w:pStyle w:val="TableParagraph"/>
              <w:spacing w:before="122"/>
              <w:ind w:right="200"/>
              <w:jc w:val="right"/>
              <w:rPr>
                <w:sz w:val="19"/>
              </w:rPr>
            </w:pPr>
            <w:r>
              <w:rPr>
                <w:w w:val="98"/>
                <w:sz w:val="19"/>
              </w:rPr>
              <w:t>1</w:t>
            </w:r>
          </w:p>
        </w:tc>
      </w:tr>
      <w:tr>
        <w:trPr>
          <w:trHeight w:val="469" w:hRule="atLeast"/>
        </w:trPr>
        <w:tc>
          <w:tcPr>
            <w:tcW w:w="4135" w:type="dxa"/>
          </w:tcPr>
          <w:p>
            <w:pPr>
              <w:pStyle w:val="TableParagraph"/>
              <w:spacing w:before="121"/>
              <w:ind w:left="200"/>
              <w:rPr>
                <w:sz w:val="19"/>
              </w:rPr>
            </w:pPr>
            <w:r>
              <w:rPr>
                <w:sz w:val="19"/>
              </w:rPr>
              <w:t>Cedar Medical Practice</w:t>
            </w:r>
          </w:p>
        </w:tc>
        <w:tc>
          <w:tcPr>
            <w:tcW w:w="1198" w:type="dxa"/>
          </w:tcPr>
          <w:p>
            <w:pPr>
              <w:pStyle w:val="TableParagraph"/>
              <w:spacing w:before="121"/>
              <w:ind w:right="93"/>
              <w:jc w:val="right"/>
              <w:rPr>
                <w:sz w:val="19"/>
              </w:rPr>
            </w:pPr>
            <w:r>
              <w:rPr>
                <w:w w:val="95"/>
                <w:sz w:val="19"/>
              </w:rPr>
              <w:t>1,002</w:t>
            </w:r>
          </w:p>
        </w:tc>
        <w:tc>
          <w:tcPr>
            <w:tcW w:w="1051" w:type="dxa"/>
          </w:tcPr>
          <w:p>
            <w:pPr>
              <w:pStyle w:val="TableParagraph"/>
              <w:spacing w:before="121"/>
              <w:ind w:right="94"/>
              <w:jc w:val="right"/>
              <w:rPr>
                <w:sz w:val="19"/>
              </w:rPr>
            </w:pPr>
            <w:r>
              <w:rPr>
                <w:w w:val="98"/>
                <w:sz w:val="19"/>
              </w:rPr>
              <w:t>1</w:t>
            </w:r>
          </w:p>
        </w:tc>
        <w:tc>
          <w:tcPr>
            <w:tcW w:w="1101" w:type="dxa"/>
          </w:tcPr>
          <w:p>
            <w:pPr>
              <w:pStyle w:val="TableParagraph"/>
              <w:spacing w:before="121"/>
              <w:ind w:right="72"/>
              <w:jc w:val="right"/>
              <w:rPr>
                <w:sz w:val="19"/>
              </w:rPr>
            </w:pPr>
            <w:r>
              <w:rPr>
                <w:w w:val="98"/>
                <w:sz w:val="19"/>
              </w:rPr>
              <w:t>0</w:t>
            </w:r>
          </w:p>
        </w:tc>
        <w:tc>
          <w:tcPr>
            <w:tcW w:w="1160" w:type="dxa"/>
          </w:tcPr>
          <w:p>
            <w:pPr>
              <w:pStyle w:val="TableParagraph"/>
              <w:spacing w:before="121"/>
              <w:ind w:right="203"/>
              <w:jc w:val="right"/>
              <w:rPr>
                <w:sz w:val="19"/>
              </w:rPr>
            </w:pPr>
            <w:r>
              <w:rPr>
                <w:w w:val="98"/>
                <w:sz w:val="19"/>
              </w:rPr>
              <w:t>1</w:t>
            </w:r>
          </w:p>
        </w:tc>
      </w:tr>
      <w:tr>
        <w:trPr>
          <w:trHeight w:val="470" w:hRule="atLeast"/>
        </w:trPr>
        <w:tc>
          <w:tcPr>
            <w:tcW w:w="4135" w:type="dxa"/>
          </w:tcPr>
          <w:p>
            <w:pPr>
              <w:pStyle w:val="TableParagraph"/>
              <w:spacing w:before="122"/>
              <w:ind w:left="200"/>
              <w:rPr>
                <w:sz w:val="19"/>
              </w:rPr>
            </w:pPr>
            <w:r>
              <w:rPr>
                <w:sz w:val="19"/>
              </w:rPr>
              <w:t>Cambridge Avenue Medical Centre</w:t>
            </w:r>
          </w:p>
        </w:tc>
        <w:tc>
          <w:tcPr>
            <w:tcW w:w="1198" w:type="dxa"/>
          </w:tcPr>
          <w:p>
            <w:pPr>
              <w:pStyle w:val="TableParagraph"/>
              <w:spacing w:before="122"/>
              <w:ind w:right="93"/>
              <w:jc w:val="right"/>
              <w:rPr>
                <w:sz w:val="19"/>
              </w:rPr>
            </w:pPr>
            <w:r>
              <w:rPr>
                <w:w w:val="95"/>
                <w:sz w:val="19"/>
              </w:rPr>
              <w:t>1,659</w:t>
            </w:r>
          </w:p>
        </w:tc>
        <w:tc>
          <w:tcPr>
            <w:tcW w:w="1051" w:type="dxa"/>
          </w:tcPr>
          <w:p>
            <w:pPr>
              <w:pStyle w:val="TableParagraph"/>
              <w:spacing w:before="122"/>
              <w:ind w:right="94"/>
              <w:jc w:val="right"/>
              <w:rPr>
                <w:sz w:val="19"/>
              </w:rPr>
            </w:pPr>
            <w:r>
              <w:rPr>
                <w:w w:val="98"/>
                <w:sz w:val="19"/>
              </w:rPr>
              <w:t>1</w:t>
            </w:r>
          </w:p>
        </w:tc>
        <w:tc>
          <w:tcPr>
            <w:tcW w:w="1101" w:type="dxa"/>
          </w:tcPr>
          <w:p>
            <w:pPr>
              <w:pStyle w:val="TableParagraph"/>
              <w:spacing w:before="122"/>
              <w:ind w:right="72"/>
              <w:jc w:val="right"/>
              <w:rPr>
                <w:sz w:val="19"/>
              </w:rPr>
            </w:pPr>
            <w:r>
              <w:rPr>
                <w:w w:val="98"/>
                <w:sz w:val="19"/>
              </w:rPr>
              <w:t>0</w:t>
            </w:r>
          </w:p>
        </w:tc>
        <w:tc>
          <w:tcPr>
            <w:tcW w:w="1160" w:type="dxa"/>
          </w:tcPr>
          <w:p>
            <w:pPr>
              <w:pStyle w:val="TableParagraph"/>
              <w:spacing w:before="122"/>
              <w:ind w:right="200"/>
              <w:jc w:val="right"/>
              <w:rPr>
                <w:sz w:val="19"/>
              </w:rPr>
            </w:pPr>
            <w:r>
              <w:rPr>
                <w:w w:val="98"/>
                <w:sz w:val="19"/>
              </w:rPr>
              <w:t>1</w:t>
            </w:r>
          </w:p>
        </w:tc>
      </w:tr>
      <w:tr>
        <w:trPr>
          <w:trHeight w:val="470" w:hRule="atLeast"/>
        </w:trPr>
        <w:tc>
          <w:tcPr>
            <w:tcW w:w="4135" w:type="dxa"/>
          </w:tcPr>
          <w:p>
            <w:pPr>
              <w:pStyle w:val="TableParagraph"/>
              <w:spacing w:before="122"/>
              <w:ind w:left="200"/>
              <w:rPr>
                <w:sz w:val="19"/>
              </w:rPr>
            </w:pPr>
            <w:r>
              <w:rPr>
                <w:sz w:val="19"/>
              </w:rPr>
              <w:t>Kirton Lindsey Surgery</w:t>
            </w:r>
          </w:p>
        </w:tc>
        <w:tc>
          <w:tcPr>
            <w:tcW w:w="1198" w:type="dxa"/>
          </w:tcPr>
          <w:p>
            <w:pPr>
              <w:pStyle w:val="TableParagraph"/>
              <w:spacing w:before="122"/>
              <w:ind w:right="93"/>
              <w:jc w:val="right"/>
              <w:rPr>
                <w:sz w:val="19"/>
              </w:rPr>
            </w:pPr>
            <w:r>
              <w:rPr>
                <w:w w:val="95"/>
                <w:sz w:val="19"/>
              </w:rPr>
              <w:t>3,075</w:t>
            </w:r>
          </w:p>
        </w:tc>
        <w:tc>
          <w:tcPr>
            <w:tcW w:w="1051" w:type="dxa"/>
          </w:tcPr>
          <w:p>
            <w:pPr>
              <w:pStyle w:val="TableParagraph"/>
              <w:spacing w:before="122"/>
              <w:ind w:right="94"/>
              <w:jc w:val="right"/>
              <w:rPr>
                <w:sz w:val="19"/>
              </w:rPr>
            </w:pPr>
            <w:r>
              <w:rPr>
                <w:w w:val="98"/>
                <w:sz w:val="19"/>
              </w:rPr>
              <w:t>2</w:t>
            </w:r>
          </w:p>
        </w:tc>
        <w:tc>
          <w:tcPr>
            <w:tcW w:w="1101" w:type="dxa"/>
          </w:tcPr>
          <w:p>
            <w:pPr>
              <w:pStyle w:val="TableParagraph"/>
              <w:spacing w:before="122"/>
              <w:ind w:right="72"/>
              <w:jc w:val="right"/>
              <w:rPr>
                <w:sz w:val="19"/>
              </w:rPr>
            </w:pPr>
            <w:r>
              <w:rPr>
                <w:w w:val="98"/>
                <w:sz w:val="19"/>
              </w:rPr>
              <w:t>0</w:t>
            </w:r>
          </w:p>
        </w:tc>
        <w:tc>
          <w:tcPr>
            <w:tcW w:w="1160" w:type="dxa"/>
          </w:tcPr>
          <w:p>
            <w:pPr>
              <w:pStyle w:val="TableParagraph"/>
              <w:spacing w:before="122"/>
              <w:ind w:right="203"/>
              <w:jc w:val="right"/>
              <w:rPr>
                <w:sz w:val="19"/>
              </w:rPr>
            </w:pPr>
            <w:r>
              <w:rPr>
                <w:w w:val="98"/>
                <w:sz w:val="19"/>
              </w:rPr>
              <w:t>1</w:t>
            </w:r>
          </w:p>
        </w:tc>
      </w:tr>
      <w:tr>
        <w:trPr>
          <w:trHeight w:val="470" w:hRule="atLeast"/>
        </w:trPr>
        <w:tc>
          <w:tcPr>
            <w:tcW w:w="4135" w:type="dxa"/>
          </w:tcPr>
          <w:p>
            <w:pPr>
              <w:pStyle w:val="TableParagraph"/>
              <w:spacing w:before="122"/>
              <w:ind w:left="200"/>
              <w:rPr>
                <w:sz w:val="19"/>
              </w:rPr>
            </w:pPr>
            <w:r>
              <w:rPr>
                <w:sz w:val="19"/>
              </w:rPr>
              <w:t>Ashby Turn Primary Care Partners</w:t>
            </w:r>
          </w:p>
        </w:tc>
        <w:tc>
          <w:tcPr>
            <w:tcW w:w="1198" w:type="dxa"/>
          </w:tcPr>
          <w:p>
            <w:pPr>
              <w:pStyle w:val="TableParagraph"/>
              <w:spacing w:before="122"/>
              <w:ind w:right="91"/>
              <w:jc w:val="right"/>
              <w:rPr>
                <w:sz w:val="19"/>
              </w:rPr>
            </w:pPr>
            <w:r>
              <w:rPr>
                <w:w w:val="95"/>
                <w:sz w:val="19"/>
              </w:rPr>
              <w:t>1,636</w:t>
            </w:r>
          </w:p>
        </w:tc>
        <w:tc>
          <w:tcPr>
            <w:tcW w:w="1051" w:type="dxa"/>
          </w:tcPr>
          <w:p>
            <w:pPr>
              <w:pStyle w:val="TableParagraph"/>
              <w:spacing w:before="122"/>
              <w:ind w:right="94"/>
              <w:jc w:val="right"/>
              <w:rPr>
                <w:sz w:val="19"/>
              </w:rPr>
            </w:pPr>
            <w:r>
              <w:rPr>
                <w:w w:val="98"/>
                <w:sz w:val="19"/>
              </w:rPr>
              <w:t>1</w:t>
            </w:r>
          </w:p>
        </w:tc>
        <w:tc>
          <w:tcPr>
            <w:tcW w:w="1101" w:type="dxa"/>
          </w:tcPr>
          <w:p>
            <w:pPr>
              <w:pStyle w:val="TableParagraph"/>
              <w:spacing w:before="122"/>
              <w:ind w:right="70"/>
              <w:jc w:val="right"/>
              <w:rPr>
                <w:sz w:val="19"/>
              </w:rPr>
            </w:pPr>
            <w:r>
              <w:rPr>
                <w:w w:val="98"/>
                <w:sz w:val="19"/>
              </w:rPr>
              <w:t>0</w:t>
            </w:r>
          </w:p>
        </w:tc>
        <w:tc>
          <w:tcPr>
            <w:tcW w:w="1160" w:type="dxa"/>
          </w:tcPr>
          <w:p>
            <w:pPr>
              <w:pStyle w:val="TableParagraph"/>
              <w:spacing w:before="122"/>
              <w:ind w:right="200"/>
              <w:jc w:val="right"/>
              <w:rPr>
                <w:sz w:val="19"/>
              </w:rPr>
            </w:pPr>
            <w:r>
              <w:rPr>
                <w:w w:val="98"/>
                <w:sz w:val="19"/>
              </w:rPr>
              <w:t>1</w:t>
            </w:r>
          </w:p>
        </w:tc>
      </w:tr>
      <w:tr>
        <w:trPr>
          <w:trHeight w:val="470" w:hRule="atLeast"/>
        </w:trPr>
        <w:tc>
          <w:tcPr>
            <w:tcW w:w="4135" w:type="dxa"/>
          </w:tcPr>
          <w:p>
            <w:pPr>
              <w:pStyle w:val="TableParagraph"/>
              <w:spacing w:before="122"/>
              <w:ind w:left="200"/>
              <w:rPr>
                <w:sz w:val="19"/>
              </w:rPr>
            </w:pPr>
            <w:r>
              <w:rPr>
                <w:sz w:val="19"/>
              </w:rPr>
              <w:t>West Common Lane Teaching Practice</w:t>
            </w:r>
          </w:p>
        </w:tc>
        <w:tc>
          <w:tcPr>
            <w:tcW w:w="1198" w:type="dxa"/>
          </w:tcPr>
          <w:p>
            <w:pPr>
              <w:pStyle w:val="TableParagraph"/>
              <w:spacing w:before="122"/>
              <w:ind w:right="93"/>
              <w:jc w:val="right"/>
              <w:rPr>
                <w:sz w:val="19"/>
              </w:rPr>
            </w:pPr>
            <w:r>
              <w:rPr>
                <w:w w:val="95"/>
                <w:sz w:val="19"/>
              </w:rPr>
              <w:t>1,027</w:t>
            </w:r>
          </w:p>
        </w:tc>
        <w:tc>
          <w:tcPr>
            <w:tcW w:w="1051" w:type="dxa"/>
          </w:tcPr>
          <w:p>
            <w:pPr>
              <w:pStyle w:val="TableParagraph"/>
              <w:spacing w:before="122"/>
              <w:ind w:right="94"/>
              <w:jc w:val="right"/>
              <w:rPr>
                <w:sz w:val="19"/>
              </w:rPr>
            </w:pPr>
            <w:r>
              <w:rPr>
                <w:w w:val="98"/>
                <w:sz w:val="19"/>
              </w:rPr>
              <w:t>1</w:t>
            </w:r>
          </w:p>
        </w:tc>
        <w:tc>
          <w:tcPr>
            <w:tcW w:w="1101" w:type="dxa"/>
          </w:tcPr>
          <w:p>
            <w:pPr>
              <w:pStyle w:val="TableParagraph"/>
              <w:spacing w:before="122"/>
              <w:ind w:right="72"/>
              <w:jc w:val="right"/>
              <w:rPr>
                <w:sz w:val="19"/>
              </w:rPr>
            </w:pPr>
            <w:r>
              <w:rPr>
                <w:w w:val="98"/>
                <w:sz w:val="19"/>
              </w:rPr>
              <w:t>0</w:t>
            </w:r>
          </w:p>
        </w:tc>
        <w:tc>
          <w:tcPr>
            <w:tcW w:w="1160" w:type="dxa"/>
          </w:tcPr>
          <w:p>
            <w:pPr>
              <w:pStyle w:val="TableParagraph"/>
              <w:spacing w:before="122"/>
              <w:ind w:right="203"/>
              <w:jc w:val="right"/>
              <w:rPr>
                <w:sz w:val="19"/>
              </w:rPr>
            </w:pPr>
            <w:r>
              <w:rPr>
                <w:w w:val="98"/>
                <w:sz w:val="19"/>
              </w:rPr>
              <w:t>0</w:t>
            </w:r>
          </w:p>
        </w:tc>
      </w:tr>
      <w:tr>
        <w:trPr>
          <w:trHeight w:val="469" w:hRule="atLeast"/>
        </w:trPr>
        <w:tc>
          <w:tcPr>
            <w:tcW w:w="4135" w:type="dxa"/>
          </w:tcPr>
          <w:p>
            <w:pPr>
              <w:pStyle w:val="TableParagraph"/>
              <w:spacing w:before="122"/>
              <w:ind w:left="200"/>
              <w:rPr>
                <w:sz w:val="19"/>
              </w:rPr>
            </w:pPr>
            <w:r>
              <w:rPr>
                <w:sz w:val="19"/>
              </w:rPr>
              <w:t>Killingholme Practice</w:t>
            </w:r>
          </w:p>
        </w:tc>
        <w:tc>
          <w:tcPr>
            <w:tcW w:w="1198" w:type="dxa"/>
          </w:tcPr>
          <w:p>
            <w:pPr>
              <w:pStyle w:val="TableParagraph"/>
              <w:spacing w:before="122"/>
              <w:ind w:right="93"/>
              <w:jc w:val="right"/>
              <w:rPr>
                <w:sz w:val="19"/>
              </w:rPr>
            </w:pPr>
            <w:r>
              <w:rPr>
                <w:w w:val="95"/>
                <w:sz w:val="19"/>
              </w:rPr>
              <w:t>530</w:t>
            </w:r>
          </w:p>
        </w:tc>
        <w:tc>
          <w:tcPr>
            <w:tcW w:w="1051" w:type="dxa"/>
          </w:tcPr>
          <w:p>
            <w:pPr>
              <w:pStyle w:val="TableParagraph"/>
              <w:spacing w:before="122"/>
              <w:ind w:right="94"/>
              <w:jc w:val="right"/>
              <w:rPr>
                <w:sz w:val="19"/>
              </w:rPr>
            </w:pPr>
            <w:r>
              <w:rPr>
                <w:w w:val="98"/>
                <w:sz w:val="19"/>
              </w:rPr>
              <w:t>0</w:t>
            </w:r>
          </w:p>
        </w:tc>
        <w:tc>
          <w:tcPr>
            <w:tcW w:w="1101" w:type="dxa"/>
          </w:tcPr>
          <w:p>
            <w:pPr>
              <w:pStyle w:val="TableParagraph"/>
              <w:spacing w:before="122"/>
              <w:ind w:right="72"/>
              <w:jc w:val="right"/>
              <w:rPr>
                <w:sz w:val="19"/>
              </w:rPr>
            </w:pPr>
            <w:r>
              <w:rPr>
                <w:w w:val="98"/>
                <w:sz w:val="19"/>
              </w:rPr>
              <w:t>0</w:t>
            </w:r>
          </w:p>
        </w:tc>
        <w:tc>
          <w:tcPr>
            <w:tcW w:w="1160" w:type="dxa"/>
          </w:tcPr>
          <w:p>
            <w:pPr>
              <w:pStyle w:val="TableParagraph"/>
              <w:spacing w:before="122"/>
              <w:ind w:right="203"/>
              <w:jc w:val="right"/>
              <w:rPr>
                <w:sz w:val="19"/>
              </w:rPr>
            </w:pPr>
            <w:r>
              <w:rPr>
                <w:w w:val="98"/>
                <w:sz w:val="19"/>
              </w:rPr>
              <w:t>0</w:t>
            </w:r>
          </w:p>
        </w:tc>
      </w:tr>
      <w:tr>
        <w:trPr>
          <w:trHeight w:val="469" w:hRule="atLeast"/>
        </w:trPr>
        <w:tc>
          <w:tcPr>
            <w:tcW w:w="4135" w:type="dxa"/>
          </w:tcPr>
          <w:p>
            <w:pPr>
              <w:pStyle w:val="TableParagraph"/>
              <w:spacing w:before="121"/>
              <w:ind w:left="200"/>
              <w:rPr>
                <w:sz w:val="19"/>
              </w:rPr>
            </w:pPr>
            <w:r>
              <w:rPr>
                <w:sz w:val="19"/>
              </w:rPr>
              <w:t>Riverside Surgery</w:t>
            </w:r>
          </w:p>
        </w:tc>
        <w:tc>
          <w:tcPr>
            <w:tcW w:w="1198" w:type="dxa"/>
          </w:tcPr>
          <w:p>
            <w:pPr>
              <w:pStyle w:val="TableParagraph"/>
              <w:spacing w:before="121"/>
              <w:ind w:right="93"/>
              <w:jc w:val="right"/>
              <w:rPr>
                <w:sz w:val="19"/>
              </w:rPr>
            </w:pPr>
            <w:r>
              <w:rPr>
                <w:w w:val="95"/>
                <w:sz w:val="19"/>
              </w:rPr>
              <w:t>3,225</w:t>
            </w:r>
          </w:p>
        </w:tc>
        <w:tc>
          <w:tcPr>
            <w:tcW w:w="1051" w:type="dxa"/>
          </w:tcPr>
          <w:p>
            <w:pPr>
              <w:pStyle w:val="TableParagraph"/>
              <w:spacing w:before="121"/>
              <w:ind w:right="94"/>
              <w:jc w:val="right"/>
              <w:rPr>
                <w:sz w:val="19"/>
              </w:rPr>
            </w:pPr>
            <w:r>
              <w:rPr>
                <w:w w:val="98"/>
                <w:sz w:val="19"/>
              </w:rPr>
              <w:t>1</w:t>
            </w:r>
          </w:p>
        </w:tc>
        <w:tc>
          <w:tcPr>
            <w:tcW w:w="1101" w:type="dxa"/>
          </w:tcPr>
          <w:p>
            <w:pPr>
              <w:pStyle w:val="TableParagraph"/>
              <w:spacing w:before="121"/>
              <w:ind w:right="72"/>
              <w:jc w:val="right"/>
              <w:rPr>
                <w:sz w:val="19"/>
              </w:rPr>
            </w:pPr>
            <w:r>
              <w:rPr>
                <w:w w:val="98"/>
                <w:sz w:val="19"/>
              </w:rPr>
              <w:t>0</w:t>
            </w:r>
          </w:p>
        </w:tc>
        <w:tc>
          <w:tcPr>
            <w:tcW w:w="1160" w:type="dxa"/>
          </w:tcPr>
          <w:p>
            <w:pPr>
              <w:pStyle w:val="TableParagraph"/>
              <w:spacing w:before="121"/>
              <w:ind w:right="203"/>
              <w:jc w:val="right"/>
              <w:rPr>
                <w:sz w:val="19"/>
              </w:rPr>
            </w:pPr>
            <w:r>
              <w:rPr>
                <w:w w:val="98"/>
                <w:sz w:val="19"/>
              </w:rPr>
              <w:t>1</w:t>
            </w:r>
          </w:p>
        </w:tc>
      </w:tr>
      <w:tr>
        <w:trPr>
          <w:trHeight w:val="470" w:hRule="atLeast"/>
        </w:trPr>
        <w:tc>
          <w:tcPr>
            <w:tcW w:w="4135" w:type="dxa"/>
          </w:tcPr>
          <w:p>
            <w:pPr>
              <w:pStyle w:val="TableParagraph"/>
              <w:spacing w:before="122"/>
              <w:ind w:left="200"/>
              <w:rPr>
                <w:sz w:val="19"/>
              </w:rPr>
            </w:pPr>
            <w:r>
              <w:rPr>
                <w:sz w:val="19"/>
              </w:rPr>
              <w:t>West Town Surgery</w:t>
            </w:r>
          </w:p>
        </w:tc>
        <w:tc>
          <w:tcPr>
            <w:tcW w:w="1198" w:type="dxa"/>
          </w:tcPr>
          <w:p>
            <w:pPr>
              <w:pStyle w:val="TableParagraph"/>
              <w:spacing w:before="122"/>
              <w:ind w:right="93"/>
              <w:jc w:val="right"/>
              <w:rPr>
                <w:sz w:val="19"/>
              </w:rPr>
            </w:pPr>
            <w:r>
              <w:rPr>
                <w:w w:val="95"/>
                <w:sz w:val="19"/>
              </w:rPr>
              <w:t>473</w:t>
            </w:r>
          </w:p>
        </w:tc>
        <w:tc>
          <w:tcPr>
            <w:tcW w:w="1051" w:type="dxa"/>
          </w:tcPr>
          <w:p>
            <w:pPr>
              <w:pStyle w:val="TableParagraph"/>
              <w:spacing w:before="122"/>
              <w:ind w:right="94"/>
              <w:jc w:val="right"/>
              <w:rPr>
                <w:sz w:val="19"/>
              </w:rPr>
            </w:pPr>
            <w:r>
              <w:rPr>
                <w:w w:val="98"/>
                <w:sz w:val="19"/>
              </w:rPr>
              <w:t>0</w:t>
            </w:r>
          </w:p>
        </w:tc>
        <w:tc>
          <w:tcPr>
            <w:tcW w:w="1101" w:type="dxa"/>
          </w:tcPr>
          <w:p>
            <w:pPr>
              <w:pStyle w:val="TableParagraph"/>
              <w:spacing w:before="122"/>
              <w:ind w:right="72"/>
              <w:jc w:val="right"/>
              <w:rPr>
                <w:sz w:val="19"/>
              </w:rPr>
            </w:pPr>
            <w:r>
              <w:rPr>
                <w:w w:val="98"/>
                <w:sz w:val="19"/>
              </w:rPr>
              <w:t>0</w:t>
            </w:r>
          </w:p>
        </w:tc>
        <w:tc>
          <w:tcPr>
            <w:tcW w:w="1160" w:type="dxa"/>
          </w:tcPr>
          <w:p>
            <w:pPr>
              <w:pStyle w:val="TableParagraph"/>
              <w:spacing w:before="122"/>
              <w:ind w:right="203"/>
              <w:jc w:val="right"/>
              <w:rPr>
                <w:sz w:val="19"/>
              </w:rPr>
            </w:pPr>
            <w:r>
              <w:rPr>
                <w:w w:val="98"/>
                <w:sz w:val="19"/>
              </w:rPr>
              <w:t>0</w:t>
            </w:r>
          </w:p>
        </w:tc>
      </w:tr>
      <w:tr>
        <w:trPr>
          <w:trHeight w:val="470" w:hRule="atLeast"/>
        </w:trPr>
        <w:tc>
          <w:tcPr>
            <w:tcW w:w="4135" w:type="dxa"/>
          </w:tcPr>
          <w:p>
            <w:pPr>
              <w:pStyle w:val="TableParagraph"/>
              <w:spacing w:before="122"/>
              <w:ind w:left="200"/>
              <w:rPr>
                <w:sz w:val="19"/>
              </w:rPr>
            </w:pPr>
            <w:r>
              <w:rPr>
                <w:sz w:val="19"/>
              </w:rPr>
              <w:t>Barnetby Medical Centre</w:t>
            </w:r>
          </w:p>
        </w:tc>
        <w:tc>
          <w:tcPr>
            <w:tcW w:w="1198" w:type="dxa"/>
          </w:tcPr>
          <w:p>
            <w:pPr>
              <w:pStyle w:val="TableParagraph"/>
              <w:spacing w:before="122"/>
              <w:ind w:right="93"/>
              <w:jc w:val="right"/>
              <w:rPr>
                <w:sz w:val="19"/>
              </w:rPr>
            </w:pPr>
            <w:r>
              <w:rPr>
                <w:w w:val="95"/>
                <w:sz w:val="19"/>
              </w:rPr>
              <w:t>1,058</w:t>
            </w:r>
          </w:p>
        </w:tc>
        <w:tc>
          <w:tcPr>
            <w:tcW w:w="1051" w:type="dxa"/>
          </w:tcPr>
          <w:p>
            <w:pPr>
              <w:pStyle w:val="TableParagraph"/>
              <w:spacing w:before="122"/>
              <w:ind w:right="94"/>
              <w:jc w:val="right"/>
              <w:rPr>
                <w:sz w:val="19"/>
              </w:rPr>
            </w:pPr>
            <w:r>
              <w:rPr>
                <w:w w:val="98"/>
                <w:sz w:val="19"/>
              </w:rPr>
              <w:t>0</w:t>
            </w:r>
          </w:p>
        </w:tc>
        <w:tc>
          <w:tcPr>
            <w:tcW w:w="1101" w:type="dxa"/>
          </w:tcPr>
          <w:p>
            <w:pPr>
              <w:pStyle w:val="TableParagraph"/>
              <w:spacing w:before="122"/>
              <w:ind w:right="72"/>
              <w:jc w:val="right"/>
              <w:rPr>
                <w:sz w:val="19"/>
              </w:rPr>
            </w:pPr>
            <w:r>
              <w:rPr>
                <w:w w:val="98"/>
                <w:sz w:val="19"/>
              </w:rPr>
              <w:t>0</w:t>
            </w:r>
          </w:p>
        </w:tc>
        <w:tc>
          <w:tcPr>
            <w:tcW w:w="1160" w:type="dxa"/>
          </w:tcPr>
          <w:p>
            <w:pPr>
              <w:pStyle w:val="TableParagraph"/>
              <w:spacing w:before="122"/>
              <w:ind w:right="203"/>
              <w:jc w:val="right"/>
              <w:rPr>
                <w:sz w:val="19"/>
              </w:rPr>
            </w:pPr>
            <w:r>
              <w:rPr>
                <w:w w:val="98"/>
                <w:sz w:val="19"/>
              </w:rPr>
              <w:t>0</w:t>
            </w:r>
          </w:p>
        </w:tc>
      </w:tr>
      <w:tr>
        <w:trPr>
          <w:trHeight w:val="470" w:hRule="atLeast"/>
        </w:trPr>
        <w:tc>
          <w:tcPr>
            <w:tcW w:w="4135" w:type="dxa"/>
          </w:tcPr>
          <w:p>
            <w:pPr>
              <w:pStyle w:val="TableParagraph"/>
              <w:spacing w:before="122"/>
              <w:ind w:left="200"/>
              <w:rPr>
                <w:sz w:val="19"/>
              </w:rPr>
            </w:pPr>
            <w:r>
              <w:rPr>
                <w:sz w:val="19"/>
              </w:rPr>
              <w:t>Winterton Medical Practice</w:t>
            </w:r>
          </w:p>
        </w:tc>
        <w:tc>
          <w:tcPr>
            <w:tcW w:w="1198" w:type="dxa"/>
          </w:tcPr>
          <w:p>
            <w:pPr>
              <w:pStyle w:val="TableParagraph"/>
              <w:spacing w:before="122"/>
              <w:ind w:right="93"/>
              <w:jc w:val="right"/>
              <w:rPr>
                <w:sz w:val="19"/>
              </w:rPr>
            </w:pPr>
            <w:r>
              <w:rPr>
                <w:w w:val="95"/>
                <w:sz w:val="19"/>
              </w:rPr>
              <w:t>2,400</w:t>
            </w:r>
          </w:p>
        </w:tc>
        <w:tc>
          <w:tcPr>
            <w:tcW w:w="1051" w:type="dxa"/>
          </w:tcPr>
          <w:p>
            <w:pPr>
              <w:pStyle w:val="TableParagraph"/>
              <w:spacing w:before="122"/>
              <w:ind w:right="94"/>
              <w:jc w:val="right"/>
              <w:rPr>
                <w:sz w:val="19"/>
              </w:rPr>
            </w:pPr>
            <w:r>
              <w:rPr>
                <w:w w:val="98"/>
                <w:sz w:val="19"/>
              </w:rPr>
              <w:t>2</w:t>
            </w:r>
          </w:p>
        </w:tc>
        <w:tc>
          <w:tcPr>
            <w:tcW w:w="1101" w:type="dxa"/>
          </w:tcPr>
          <w:p>
            <w:pPr>
              <w:pStyle w:val="TableParagraph"/>
              <w:spacing w:before="122"/>
              <w:ind w:right="71"/>
              <w:jc w:val="right"/>
              <w:rPr>
                <w:sz w:val="19"/>
              </w:rPr>
            </w:pPr>
            <w:r>
              <w:rPr>
                <w:w w:val="95"/>
                <w:sz w:val="19"/>
              </w:rPr>
              <w:t>25</w:t>
            </w:r>
          </w:p>
        </w:tc>
        <w:tc>
          <w:tcPr>
            <w:tcW w:w="1160" w:type="dxa"/>
          </w:tcPr>
          <w:p>
            <w:pPr>
              <w:pStyle w:val="TableParagraph"/>
              <w:spacing w:before="122"/>
              <w:ind w:right="200"/>
              <w:jc w:val="right"/>
              <w:rPr>
                <w:sz w:val="19"/>
              </w:rPr>
            </w:pPr>
            <w:r>
              <w:rPr>
                <w:w w:val="98"/>
                <w:sz w:val="19"/>
              </w:rPr>
              <w:t>1</w:t>
            </w:r>
          </w:p>
        </w:tc>
      </w:tr>
      <w:tr>
        <w:trPr>
          <w:trHeight w:val="470" w:hRule="atLeast"/>
        </w:trPr>
        <w:tc>
          <w:tcPr>
            <w:tcW w:w="4135" w:type="dxa"/>
          </w:tcPr>
          <w:p>
            <w:pPr>
              <w:pStyle w:val="TableParagraph"/>
              <w:spacing w:before="122"/>
              <w:ind w:left="200"/>
              <w:rPr>
                <w:sz w:val="19"/>
              </w:rPr>
            </w:pPr>
            <w:r>
              <w:rPr>
                <w:sz w:val="19"/>
              </w:rPr>
              <w:t>The Central Surgery Barton</w:t>
            </w:r>
          </w:p>
        </w:tc>
        <w:tc>
          <w:tcPr>
            <w:tcW w:w="1198" w:type="dxa"/>
          </w:tcPr>
          <w:p>
            <w:pPr>
              <w:pStyle w:val="TableParagraph"/>
              <w:spacing w:before="122"/>
              <w:ind w:right="93"/>
              <w:jc w:val="right"/>
              <w:rPr>
                <w:sz w:val="19"/>
              </w:rPr>
            </w:pPr>
            <w:r>
              <w:rPr>
                <w:w w:val="95"/>
                <w:sz w:val="19"/>
              </w:rPr>
              <w:t>4,093</w:t>
            </w:r>
          </w:p>
        </w:tc>
        <w:tc>
          <w:tcPr>
            <w:tcW w:w="1051" w:type="dxa"/>
          </w:tcPr>
          <w:p>
            <w:pPr>
              <w:pStyle w:val="TableParagraph"/>
              <w:spacing w:before="122"/>
              <w:ind w:right="94"/>
              <w:jc w:val="right"/>
              <w:rPr>
                <w:sz w:val="19"/>
              </w:rPr>
            </w:pPr>
            <w:r>
              <w:rPr>
                <w:w w:val="98"/>
                <w:sz w:val="19"/>
              </w:rPr>
              <w:t>1</w:t>
            </w:r>
          </w:p>
        </w:tc>
        <w:tc>
          <w:tcPr>
            <w:tcW w:w="1101" w:type="dxa"/>
          </w:tcPr>
          <w:p>
            <w:pPr>
              <w:pStyle w:val="TableParagraph"/>
              <w:spacing w:before="122"/>
              <w:ind w:right="71"/>
              <w:jc w:val="right"/>
              <w:rPr>
                <w:sz w:val="19"/>
              </w:rPr>
            </w:pPr>
            <w:r>
              <w:rPr>
                <w:w w:val="95"/>
                <w:sz w:val="19"/>
              </w:rPr>
              <w:t>29</w:t>
            </w:r>
          </w:p>
        </w:tc>
        <w:tc>
          <w:tcPr>
            <w:tcW w:w="1160" w:type="dxa"/>
          </w:tcPr>
          <w:p>
            <w:pPr>
              <w:pStyle w:val="TableParagraph"/>
              <w:spacing w:before="122"/>
              <w:ind w:right="200"/>
              <w:jc w:val="right"/>
              <w:rPr>
                <w:sz w:val="19"/>
              </w:rPr>
            </w:pPr>
            <w:r>
              <w:rPr>
                <w:w w:val="98"/>
                <w:sz w:val="19"/>
              </w:rPr>
              <w:t>1</w:t>
            </w:r>
          </w:p>
        </w:tc>
      </w:tr>
      <w:tr>
        <w:trPr>
          <w:trHeight w:val="469" w:hRule="atLeast"/>
        </w:trPr>
        <w:tc>
          <w:tcPr>
            <w:tcW w:w="4135" w:type="dxa"/>
          </w:tcPr>
          <w:p>
            <w:pPr>
              <w:pStyle w:val="TableParagraph"/>
              <w:spacing w:before="122"/>
              <w:ind w:left="200"/>
              <w:rPr>
                <w:sz w:val="19"/>
              </w:rPr>
            </w:pPr>
            <w:r>
              <w:rPr>
                <w:sz w:val="19"/>
              </w:rPr>
              <w:t>Bridge Street Surgery</w:t>
            </w:r>
          </w:p>
        </w:tc>
        <w:tc>
          <w:tcPr>
            <w:tcW w:w="1198" w:type="dxa"/>
          </w:tcPr>
          <w:p>
            <w:pPr>
              <w:pStyle w:val="TableParagraph"/>
              <w:spacing w:before="122"/>
              <w:ind w:right="93"/>
              <w:jc w:val="right"/>
              <w:rPr>
                <w:sz w:val="19"/>
              </w:rPr>
            </w:pPr>
            <w:r>
              <w:rPr>
                <w:w w:val="95"/>
                <w:sz w:val="19"/>
              </w:rPr>
              <w:t>1,475</w:t>
            </w:r>
          </w:p>
        </w:tc>
        <w:tc>
          <w:tcPr>
            <w:tcW w:w="1051" w:type="dxa"/>
          </w:tcPr>
          <w:p>
            <w:pPr>
              <w:pStyle w:val="TableParagraph"/>
              <w:spacing w:before="122"/>
              <w:ind w:right="94"/>
              <w:jc w:val="right"/>
              <w:rPr>
                <w:sz w:val="19"/>
              </w:rPr>
            </w:pPr>
            <w:r>
              <w:rPr>
                <w:w w:val="98"/>
                <w:sz w:val="19"/>
              </w:rPr>
              <w:t>1</w:t>
            </w:r>
          </w:p>
        </w:tc>
        <w:tc>
          <w:tcPr>
            <w:tcW w:w="1101" w:type="dxa"/>
          </w:tcPr>
          <w:p>
            <w:pPr>
              <w:pStyle w:val="TableParagraph"/>
              <w:spacing w:before="122"/>
              <w:ind w:right="72"/>
              <w:jc w:val="right"/>
              <w:rPr>
                <w:sz w:val="19"/>
              </w:rPr>
            </w:pPr>
            <w:r>
              <w:rPr>
                <w:w w:val="98"/>
                <w:sz w:val="19"/>
              </w:rPr>
              <w:t>0</w:t>
            </w:r>
          </w:p>
        </w:tc>
        <w:tc>
          <w:tcPr>
            <w:tcW w:w="1160" w:type="dxa"/>
          </w:tcPr>
          <w:p>
            <w:pPr>
              <w:pStyle w:val="TableParagraph"/>
              <w:spacing w:before="122"/>
              <w:ind w:right="203"/>
              <w:jc w:val="right"/>
              <w:rPr>
                <w:sz w:val="19"/>
              </w:rPr>
            </w:pPr>
            <w:r>
              <w:rPr>
                <w:w w:val="98"/>
                <w:sz w:val="19"/>
              </w:rPr>
              <w:t>0</w:t>
            </w:r>
          </w:p>
        </w:tc>
      </w:tr>
      <w:tr>
        <w:trPr>
          <w:trHeight w:val="469" w:hRule="atLeast"/>
        </w:trPr>
        <w:tc>
          <w:tcPr>
            <w:tcW w:w="4135" w:type="dxa"/>
          </w:tcPr>
          <w:p>
            <w:pPr>
              <w:pStyle w:val="TableParagraph"/>
              <w:spacing w:before="121"/>
              <w:ind w:left="200"/>
              <w:rPr>
                <w:sz w:val="19"/>
              </w:rPr>
            </w:pPr>
            <w:r>
              <w:rPr>
                <w:sz w:val="19"/>
              </w:rPr>
              <w:t>Trent View Medical Practice</w:t>
            </w:r>
          </w:p>
        </w:tc>
        <w:tc>
          <w:tcPr>
            <w:tcW w:w="1198" w:type="dxa"/>
          </w:tcPr>
          <w:p>
            <w:pPr>
              <w:pStyle w:val="TableParagraph"/>
              <w:spacing w:before="121"/>
              <w:ind w:right="93"/>
              <w:jc w:val="right"/>
              <w:rPr>
                <w:sz w:val="19"/>
              </w:rPr>
            </w:pPr>
            <w:r>
              <w:rPr>
                <w:w w:val="95"/>
                <w:sz w:val="19"/>
              </w:rPr>
              <w:t>2,317</w:t>
            </w:r>
          </w:p>
        </w:tc>
        <w:tc>
          <w:tcPr>
            <w:tcW w:w="1051" w:type="dxa"/>
          </w:tcPr>
          <w:p>
            <w:pPr>
              <w:pStyle w:val="TableParagraph"/>
              <w:spacing w:before="121"/>
              <w:ind w:right="94"/>
              <w:jc w:val="right"/>
              <w:rPr>
                <w:sz w:val="19"/>
              </w:rPr>
            </w:pPr>
            <w:r>
              <w:rPr>
                <w:w w:val="98"/>
                <w:sz w:val="19"/>
              </w:rPr>
              <w:t>2</w:t>
            </w:r>
          </w:p>
        </w:tc>
        <w:tc>
          <w:tcPr>
            <w:tcW w:w="1101" w:type="dxa"/>
          </w:tcPr>
          <w:p>
            <w:pPr>
              <w:pStyle w:val="TableParagraph"/>
              <w:spacing w:before="121"/>
              <w:ind w:right="72"/>
              <w:jc w:val="right"/>
              <w:rPr>
                <w:sz w:val="19"/>
              </w:rPr>
            </w:pPr>
            <w:r>
              <w:rPr>
                <w:w w:val="98"/>
                <w:sz w:val="19"/>
              </w:rPr>
              <w:t>0</w:t>
            </w:r>
          </w:p>
        </w:tc>
        <w:tc>
          <w:tcPr>
            <w:tcW w:w="1160" w:type="dxa"/>
          </w:tcPr>
          <w:p>
            <w:pPr>
              <w:pStyle w:val="TableParagraph"/>
              <w:spacing w:before="121"/>
              <w:ind w:right="203"/>
              <w:jc w:val="right"/>
              <w:rPr>
                <w:sz w:val="19"/>
              </w:rPr>
            </w:pPr>
            <w:r>
              <w:rPr>
                <w:w w:val="98"/>
                <w:sz w:val="19"/>
              </w:rPr>
              <w:t>1</w:t>
            </w:r>
          </w:p>
        </w:tc>
      </w:tr>
      <w:tr>
        <w:trPr>
          <w:trHeight w:val="470" w:hRule="atLeast"/>
        </w:trPr>
        <w:tc>
          <w:tcPr>
            <w:tcW w:w="4135" w:type="dxa"/>
          </w:tcPr>
          <w:p>
            <w:pPr>
              <w:pStyle w:val="TableParagraph"/>
              <w:spacing w:before="122"/>
              <w:ind w:left="200"/>
              <w:rPr>
                <w:sz w:val="19"/>
              </w:rPr>
            </w:pPr>
            <w:r>
              <w:rPr>
                <w:sz w:val="19"/>
              </w:rPr>
              <w:t>The Birches Medical Practice</w:t>
            </w:r>
          </w:p>
        </w:tc>
        <w:tc>
          <w:tcPr>
            <w:tcW w:w="1198" w:type="dxa"/>
          </w:tcPr>
          <w:p>
            <w:pPr>
              <w:pStyle w:val="TableParagraph"/>
              <w:spacing w:before="122"/>
              <w:ind w:right="93"/>
              <w:jc w:val="right"/>
              <w:rPr>
                <w:sz w:val="19"/>
              </w:rPr>
            </w:pPr>
            <w:r>
              <w:rPr>
                <w:w w:val="95"/>
                <w:sz w:val="19"/>
              </w:rPr>
              <w:t>1,069</w:t>
            </w:r>
          </w:p>
        </w:tc>
        <w:tc>
          <w:tcPr>
            <w:tcW w:w="1051" w:type="dxa"/>
          </w:tcPr>
          <w:p>
            <w:pPr>
              <w:pStyle w:val="TableParagraph"/>
              <w:spacing w:before="122"/>
              <w:ind w:right="94"/>
              <w:jc w:val="right"/>
              <w:rPr>
                <w:sz w:val="19"/>
              </w:rPr>
            </w:pPr>
            <w:r>
              <w:rPr>
                <w:w w:val="98"/>
                <w:sz w:val="19"/>
              </w:rPr>
              <w:t>1</w:t>
            </w:r>
          </w:p>
        </w:tc>
        <w:tc>
          <w:tcPr>
            <w:tcW w:w="1101" w:type="dxa"/>
          </w:tcPr>
          <w:p>
            <w:pPr>
              <w:pStyle w:val="TableParagraph"/>
              <w:spacing w:before="122"/>
              <w:ind w:right="72"/>
              <w:jc w:val="right"/>
              <w:rPr>
                <w:sz w:val="19"/>
              </w:rPr>
            </w:pPr>
            <w:r>
              <w:rPr>
                <w:w w:val="98"/>
                <w:sz w:val="19"/>
              </w:rPr>
              <w:t>0</w:t>
            </w:r>
          </w:p>
        </w:tc>
        <w:tc>
          <w:tcPr>
            <w:tcW w:w="1160" w:type="dxa"/>
          </w:tcPr>
          <w:p>
            <w:pPr>
              <w:pStyle w:val="TableParagraph"/>
              <w:spacing w:before="122"/>
              <w:ind w:right="200"/>
              <w:jc w:val="right"/>
              <w:rPr>
                <w:sz w:val="19"/>
              </w:rPr>
            </w:pPr>
            <w:r>
              <w:rPr>
                <w:w w:val="98"/>
                <w:sz w:val="19"/>
              </w:rPr>
              <w:t>1</w:t>
            </w:r>
          </w:p>
        </w:tc>
      </w:tr>
      <w:tr>
        <w:trPr>
          <w:trHeight w:val="470" w:hRule="atLeast"/>
        </w:trPr>
        <w:tc>
          <w:tcPr>
            <w:tcW w:w="4135" w:type="dxa"/>
          </w:tcPr>
          <w:p>
            <w:pPr>
              <w:pStyle w:val="TableParagraph"/>
              <w:spacing w:before="122"/>
              <w:ind w:left="200"/>
              <w:rPr>
                <w:sz w:val="19"/>
              </w:rPr>
            </w:pPr>
            <w:r>
              <w:rPr>
                <w:sz w:val="19"/>
              </w:rPr>
              <w:t>Market Hill 8 to 8 Centre</w:t>
            </w:r>
          </w:p>
        </w:tc>
        <w:tc>
          <w:tcPr>
            <w:tcW w:w="1198" w:type="dxa"/>
          </w:tcPr>
          <w:p>
            <w:pPr>
              <w:pStyle w:val="TableParagraph"/>
              <w:spacing w:before="122"/>
              <w:ind w:right="93"/>
              <w:jc w:val="right"/>
              <w:rPr>
                <w:sz w:val="19"/>
              </w:rPr>
            </w:pPr>
            <w:r>
              <w:rPr>
                <w:w w:val="95"/>
                <w:sz w:val="19"/>
              </w:rPr>
              <w:t>692</w:t>
            </w:r>
          </w:p>
        </w:tc>
        <w:tc>
          <w:tcPr>
            <w:tcW w:w="1051" w:type="dxa"/>
          </w:tcPr>
          <w:p>
            <w:pPr>
              <w:pStyle w:val="TableParagraph"/>
              <w:spacing w:before="122"/>
              <w:ind w:right="94"/>
              <w:jc w:val="right"/>
              <w:rPr>
                <w:sz w:val="19"/>
              </w:rPr>
            </w:pPr>
            <w:r>
              <w:rPr>
                <w:w w:val="98"/>
                <w:sz w:val="19"/>
              </w:rPr>
              <w:t>1</w:t>
            </w:r>
          </w:p>
        </w:tc>
        <w:tc>
          <w:tcPr>
            <w:tcW w:w="1101" w:type="dxa"/>
          </w:tcPr>
          <w:p>
            <w:pPr>
              <w:pStyle w:val="TableParagraph"/>
              <w:spacing w:before="122"/>
              <w:ind w:right="70"/>
              <w:jc w:val="right"/>
              <w:rPr>
                <w:sz w:val="19"/>
              </w:rPr>
            </w:pPr>
            <w:r>
              <w:rPr>
                <w:w w:val="98"/>
                <w:sz w:val="19"/>
              </w:rPr>
              <w:t>0</w:t>
            </w:r>
          </w:p>
        </w:tc>
        <w:tc>
          <w:tcPr>
            <w:tcW w:w="1160" w:type="dxa"/>
          </w:tcPr>
          <w:p>
            <w:pPr>
              <w:pStyle w:val="TableParagraph"/>
              <w:spacing w:before="122"/>
              <w:ind w:right="200"/>
              <w:jc w:val="right"/>
              <w:rPr>
                <w:sz w:val="19"/>
              </w:rPr>
            </w:pPr>
            <w:r>
              <w:rPr>
                <w:w w:val="98"/>
                <w:sz w:val="19"/>
              </w:rPr>
              <w:t>1</w:t>
            </w:r>
          </w:p>
        </w:tc>
      </w:tr>
      <w:tr>
        <w:trPr>
          <w:trHeight w:val="470" w:hRule="atLeast"/>
        </w:trPr>
        <w:tc>
          <w:tcPr>
            <w:tcW w:w="4135" w:type="dxa"/>
          </w:tcPr>
          <w:p>
            <w:pPr>
              <w:pStyle w:val="TableParagraph"/>
              <w:spacing w:before="122"/>
              <w:ind w:left="200"/>
              <w:rPr>
                <w:sz w:val="19"/>
              </w:rPr>
            </w:pPr>
            <w:r>
              <w:rPr>
                <w:sz w:val="19"/>
              </w:rPr>
              <w:t>Church Lane Medical Centre</w:t>
            </w:r>
          </w:p>
        </w:tc>
        <w:tc>
          <w:tcPr>
            <w:tcW w:w="1198" w:type="dxa"/>
          </w:tcPr>
          <w:p>
            <w:pPr>
              <w:pStyle w:val="TableParagraph"/>
              <w:spacing w:before="122"/>
              <w:ind w:right="93"/>
              <w:jc w:val="right"/>
              <w:rPr>
                <w:sz w:val="19"/>
              </w:rPr>
            </w:pPr>
            <w:r>
              <w:rPr>
                <w:w w:val="95"/>
                <w:sz w:val="19"/>
              </w:rPr>
              <w:t>1,247</w:t>
            </w:r>
          </w:p>
        </w:tc>
        <w:tc>
          <w:tcPr>
            <w:tcW w:w="1051" w:type="dxa"/>
          </w:tcPr>
          <w:p>
            <w:pPr>
              <w:pStyle w:val="TableParagraph"/>
              <w:spacing w:before="122"/>
              <w:ind w:right="94"/>
              <w:jc w:val="right"/>
              <w:rPr>
                <w:sz w:val="19"/>
              </w:rPr>
            </w:pPr>
            <w:r>
              <w:rPr>
                <w:w w:val="98"/>
                <w:sz w:val="19"/>
              </w:rPr>
              <w:t>1</w:t>
            </w:r>
          </w:p>
        </w:tc>
        <w:tc>
          <w:tcPr>
            <w:tcW w:w="1101" w:type="dxa"/>
          </w:tcPr>
          <w:p>
            <w:pPr>
              <w:pStyle w:val="TableParagraph"/>
              <w:spacing w:before="122"/>
              <w:ind w:right="72"/>
              <w:jc w:val="right"/>
              <w:rPr>
                <w:sz w:val="19"/>
              </w:rPr>
            </w:pPr>
            <w:r>
              <w:rPr>
                <w:w w:val="98"/>
                <w:sz w:val="19"/>
              </w:rPr>
              <w:t>0</w:t>
            </w:r>
          </w:p>
        </w:tc>
        <w:tc>
          <w:tcPr>
            <w:tcW w:w="1160" w:type="dxa"/>
          </w:tcPr>
          <w:p>
            <w:pPr>
              <w:pStyle w:val="TableParagraph"/>
              <w:spacing w:before="122"/>
              <w:ind w:right="200"/>
              <w:jc w:val="right"/>
              <w:rPr>
                <w:sz w:val="19"/>
              </w:rPr>
            </w:pPr>
            <w:r>
              <w:rPr>
                <w:w w:val="98"/>
                <w:sz w:val="19"/>
              </w:rPr>
              <w:t>1</w:t>
            </w:r>
          </w:p>
        </w:tc>
      </w:tr>
      <w:tr>
        <w:trPr>
          <w:trHeight w:val="460" w:hRule="atLeast"/>
        </w:trPr>
        <w:tc>
          <w:tcPr>
            <w:tcW w:w="4135" w:type="dxa"/>
          </w:tcPr>
          <w:p>
            <w:pPr>
              <w:pStyle w:val="TableParagraph"/>
              <w:spacing w:before="122"/>
              <w:ind w:left="200"/>
              <w:rPr>
                <w:sz w:val="19"/>
              </w:rPr>
            </w:pPr>
            <w:r>
              <w:rPr>
                <w:sz w:val="19"/>
              </w:rPr>
              <w:t>The Oswald Road Medical Surgery</w:t>
            </w:r>
          </w:p>
        </w:tc>
        <w:tc>
          <w:tcPr>
            <w:tcW w:w="1198" w:type="dxa"/>
          </w:tcPr>
          <w:p>
            <w:pPr>
              <w:pStyle w:val="TableParagraph"/>
              <w:spacing w:before="122"/>
              <w:ind w:right="93"/>
              <w:jc w:val="right"/>
              <w:rPr>
                <w:sz w:val="19"/>
              </w:rPr>
            </w:pPr>
            <w:r>
              <w:rPr>
                <w:w w:val="95"/>
                <w:sz w:val="19"/>
              </w:rPr>
              <w:t>1,738</w:t>
            </w:r>
          </w:p>
        </w:tc>
        <w:tc>
          <w:tcPr>
            <w:tcW w:w="1051" w:type="dxa"/>
          </w:tcPr>
          <w:p>
            <w:pPr>
              <w:pStyle w:val="TableParagraph"/>
              <w:spacing w:before="122"/>
              <w:ind w:right="94"/>
              <w:jc w:val="right"/>
              <w:rPr>
                <w:sz w:val="19"/>
              </w:rPr>
            </w:pPr>
            <w:r>
              <w:rPr>
                <w:w w:val="98"/>
                <w:sz w:val="19"/>
              </w:rPr>
              <w:t>1</w:t>
            </w:r>
          </w:p>
        </w:tc>
        <w:tc>
          <w:tcPr>
            <w:tcW w:w="1101" w:type="dxa"/>
          </w:tcPr>
          <w:p>
            <w:pPr>
              <w:pStyle w:val="TableParagraph"/>
              <w:spacing w:before="122"/>
              <w:ind w:right="71"/>
              <w:jc w:val="right"/>
              <w:rPr>
                <w:sz w:val="19"/>
              </w:rPr>
            </w:pPr>
            <w:r>
              <w:rPr>
                <w:w w:val="95"/>
                <w:sz w:val="19"/>
              </w:rPr>
              <w:t>10</w:t>
            </w:r>
          </w:p>
        </w:tc>
        <w:tc>
          <w:tcPr>
            <w:tcW w:w="1160" w:type="dxa"/>
          </w:tcPr>
          <w:p>
            <w:pPr>
              <w:pStyle w:val="TableParagraph"/>
              <w:spacing w:before="122"/>
              <w:ind w:right="200"/>
              <w:jc w:val="right"/>
              <w:rPr>
                <w:sz w:val="19"/>
              </w:rPr>
            </w:pPr>
            <w:r>
              <w:rPr>
                <w:w w:val="98"/>
                <w:sz w:val="19"/>
              </w:rPr>
              <w:t>1</w:t>
            </w:r>
          </w:p>
        </w:tc>
      </w:tr>
      <w:tr>
        <w:trPr>
          <w:trHeight w:val="331" w:hRule="atLeast"/>
        </w:trPr>
        <w:tc>
          <w:tcPr>
            <w:tcW w:w="4135" w:type="dxa"/>
          </w:tcPr>
          <w:p>
            <w:pPr>
              <w:pStyle w:val="TableParagraph"/>
              <w:spacing w:line="198" w:lineRule="exact" w:before="113"/>
              <w:ind w:left="200"/>
              <w:rPr>
                <w:sz w:val="19"/>
              </w:rPr>
            </w:pPr>
            <w:r>
              <w:rPr>
                <w:sz w:val="19"/>
              </w:rPr>
              <w:t>South Axholme Practice</w:t>
            </w:r>
          </w:p>
        </w:tc>
        <w:tc>
          <w:tcPr>
            <w:tcW w:w="1198" w:type="dxa"/>
          </w:tcPr>
          <w:p>
            <w:pPr>
              <w:pStyle w:val="TableParagraph"/>
              <w:spacing w:line="198" w:lineRule="exact" w:before="113"/>
              <w:ind w:right="91"/>
              <w:jc w:val="right"/>
              <w:rPr>
                <w:sz w:val="19"/>
              </w:rPr>
            </w:pPr>
            <w:r>
              <w:rPr>
                <w:w w:val="95"/>
                <w:sz w:val="19"/>
              </w:rPr>
              <w:t>3,359</w:t>
            </w:r>
          </w:p>
        </w:tc>
        <w:tc>
          <w:tcPr>
            <w:tcW w:w="1051" w:type="dxa"/>
          </w:tcPr>
          <w:p>
            <w:pPr>
              <w:pStyle w:val="TableParagraph"/>
              <w:spacing w:line="198" w:lineRule="exact" w:before="113"/>
              <w:ind w:right="94"/>
              <w:jc w:val="right"/>
              <w:rPr>
                <w:sz w:val="19"/>
              </w:rPr>
            </w:pPr>
            <w:r>
              <w:rPr>
                <w:w w:val="98"/>
                <w:sz w:val="19"/>
              </w:rPr>
              <w:t>4</w:t>
            </w:r>
          </w:p>
        </w:tc>
        <w:tc>
          <w:tcPr>
            <w:tcW w:w="1101" w:type="dxa"/>
          </w:tcPr>
          <w:p>
            <w:pPr>
              <w:pStyle w:val="TableParagraph"/>
              <w:spacing w:line="198" w:lineRule="exact" w:before="113"/>
              <w:ind w:right="72"/>
              <w:jc w:val="right"/>
              <w:rPr>
                <w:sz w:val="19"/>
              </w:rPr>
            </w:pPr>
            <w:r>
              <w:rPr>
                <w:w w:val="98"/>
                <w:sz w:val="19"/>
              </w:rPr>
              <w:t>0</w:t>
            </w:r>
          </w:p>
        </w:tc>
        <w:tc>
          <w:tcPr>
            <w:tcW w:w="1160" w:type="dxa"/>
          </w:tcPr>
          <w:p>
            <w:pPr>
              <w:pStyle w:val="TableParagraph"/>
              <w:spacing w:line="198" w:lineRule="exact" w:before="113"/>
              <w:ind w:right="200"/>
              <w:jc w:val="right"/>
              <w:rPr>
                <w:sz w:val="19"/>
              </w:rPr>
            </w:pPr>
            <w:r>
              <w:rPr>
                <w:w w:val="98"/>
                <w:sz w:val="19"/>
              </w:rPr>
              <w:t>0</w:t>
            </w:r>
          </w:p>
        </w:tc>
      </w:tr>
    </w:tbl>
    <w:p>
      <w:pPr>
        <w:spacing w:after="0" w:line="198" w:lineRule="exact"/>
        <w:jc w:val="right"/>
        <w:rPr>
          <w:sz w:val="19"/>
        </w:rPr>
        <w:sectPr>
          <w:footerReference w:type="default" r:id="rId61"/>
          <w:pgSz w:w="11920" w:h="16850"/>
          <w:pgMar w:footer="349" w:header="0" w:top="1000" w:bottom="540" w:left="740" w:right="520"/>
          <w:pgNumType w:start="24"/>
        </w:sectPr>
      </w:pPr>
    </w:p>
    <w:p>
      <w:pPr>
        <w:spacing w:before="72"/>
        <w:ind w:left="315" w:right="0" w:firstLine="0"/>
        <w:jc w:val="left"/>
        <w:rPr>
          <w:sz w:val="11"/>
        </w:rPr>
      </w:pPr>
      <w:r>
        <w:rPr>
          <w:sz w:val="11"/>
        </w:rPr>
        <w:t>NHS North Lincolnshire CCG - Annual Accounts 2021-22</w:t>
      </w:r>
    </w:p>
    <w:p>
      <w:pPr>
        <w:pStyle w:val="BodyText"/>
        <w:spacing w:before="9"/>
        <w:rPr>
          <w:sz w:val="12"/>
        </w:rPr>
      </w:pPr>
    </w:p>
    <w:p>
      <w:pPr>
        <w:spacing w:before="0"/>
        <w:ind w:left="315" w:right="0" w:firstLine="0"/>
        <w:jc w:val="left"/>
        <w:rPr>
          <w:b/>
          <w:sz w:val="11"/>
        </w:rPr>
      </w:pPr>
      <w:r>
        <w:rPr>
          <w:b/>
          <w:sz w:val="11"/>
        </w:rPr>
        <w:t>15 Related party transactions cont'd</w:t>
      </w:r>
    </w:p>
    <w:p>
      <w:pPr>
        <w:pStyle w:val="BodyText"/>
        <w:spacing w:before="6"/>
        <w:rPr>
          <w:b/>
          <w:sz w:val="17"/>
        </w:rPr>
      </w:pPr>
    </w:p>
    <w:p>
      <w:pPr>
        <w:spacing w:before="1"/>
        <w:ind w:left="315" w:right="0" w:firstLine="0"/>
        <w:jc w:val="left"/>
        <w:rPr>
          <w:b/>
          <w:sz w:val="11"/>
        </w:rPr>
      </w:pPr>
      <w:r>
        <w:rPr>
          <w:b/>
          <w:sz w:val="11"/>
        </w:rPr>
        <w:t>Details of related party transactions with individuals in 2020/21 are as follows:</w:t>
      </w:r>
    </w:p>
    <w:p>
      <w:pPr>
        <w:pStyle w:val="BodyText"/>
        <w:spacing w:before="3"/>
        <w:rPr>
          <w:b/>
          <w:sz w:val="11"/>
        </w:rPr>
      </w:pPr>
    </w:p>
    <w:p>
      <w:pPr>
        <w:spacing w:before="0"/>
        <w:ind w:left="6181" w:right="0" w:firstLine="0"/>
        <w:jc w:val="left"/>
        <w:rPr>
          <w:b/>
          <w:sz w:val="11"/>
        </w:rPr>
      </w:pPr>
      <w:r>
        <w:rPr>
          <w:b/>
          <w:sz w:val="11"/>
        </w:rPr>
        <w:t>Receipts Amounts Amounts</w:t>
      </w:r>
    </w:p>
    <w:p>
      <w:pPr>
        <w:spacing w:after="0"/>
        <w:jc w:val="left"/>
        <w:rPr>
          <w:sz w:val="11"/>
        </w:rPr>
        <w:sectPr>
          <w:pgSz w:w="11920" w:h="16850"/>
          <w:pgMar w:header="0" w:footer="349" w:top="1000" w:bottom="540" w:left="740" w:right="520"/>
        </w:sectPr>
      </w:pPr>
    </w:p>
    <w:p>
      <w:pPr>
        <w:pStyle w:val="BodyText"/>
        <w:spacing w:before="8"/>
        <w:rPr>
          <w:b/>
          <w:sz w:val="13"/>
        </w:rPr>
      </w:pPr>
    </w:p>
    <w:p>
      <w:pPr>
        <w:spacing w:before="0"/>
        <w:ind w:left="0" w:right="0" w:firstLine="0"/>
        <w:jc w:val="right"/>
        <w:rPr>
          <w:b/>
          <w:sz w:val="11"/>
        </w:rPr>
      </w:pPr>
      <w:r>
        <w:rPr>
          <w:b/>
          <w:sz w:val="11"/>
        </w:rPr>
        <w:t>Payments to</w:t>
      </w:r>
    </w:p>
    <w:p>
      <w:pPr>
        <w:spacing w:line="268" w:lineRule="auto" w:before="16"/>
        <w:ind w:left="84" w:right="-15" w:firstLine="76"/>
        <w:jc w:val="left"/>
        <w:rPr>
          <w:b/>
          <w:sz w:val="11"/>
        </w:rPr>
      </w:pPr>
      <w:r>
        <w:rPr/>
        <w:br w:type="column"/>
      </w:r>
      <w:r>
        <w:rPr>
          <w:b/>
          <w:sz w:val="11"/>
        </w:rPr>
        <w:t>from Related</w:t>
      </w:r>
    </w:p>
    <w:p>
      <w:pPr>
        <w:spacing w:line="268" w:lineRule="auto" w:before="16"/>
        <w:ind w:left="110" w:right="-17" w:hanging="10"/>
        <w:jc w:val="left"/>
        <w:rPr>
          <w:b/>
          <w:sz w:val="11"/>
        </w:rPr>
      </w:pPr>
      <w:r>
        <w:rPr/>
        <w:br w:type="column"/>
      </w:r>
      <w:r>
        <w:rPr>
          <w:b/>
          <w:sz w:val="11"/>
        </w:rPr>
        <w:t>owed to Related</w:t>
      </w:r>
    </w:p>
    <w:p>
      <w:pPr>
        <w:spacing w:line="268" w:lineRule="auto" w:before="16"/>
        <w:ind w:left="108" w:right="2884" w:hanging="36"/>
        <w:jc w:val="left"/>
        <w:rPr>
          <w:b/>
          <w:sz w:val="11"/>
        </w:rPr>
      </w:pPr>
      <w:r>
        <w:rPr/>
        <w:br w:type="column"/>
      </w:r>
      <w:r>
        <w:rPr>
          <w:b/>
          <w:sz w:val="11"/>
        </w:rPr>
        <w:t>due from Related</w:t>
      </w:r>
    </w:p>
    <w:p>
      <w:pPr>
        <w:spacing w:after="0" w:line="268" w:lineRule="auto"/>
        <w:jc w:val="left"/>
        <w:rPr>
          <w:sz w:val="11"/>
        </w:rPr>
        <w:sectPr>
          <w:type w:val="continuous"/>
          <w:pgSz w:w="11920" w:h="16850"/>
          <w:pgMar w:top="1600" w:bottom="560" w:left="740" w:right="520"/>
          <w:cols w:num="4" w:equalWidth="0">
            <w:col w:w="6089" w:space="40"/>
            <w:col w:w="487" w:space="39"/>
            <w:col w:w="519" w:space="39"/>
            <w:col w:w="3447"/>
          </w:cols>
        </w:sectPr>
      </w:pPr>
    </w:p>
    <w:p>
      <w:pPr>
        <w:pStyle w:val="BodyText"/>
        <w:spacing w:before="5"/>
        <w:rPr>
          <w:b/>
          <w:sz w:val="24"/>
        </w:rPr>
      </w:pPr>
    </w:p>
    <w:tbl>
      <w:tblPr>
        <w:tblW w:w="0" w:type="auto"/>
        <w:jc w:val="left"/>
        <w:tblInd w:w="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85"/>
        <w:gridCol w:w="705"/>
        <w:gridCol w:w="352"/>
        <w:gridCol w:w="548"/>
        <w:gridCol w:w="312"/>
        <w:gridCol w:w="481"/>
      </w:tblGrid>
      <w:tr>
        <w:trPr>
          <w:trHeight w:val="382" w:hRule="atLeast"/>
        </w:trPr>
        <w:tc>
          <w:tcPr>
            <w:tcW w:w="5990" w:type="dxa"/>
            <w:gridSpan w:val="2"/>
          </w:tcPr>
          <w:p>
            <w:pPr>
              <w:pStyle w:val="TableParagraph"/>
              <w:spacing w:line="123" w:lineRule="exact"/>
              <w:ind w:left="5183" w:right="62"/>
              <w:jc w:val="center"/>
              <w:rPr>
                <w:b/>
                <w:sz w:val="11"/>
              </w:rPr>
            </w:pPr>
            <w:r>
              <w:rPr>
                <w:b/>
                <w:sz w:val="11"/>
              </w:rPr>
              <w:t>Related Party</w:t>
            </w:r>
          </w:p>
          <w:p>
            <w:pPr>
              <w:pStyle w:val="TableParagraph"/>
              <w:spacing w:before="10"/>
              <w:ind w:left="5183" w:right="47"/>
              <w:jc w:val="center"/>
              <w:rPr>
                <w:b/>
                <w:sz w:val="11"/>
              </w:rPr>
            </w:pPr>
            <w:r>
              <w:rPr>
                <w:b/>
                <w:sz w:val="11"/>
              </w:rPr>
              <w:t>£'000</w:t>
            </w:r>
          </w:p>
        </w:tc>
        <w:tc>
          <w:tcPr>
            <w:tcW w:w="352" w:type="dxa"/>
          </w:tcPr>
          <w:p>
            <w:pPr>
              <w:pStyle w:val="TableParagraph"/>
              <w:spacing w:line="123" w:lineRule="exact"/>
              <w:ind w:left="79" w:right="-15"/>
              <w:rPr>
                <w:b/>
                <w:sz w:val="11"/>
              </w:rPr>
            </w:pPr>
            <w:r>
              <w:rPr>
                <w:b/>
                <w:sz w:val="11"/>
              </w:rPr>
              <w:t>Party</w:t>
            </w:r>
          </w:p>
          <w:p>
            <w:pPr>
              <w:pStyle w:val="TableParagraph"/>
              <w:spacing w:before="10"/>
              <w:ind w:left="86" w:right="-15"/>
              <w:rPr>
                <w:b/>
                <w:sz w:val="11"/>
              </w:rPr>
            </w:pPr>
            <w:r>
              <w:rPr>
                <w:b/>
                <w:sz w:val="11"/>
              </w:rPr>
              <w:t>£'000</w:t>
            </w:r>
          </w:p>
        </w:tc>
        <w:tc>
          <w:tcPr>
            <w:tcW w:w="548" w:type="dxa"/>
          </w:tcPr>
          <w:p>
            <w:pPr>
              <w:pStyle w:val="TableParagraph"/>
              <w:spacing w:line="123" w:lineRule="exact"/>
              <w:ind w:left="279" w:right="-15"/>
              <w:rPr>
                <w:b/>
                <w:sz w:val="11"/>
              </w:rPr>
            </w:pPr>
            <w:r>
              <w:rPr>
                <w:b/>
                <w:sz w:val="11"/>
              </w:rPr>
              <w:t>Party</w:t>
            </w:r>
          </w:p>
          <w:p>
            <w:pPr>
              <w:pStyle w:val="TableParagraph"/>
              <w:spacing w:before="10"/>
              <w:ind w:left="286" w:right="-15"/>
              <w:rPr>
                <w:b/>
                <w:sz w:val="11"/>
              </w:rPr>
            </w:pPr>
            <w:r>
              <w:rPr>
                <w:b/>
                <w:sz w:val="11"/>
              </w:rPr>
              <w:t>£'000</w:t>
            </w:r>
          </w:p>
        </w:tc>
        <w:tc>
          <w:tcPr>
            <w:tcW w:w="312" w:type="dxa"/>
          </w:tcPr>
          <w:p>
            <w:pPr>
              <w:pStyle w:val="TableParagraph"/>
              <w:rPr>
                <w:rFonts w:ascii="Times New Roman"/>
                <w:sz w:val="10"/>
              </w:rPr>
            </w:pPr>
          </w:p>
        </w:tc>
        <w:tc>
          <w:tcPr>
            <w:tcW w:w="481" w:type="dxa"/>
          </w:tcPr>
          <w:p>
            <w:pPr>
              <w:pStyle w:val="TableParagraph"/>
              <w:spacing w:line="123" w:lineRule="exact"/>
              <w:ind w:left="-24"/>
              <w:rPr>
                <w:b/>
                <w:sz w:val="11"/>
              </w:rPr>
            </w:pPr>
            <w:r>
              <w:rPr>
                <w:b/>
                <w:sz w:val="11"/>
              </w:rPr>
              <w:t>Party</w:t>
            </w:r>
          </w:p>
          <w:p>
            <w:pPr>
              <w:pStyle w:val="TableParagraph"/>
              <w:spacing w:before="10"/>
              <w:ind w:left="-17"/>
              <w:rPr>
                <w:b/>
                <w:sz w:val="11"/>
              </w:rPr>
            </w:pPr>
            <w:r>
              <w:rPr>
                <w:b/>
                <w:sz w:val="11"/>
              </w:rPr>
              <w:t>£'000</w:t>
            </w:r>
          </w:p>
        </w:tc>
      </w:tr>
      <w:tr>
        <w:trPr>
          <w:trHeight w:val="261" w:hRule="atLeast"/>
        </w:trPr>
        <w:tc>
          <w:tcPr>
            <w:tcW w:w="5285" w:type="dxa"/>
          </w:tcPr>
          <w:p>
            <w:pPr>
              <w:pStyle w:val="TableParagraph"/>
              <w:spacing w:before="3"/>
              <w:rPr>
                <w:b/>
                <w:sz w:val="10"/>
              </w:rPr>
            </w:pPr>
          </w:p>
          <w:p>
            <w:pPr>
              <w:pStyle w:val="TableParagraph"/>
              <w:spacing w:line="123" w:lineRule="exact"/>
              <w:ind w:left="110"/>
              <w:rPr>
                <w:b/>
                <w:sz w:val="11"/>
              </w:rPr>
            </w:pPr>
            <w:r>
              <w:rPr>
                <w:b/>
                <w:sz w:val="11"/>
              </w:rPr>
              <w:t>Dr Faisel Baig</w:t>
            </w:r>
          </w:p>
        </w:tc>
        <w:tc>
          <w:tcPr>
            <w:tcW w:w="705" w:type="dxa"/>
          </w:tcPr>
          <w:p>
            <w:pPr>
              <w:pStyle w:val="TableParagraph"/>
              <w:rPr>
                <w:rFonts w:ascii="Times New Roman"/>
                <w:sz w:val="10"/>
              </w:rPr>
            </w:pPr>
          </w:p>
        </w:tc>
        <w:tc>
          <w:tcPr>
            <w:tcW w:w="352" w:type="dxa"/>
          </w:tcPr>
          <w:p>
            <w:pPr>
              <w:pStyle w:val="TableParagraph"/>
              <w:rPr>
                <w:rFonts w:ascii="Times New Roman"/>
                <w:sz w:val="10"/>
              </w:rPr>
            </w:pPr>
          </w:p>
        </w:tc>
        <w:tc>
          <w:tcPr>
            <w:tcW w:w="548" w:type="dxa"/>
          </w:tcPr>
          <w:p>
            <w:pPr>
              <w:pStyle w:val="TableParagraph"/>
              <w:rPr>
                <w:rFonts w:ascii="Times New Roman"/>
                <w:sz w:val="10"/>
              </w:rPr>
            </w:pPr>
          </w:p>
        </w:tc>
        <w:tc>
          <w:tcPr>
            <w:tcW w:w="312" w:type="dxa"/>
          </w:tcPr>
          <w:p>
            <w:pPr>
              <w:pStyle w:val="TableParagraph"/>
              <w:rPr>
                <w:rFonts w:ascii="Times New Roman"/>
                <w:sz w:val="10"/>
              </w:rPr>
            </w:pPr>
          </w:p>
        </w:tc>
        <w:tc>
          <w:tcPr>
            <w:tcW w:w="481" w:type="dxa"/>
          </w:tcPr>
          <w:p>
            <w:pPr>
              <w:pStyle w:val="TableParagraph"/>
              <w:rPr>
                <w:rFonts w:ascii="Times New Roman"/>
                <w:sz w:val="10"/>
              </w:rPr>
            </w:pPr>
          </w:p>
        </w:tc>
      </w:tr>
      <w:tr>
        <w:trPr>
          <w:trHeight w:val="272" w:hRule="atLeast"/>
        </w:trPr>
        <w:tc>
          <w:tcPr>
            <w:tcW w:w="5285" w:type="dxa"/>
          </w:tcPr>
          <w:p>
            <w:pPr>
              <w:pStyle w:val="TableParagraph"/>
              <w:spacing w:before="13"/>
              <w:ind w:left="110"/>
              <w:rPr>
                <w:b/>
                <w:sz w:val="11"/>
              </w:rPr>
            </w:pPr>
            <w:r>
              <w:rPr>
                <w:b/>
                <w:sz w:val="11"/>
              </w:rPr>
              <w:t>CCG Chair</w:t>
            </w:r>
          </w:p>
          <w:p>
            <w:pPr>
              <w:pStyle w:val="TableParagraph"/>
              <w:spacing w:line="112" w:lineRule="exact" w:before="1"/>
              <w:ind w:left="110"/>
              <w:rPr>
                <w:sz w:val="11"/>
              </w:rPr>
            </w:pPr>
            <w:r>
              <w:rPr>
                <w:sz w:val="11"/>
              </w:rPr>
              <w:t>Out of Hours GP - Core Care Links</w:t>
            </w:r>
          </w:p>
        </w:tc>
        <w:tc>
          <w:tcPr>
            <w:tcW w:w="705" w:type="dxa"/>
          </w:tcPr>
          <w:p>
            <w:pPr>
              <w:pStyle w:val="TableParagraph"/>
              <w:spacing w:before="11"/>
              <w:rPr>
                <w:b/>
                <w:sz w:val="11"/>
              </w:rPr>
            </w:pPr>
          </w:p>
          <w:p>
            <w:pPr>
              <w:pStyle w:val="TableParagraph"/>
              <w:spacing w:line="115" w:lineRule="exact"/>
              <w:ind w:right="81"/>
              <w:jc w:val="right"/>
              <w:rPr>
                <w:sz w:val="11"/>
              </w:rPr>
            </w:pPr>
            <w:r>
              <w:rPr>
                <w:sz w:val="11"/>
              </w:rPr>
              <w:t>859</w:t>
            </w:r>
          </w:p>
        </w:tc>
        <w:tc>
          <w:tcPr>
            <w:tcW w:w="352" w:type="dxa"/>
          </w:tcPr>
          <w:p>
            <w:pPr>
              <w:pStyle w:val="TableParagraph"/>
              <w:rPr>
                <w:rFonts w:ascii="Times New Roman"/>
                <w:sz w:val="10"/>
              </w:rPr>
            </w:pPr>
          </w:p>
        </w:tc>
        <w:tc>
          <w:tcPr>
            <w:tcW w:w="548" w:type="dxa"/>
          </w:tcPr>
          <w:p>
            <w:pPr>
              <w:pStyle w:val="TableParagraph"/>
              <w:spacing w:before="11"/>
              <w:rPr>
                <w:b/>
                <w:sz w:val="11"/>
              </w:rPr>
            </w:pPr>
          </w:p>
          <w:p>
            <w:pPr>
              <w:pStyle w:val="TableParagraph"/>
              <w:spacing w:line="115" w:lineRule="exact"/>
              <w:ind w:left="54"/>
              <w:rPr>
                <w:sz w:val="11"/>
              </w:rPr>
            </w:pPr>
            <w:r>
              <w:rPr>
                <w:w w:val="100"/>
                <w:sz w:val="11"/>
              </w:rPr>
              <w:t>0</w:t>
            </w:r>
          </w:p>
        </w:tc>
        <w:tc>
          <w:tcPr>
            <w:tcW w:w="312" w:type="dxa"/>
          </w:tcPr>
          <w:p>
            <w:pPr>
              <w:pStyle w:val="TableParagraph"/>
              <w:spacing w:before="11"/>
              <w:rPr>
                <w:b/>
                <w:sz w:val="11"/>
              </w:rPr>
            </w:pPr>
          </w:p>
          <w:p>
            <w:pPr>
              <w:pStyle w:val="TableParagraph"/>
              <w:spacing w:line="115" w:lineRule="exact"/>
              <w:ind w:left="60"/>
              <w:rPr>
                <w:sz w:val="11"/>
              </w:rPr>
            </w:pPr>
            <w:r>
              <w:rPr>
                <w:w w:val="100"/>
                <w:sz w:val="11"/>
              </w:rPr>
              <w:t>0</w:t>
            </w:r>
          </w:p>
        </w:tc>
        <w:tc>
          <w:tcPr>
            <w:tcW w:w="481" w:type="dxa"/>
          </w:tcPr>
          <w:p>
            <w:pPr>
              <w:pStyle w:val="TableParagraph"/>
              <w:spacing w:before="11"/>
              <w:rPr>
                <w:b/>
                <w:sz w:val="11"/>
              </w:rPr>
            </w:pPr>
          </w:p>
          <w:p>
            <w:pPr>
              <w:pStyle w:val="TableParagraph"/>
              <w:spacing w:line="115" w:lineRule="exact"/>
              <w:ind w:right="112"/>
              <w:jc w:val="right"/>
              <w:rPr>
                <w:sz w:val="11"/>
              </w:rPr>
            </w:pPr>
            <w:r>
              <w:rPr>
                <w:w w:val="100"/>
                <w:sz w:val="11"/>
              </w:rPr>
              <w:t>0</w:t>
            </w:r>
          </w:p>
        </w:tc>
      </w:tr>
      <w:tr>
        <w:trPr>
          <w:trHeight w:val="140" w:hRule="atLeast"/>
        </w:trPr>
        <w:tc>
          <w:tcPr>
            <w:tcW w:w="5285" w:type="dxa"/>
          </w:tcPr>
          <w:p>
            <w:pPr>
              <w:pStyle w:val="TableParagraph"/>
              <w:spacing w:line="118" w:lineRule="exact" w:before="2"/>
              <w:ind w:left="110"/>
              <w:rPr>
                <w:sz w:val="11"/>
              </w:rPr>
            </w:pPr>
            <w:r>
              <w:rPr>
                <w:sz w:val="11"/>
              </w:rPr>
              <w:t>Member of Safecare, North Lincs GP Federation</w:t>
            </w:r>
          </w:p>
        </w:tc>
        <w:tc>
          <w:tcPr>
            <w:tcW w:w="705" w:type="dxa"/>
          </w:tcPr>
          <w:p>
            <w:pPr>
              <w:pStyle w:val="TableParagraph"/>
              <w:spacing w:line="118" w:lineRule="exact" w:before="2"/>
              <w:ind w:right="79"/>
              <w:jc w:val="right"/>
              <w:rPr>
                <w:sz w:val="11"/>
              </w:rPr>
            </w:pPr>
            <w:r>
              <w:rPr>
                <w:sz w:val="11"/>
              </w:rPr>
              <w:t>1,037</w:t>
            </w:r>
          </w:p>
        </w:tc>
        <w:tc>
          <w:tcPr>
            <w:tcW w:w="352" w:type="dxa"/>
          </w:tcPr>
          <w:p>
            <w:pPr>
              <w:pStyle w:val="TableParagraph"/>
              <w:rPr>
                <w:rFonts w:ascii="Times New Roman"/>
                <w:sz w:val="8"/>
              </w:rPr>
            </w:pPr>
          </w:p>
        </w:tc>
        <w:tc>
          <w:tcPr>
            <w:tcW w:w="548" w:type="dxa"/>
          </w:tcPr>
          <w:p>
            <w:pPr>
              <w:pStyle w:val="TableParagraph"/>
              <w:spacing w:line="118" w:lineRule="exact" w:before="2"/>
              <w:ind w:left="54"/>
              <w:rPr>
                <w:sz w:val="11"/>
              </w:rPr>
            </w:pPr>
            <w:r>
              <w:rPr>
                <w:w w:val="100"/>
                <w:sz w:val="11"/>
              </w:rPr>
              <w:t>0</w:t>
            </w:r>
          </w:p>
        </w:tc>
        <w:tc>
          <w:tcPr>
            <w:tcW w:w="312" w:type="dxa"/>
          </w:tcPr>
          <w:p>
            <w:pPr>
              <w:pStyle w:val="TableParagraph"/>
              <w:spacing w:line="118" w:lineRule="exact" w:before="2"/>
              <w:ind w:left="-2"/>
              <w:rPr>
                <w:sz w:val="11"/>
              </w:rPr>
            </w:pPr>
            <w:r>
              <w:rPr>
                <w:sz w:val="11"/>
              </w:rPr>
              <w:t>10</w:t>
            </w:r>
          </w:p>
        </w:tc>
        <w:tc>
          <w:tcPr>
            <w:tcW w:w="481" w:type="dxa"/>
          </w:tcPr>
          <w:p>
            <w:pPr>
              <w:pStyle w:val="TableParagraph"/>
              <w:spacing w:line="118" w:lineRule="exact" w:before="2"/>
              <w:ind w:right="112"/>
              <w:jc w:val="right"/>
              <w:rPr>
                <w:sz w:val="11"/>
              </w:rPr>
            </w:pPr>
            <w:r>
              <w:rPr>
                <w:w w:val="100"/>
                <w:sz w:val="11"/>
              </w:rPr>
              <w:t>0</w:t>
            </w:r>
          </w:p>
        </w:tc>
      </w:tr>
      <w:tr>
        <w:trPr>
          <w:trHeight w:val="211" w:hRule="atLeast"/>
        </w:trPr>
        <w:tc>
          <w:tcPr>
            <w:tcW w:w="5285" w:type="dxa"/>
          </w:tcPr>
          <w:p>
            <w:pPr>
              <w:pStyle w:val="TableParagraph"/>
              <w:spacing w:before="8"/>
              <w:ind w:left="110"/>
              <w:rPr>
                <w:sz w:val="11"/>
              </w:rPr>
            </w:pPr>
            <w:r>
              <w:rPr>
                <w:sz w:val="11"/>
              </w:rPr>
              <w:t>Spouse working as a salaried GP at Riverside Surgery</w:t>
            </w:r>
          </w:p>
        </w:tc>
        <w:tc>
          <w:tcPr>
            <w:tcW w:w="705" w:type="dxa"/>
          </w:tcPr>
          <w:p>
            <w:pPr>
              <w:pStyle w:val="TableParagraph"/>
              <w:spacing w:before="8"/>
              <w:ind w:right="79"/>
              <w:jc w:val="right"/>
              <w:rPr>
                <w:sz w:val="11"/>
              </w:rPr>
            </w:pPr>
            <w:r>
              <w:rPr>
                <w:sz w:val="11"/>
              </w:rPr>
              <w:t>2,320</w:t>
            </w:r>
          </w:p>
        </w:tc>
        <w:tc>
          <w:tcPr>
            <w:tcW w:w="352" w:type="dxa"/>
          </w:tcPr>
          <w:p>
            <w:pPr>
              <w:pStyle w:val="TableParagraph"/>
              <w:rPr>
                <w:rFonts w:ascii="Times New Roman"/>
                <w:sz w:val="10"/>
              </w:rPr>
            </w:pPr>
          </w:p>
        </w:tc>
        <w:tc>
          <w:tcPr>
            <w:tcW w:w="548" w:type="dxa"/>
          </w:tcPr>
          <w:p>
            <w:pPr>
              <w:pStyle w:val="TableParagraph"/>
              <w:spacing w:before="8"/>
              <w:ind w:left="54"/>
              <w:rPr>
                <w:sz w:val="11"/>
              </w:rPr>
            </w:pPr>
            <w:r>
              <w:rPr>
                <w:w w:val="100"/>
                <w:sz w:val="11"/>
              </w:rPr>
              <w:t>0</w:t>
            </w:r>
          </w:p>
        </w:tc>
        <w:tc>
          <w:tcPr>
            <w:tcW w:w="312" w:type="dxa"/>
          </w:tcPr>
          <w:p>
            <w:pPr>
              <w:pStyle w:val="TableParagraph"/>
              <w:spacing w:before="8"/>
              <w:ind w:left="60"/>
              <w:rPr>
                <w:sz w:val="11"/>
              </w:rPr>
            </w:pPr>
            <w:r>
              <w:rPr>
                <w:w w:val="100"/>
                <w:sz w:val="11"/>
              </w:rPr>
              <w:t>0</w:t>
            </w:r>
          </w:p>
        </w:tc>
        <w:tc>
          <w:tcPr>
            <w:tcW w:w="481" w:type="dxa"/>
          </w:tcPr>
          <w:p>
            <w:pPr>
              <w:pStyle w:val="TableParagraph"/>
              <w:spacing w:before="8"/>
              <w:ind w:right="112"/>
              <w:jc w:val="right"/>
              <w:rPr>
                <w:sz w:val="11"/>
              </w:rPr>
            </w:pPr>
            <w:r>
              <w:rPr>
                <w:w w:val="100"/>
                <w:sz w:val="11"/>
              </w:rPr>
              <w:t>0</w:t>
            </w:r>
          </w:p>
        </w:tc>
      </w:tr>
      <w:tr>
        <w:trPr>
          <w:trHeight w:val="472" w:hRule="atLeast"/>
        </w:trPr>
        <w:tc>
          <w:tcPr>
            <w:tcW w:w="5285" w:type="dxa"/>
          </w:tcPr>
          <w:p>
            <w:pPr>
              <w:pStyle w:val="TableParagraph"/>
              <w:spacing w:line="259" w:lineRule="auto" w:before="73"/>
              <w:ind w:left="110" w:right="4396"/>
              <w:rPr>
                <w:b/>
                <w:sz w:val="11"/>
              </w:rPr>
            </w:pPr>
            <w:r>
              <w:rPr>
                <w:b/>
                <w:sz w:val="11"/>
              </w:rPr>
              <w:t>Emma Latimer Chief Officer</w:t>
            </w:r>
          </w:p>
          <w:p>
            <w:pPr>
              <w:pStyle w:val="TableParagraph"/>
              <w:spacing w:line="106" w:lineRule="exact"/>
              <w:ind w:left="110"/>
              <w:rPr>
                <w:sz w:val="11"/>
              </w:rPr>
            </w:pPr>
            <w:r>
              <w:rPr>
                <w:sz w:val="11"/>
              </w:rPr>
              <w:t>Chief Officer - Hull CCG</w:t>
            </w:r>
          </w:p>
        </w:tc>
        <w:tc>
          <w:tcPr>
            <w:tcW w:w="705" w:type="dxa"/>
          </w:tcPr>
          <w:p>
            <w:pPr>
              <w:pStyle w:val="TableParagraph"/>
              <w:rPr>
                <w:b/>
                <w:sz w:val="12"/>
              </w:rPr>
            </w:pPr>
          </w:p>
          <w:p>
            <w:pPr>
              <w:pStyle w:val="TableParagraph"/>
              <w:spacing w:before="1"/>
              <w:rPr>
                <w:b/>
                <w:sz w:val="17"/>
              </w:rPr>
            </w:pPr>
          </w:p>
          <w:p>
            <w:pPr>
              <w:pStyle w:val="TableParagraph"/>
              <w:spacing w:line="118" w:lineRule="exact"/>
              <w:ind w:right="81"/>
              <w:jc w:val="right"/>
              <w:rPr>
                <w:sz w:val="11"/>
              </w:rPr>
            </w:pPr>
            <w:r>
              <w:rPr>
                <w:sz w:val="11"/>
              </w:rPr>
              <w:t>500</w:t>
            </w:r>
          </w:p>
        </w:tc>
        <w:tc>
          <w:tcPr>
            <w:tcW w:w="900" w:type="dxa"/>
            <w:gridSpan w:val="2"/>
          </w:tcPr>
          <w:p>
            <w:pPr>
              <w:pStyle w:val="TableParagraph"/>
              <w:rPr>
                <w:b/>
                <w:sz w:val="12"/>
              </w:rPr>
            </w:pPr>
          </w:p>
          <w:p>
            <w:pPr>
              <w:pStyle w:val="TableParagraph"/>
              <w:spacing w:before="1"/>
              <w:rPr>
                <w:b/>
                <w:sz w:val="17"/>
              </w:rPr>
            </w:pPr>
          </w:p>
          <w:p>
            <w:pPr>
              <w:pStyle w:val="TableParagraph"/>
              <w:spacing w:line="118" w:lineRule="exact"/>
              <w:ind w:left="283"/>
              <w:rPr>
                <w:sz w:val="11"/>
              </w:rPr>
            </w:pPr>
            <w:r>
              <w:rPr>
                <w:sz w:val="11"/>
              </w:rPr>
              <w:t>181</w:t>
            </w:r>
          </w:p>
        </w:tc>
        <w:tc>
          <w:tcPr>
            <w:tcW w:w="312" w:type="dxa"/>
          </w:tcPr>
          <w:p>
            <w:pPr>
              <w:pStyle w:val="TableParagraph"/>
              <w:rPr>
                <w:b/>
                <w:sz w:val="12"/>
              </w:rPr>
            </w:pPr>
          </w:p>
          <w:p>
            <w:pPr>
              <w:pStyle w:val="TableParagraph"/>
              <w:spacing w:before="1"/>
              <w:rPr>
                <w:b/>
                <w:sz w:val="17"/>
              </w:rPr>
            </w:pPr>
          </w:p>
          <w:p>
            <w:pPr>
              <w:pStyle w:val="TableParagraph"/>
              <w:spacing w:line="118" w:lineRule="exact"/>
              <w:ind w:left="62"/>
              <w:rPr>
                <w:sz w:val="11"/>
              </w:rPr>
            </w:pPr>
            <w:r>
              <w:rPr>
                <w:w w:val="100"/>
                <w:sz w:val="11"/>
              </w:rPr>
              <w:t>0</w:t>
            </w:r>
          </w:p>
        </w:tc>
        <w:tc>
          <w:tcPr>
            <w:tcW w:w="481" w:type="dxa"/>
          </w:tcPr>
          <w:p>
            <w:pPr>
              <w:pStyle w:val="TableParagraph"/>
              <w:rPr>
                <w:b/>
                <w:sz w:val="12"/>
              </w:rPr>
            </w:pPr>
          </w:p>
          <w:p>
            <w:pPr>
              <w:pStyle w:val="TableParagraph"/>
              <w:spacing w:before="1"/>
              <w:rPr>
                <w:b/>
                <w:sz w:val="17"/>
              </w:rPr>
            </w:pPr>
          </w:p>
          <w:p>
            <w:pPr>
              <w:pStyle w:val="TableParagraph"/>
              <w:spacing w:line="118" w:lineRule="exact"/>
              <w:ind w:right="111"/>
              <w:jc w:val="right"/>
              <w:rPr>
                <w:sz w:val="11"/>
              </w:rPr>
            </w:pPr>
            <w:r>
              <w:rPr>
                <w:sz w:val="11"/>
              </w:rPr>
              <w:t>40</w:t>
            </w:r>
          </w:p>
        </w:tc>
      </w:tr>
      <w:tr>
        <w:trPr>
          <w:trHeight w:val="210" w:hRule="atLeast"/>
        </w:trPr>
        <w:tc>
          <w:tcPr>
            <w:tcW w:w="5285" w:type="dxa"/>
          </w:tcPr>
          <w:p>
            <w:pPr>
              <w:pStyle w:val="TableParagraph"/>
              <w:spacing w:before="8"/>
              <w:ind w:left="110"/>
              <w:rPr>
                <w:sz w:val="11"/>
              </w:rPr>
            </w:pPr>
            <w:r>
              <w:rPr>
                <w:sz w:val="11"/>
              </w:rPr>
              <w:t>Chief Officer - East Riding CCG</w:t>
            </w:r>
          </w:p>
        </w:tc>
        <w:tc>
          <w:tcPr>
            <w:tcW w:w="705" w:type="dxa"/>
          </w:tcPr>
          <w:p>
            <w:pPr>
              <w:pStyle w:val="TableParagraph"/>
              <w:spacing w:before="8"/>
              <w:ind w:right="81"/>
              <w:jc w:val="right"/>
              <w:rPr>
                <w:sz w:val="11"/>
              </w:rPr>
            </w:pPr>
            <w:r>
              <w:rPr>
                <w:sz w:val="11"/>
              </w:rPr>
              <w:t>136</w:t>
            </w:r>
          </w:p>
        </w:tc>
        <w:tc>
          <w:tcPr>
            <w:tcW w:w="900" w:type="dxa"/>
            <w:gridSpan w:val="2"/>
          </w:tcPr>
          <w:p>
            <w:pPr>
              <w:pStyle w:val="TableParagraph"/>
              <w:spacing w:before="8"/>
              <w:ind w:left="281"/>
              <w:rPr>
                <w:sz w:val="11"/>
              </w:rPr>
            </w:pPr>
            <w:r>
              <w:rPr>
                <w:sz w:val="11"/>
              </w:rPr>
              <w:t>108</w:t>
            </w:r>
          </w:p>
        </w:tc>
        <w:tc>
          <w:tcPr>
            <w:tcW w:w="312" w:type="dxa"/>
          </w:tcPr>
          <w:p>
            <w:pPr>
              <w:pStyle w:val="TableParagraph"/>
              <w:spacing w:before="8"/>
              <w:ind w:left="62"/>
              <w:rPr>
                <w:sz w:val="11"/>
              </w:rPr>
            </w:pPr>
            <w:r>
              <w:rPr>
                <w:w w:val="100"/>
                <w:sz w:val="11"/>
              </w:rPr>
              <w:t>0</w:t>
            </w:r>
          </w:p>
        </w:tc>
        <w:tc>
          <w:tcPr>
            <w:tcW w:w="481" w:type="dxa"/>
          </w:tcPr>
          <w:p>
            <w:pPr>
              <w:pStyle w:val="TableParagraph"/>
              <w:spacing w:before="8"/>
              <w:ind w:right="114"/>
              <w:jc w:val="right"/>
              <w:rPr>
                <w:sz w:val="11"/>
              </w:rPr>
            </w:pPr>
            <w:r>
              <w:rPr>
                <w:sz w:val="11"/>
              </w:rPr>
              <w:t>-7</w:t>
            </w:r>
          </w:p>
        </w:tc>
      </w:tr>
      <w:tr>
        <w:trPr>
          <w:trHeight w:val="472" w:hRule="atLeast"/>
        </w:trPr>
        <w:tc>
          <w:tcPr>
            <w:tcW w:w="5285" w:type="dxa"/>
          </w:tcPr>
          <w:p>
            <w:pPr>
              <w:pStyle w:val="TableParagraph"/>
              <w:spacing w:before="72"/>
              <w:ind w:left="110"/>
              <w:rPr>
                <w:b/>
                <w:sz w:val="11"/>
              </w:rPr>
            </w:pPr>
            <w:r>
              <w:rPr>
                <w:b/>
                <w:sz w:val="11"/>
              </w:rPr>
              <w:t>Emma Sayner</w:t>
            </w:r>
          </w:p>
          <w:p>
            <w:pPr>
              <w:pStyle w:val="TableParagraph"/>
              <w:spacing w:line="126" w:lineRule="exact" w:before="10"/>
              <w:ind w:left="110"/>
              <w:rPr>
                <w:b/>
                <w:sz w:val="11"/>
              </w:rPr>
            </w:pPr>
            <w:r>
              <w:rPr>
                <w:b/>
                <w:sz w:val="11"/>
              </w:rPr>
              <w:t>Chief Finance Officer</w:t>
            </w:r>
          </w:p>
          <w:p>
            <w:pPr>
              <w:pStyle w:val="TableParagraph"/>
              <w:spacing w:line="118" w:lineRule="exact"/>
              <w:ind w:left="110"/>
              <w:rPr>
                <w:sz w:val="11"/>
              </w:rPr>
            </w:pPr>
            <w:r>
              <w:rPr>
                <w:sz w:val="11"/>
              </w:rPr>
              <w:t>Chief Finance Officer - Hull CCG</w:t>
            </w:r>
          </w:p>
        </w:tc>
        <w:tc>
          <w:tcPr>
            <w:tcW w:w="705" w:type="dxa"/>
          </w:tcPr>
          <w:p>
            <w:pPr>
              <w:pStyle w:val="TableParagraph"/>
              <w:rPr>
                <w:b/>
                <w:sz w:val="12"/>
              </w:rPr>
            </w:pPr>
          </w:p>
          <w:p>
            <w:pPr>
              <w:pStyle w:val="TableParagraph"/>
              <w:rPr>
                <w:b/>
                <w:sz w:val="17"/>
              </w:rPr>
            </w:pPr>
          </w:p>
          <w:p>
            <w:pPr>
              <w:pStyle w:val="TableParagraph"/>
              <w:spacing w:line="119" w:lineRule="exact"/>
              <w:ind w:right="81"/>
              <w:jc w:val="right"/>
              <w:rPr>
                <w:sz w:val="11"/>
              </w:rPr>
            </w:pPr>
            <w:r>
              <w:rPr>
                <w:sz w:val="11"/>
              </w:rPr>
              <w:t>500</w:t>
            </w:r>
          </w:p>
        </w:tc>
        <w:tc>
          <w:tcPr>
            <w:tcW w:w="900" w:type="dxa"/>
            <w:gridSpan w:val="2"/>
          </w:tcPr>
          <w:p>
            <w:pPr>
              <w:pStyle w:val="TableParagraph"/>
              <w:rPr>
                <w:b/>
                <w:sz w:val="12"/>
              </w:rPr>
            </w:pPr>
          </w:p>
          <w:p>
            <w:pPr>
              <w:pStyle w:val="TableParagraph"/>
              <w:rPr>
                <w:b/>
                <w:sz w:val="17"/>
              </w:rPr>
            </w:pPr>
          </w:p>
          <w:p>
            <w:pPr>
              <w:pStyle w:val="TableParagraph"/>
              <w:spacing w:line="119" w:lineRule="exact"/>
              <w:ind w:left="281"/>
              <w:rPr>
                <w:sz w:val="11"/>
              </w:rPr>
            </w:pPr>
            <w:r>
              <w:rPr>
                <w:sz w:val="11"/>
              </w:rPr>
              <w:t>181</w:t>
            </w:r>
          </w:p>
        </w:tc>
        <w:tc>
          <w:tcPr>
            <w:tcW w:w="312" w:type="dxa"/>
          </w:tcPr>
          <w:p>
            <w:pPr>
              <w:pStyle w:val="TableParagraph"/>
              <w:rPr>
                <w:b/>
                <w:sz w:val="12"/>
              </w:rPr>
            </w:pPr>
          </w:p>
          <w:p>
            <w:pPr>
              <w:pStyle w:val="TableParagraph"/>
              <w:rPr>
                <w:b/>
                <w:sz w:val="17"/>
              </w:rPr>
            </w:pPr>
          </w:p>
          <w:p>
            <w:pPr>
              <w:pStyle w:val="TableParagraph"/>
              <w:spacing w:line="119" w:lineRule="exact"/>
              <w:ind w:left="62"/>
              <w:rPr>
                <w:sz w:val="11"/>
              </w:rPr>
            </w:pPr>
            <w:r>
              <w:rPr>
                <w:w w:val="100"/>
                <w:sz w:val="11"/>
              </w:rPr>
              <w:t>0</w:t>
            </w:r>
          </w:p>
        </w:tc>
        <w:tc>
          <w:tcPr>
            <w:tcW w:w="481" w:type="dxa"/>
          </w:tcPr>
          <w:p>
            <w:pPr>
              <w:pStyle w:val="TableParagraph"/>
              <w:rPr>
                <w:b/>
                <w:sz w:val="12"/>
              </w:rPr>
            </w:pPr>
          </w:p>
          <w:p>
            <w:pPr>
              <w:pStyle w:val="TableParagraph"/>
              <w:rPr>
                <w:b/>
                <w:sz w:val="17"/>
              </w:rPr>
            </w:pPr>
          </w:p>
          <w:p>
            <w:pPr>
              <w:pStyle w:val="TableParagraph"/>
              <w:spacing w:line="119" w:lineRule="exact"/>
              <w:ind w:right="111"/>
              <w:jc w:val="right"/>
              <w:rPr>
                <w:sz w:val="11"/>
              </w:rPr>
            </w:pPr>
            <w:r>
              <w:rPr>
                <w:sz w:val="11"/>
              </w:rPr>
              <w:t>40</w:t>
            </w:r>
          </w:p>
        </w:tc>
      </w:tr>
      <w:tr>
        <w:trPr>
          <w:trHeight w:val="211" w:hRule="atLeast"/>
        </w:trPr>
        <w:tc>
          <w:tcPr>
            <w:tcW w:w="5285" w:type="dxa"/>
          </w:tcPr>
          <w:p>
            <w:pPr>
              <w:pStyle w:val="TableParagraph"/>
              <w:spacing w:before="9"/>
              <w:ind w:left="110"/>
              <w:rPr>
                <w:sz w:val="11"/>
              </w:rPr>
            </w:pPr>
            <w:r>
              <w:rPr>
                <w:sz w:val="11"/>
              </w:rPr>
              <w:t>Citycare Board Member</w:t>
            </w:r>
          </w:p>
        </w:tc>
        <w:tc>
          <w:tcPr>
            <w:tcW w:w="705" w:type="dxa"/>
          </w:tcPr>
          <w:p>
            <w:pPr>
              <w:pStyle w:val="TableParagraph"/>
              <w:spacing w:before="9"/>
              <w:ind w:right="79"/>
              <w:jc w:val="right"/>
              <w:rPr>
                <w:sz w:val="11"/>
              </w:rPr>
            </w:pPr>
            <w:r>
              <w:rPr>
                <w:sz w:val="11"/>
              </w:rPr>
              <w:t>50</w:t>
            </w:r>
          </w:p>
        </w:tc>
        <w:tc>
          <w:tcPr>
            <w:tcW w:w="352" w:type="dxa"/>
          </w:tcPr>
          <w:p>
            <w:pPr>
              <w:pStyle w:val="TableParagraph"/>
              <w:rPr>
                <w:rFonts w:ascii="Times New Roman"/>
                <w:sz w:val="10"/>
              </w:rPr>
            </w:pPr>
          </w:p>
        </w:tc>
        <w:tc>
          <w:tcPr>
            <w:tcW w:w="548" w:type="dxa"/>
          </w:tcPr>
          <w:p>
            <w:pPr>
              <w:pStyle w:val="TableParagraph"/>
              <w:spacing w:before="9"/>
              <w:ind w:left="54"/>
              <w:rPr>
                <w:sz w:val="11"/>
              </w:rPr>
            </w:pPr>
            <w:r>
              <w:rPr>
                <w:w w:val="100"/>
                <w:sz w:val="11"/>
              </w:rPr>
              <w:t>0</w:t>
            </w:r>
          </w:p>
        </w:tc>
        <w:tc>
          <w:tcPr>
            <w:tcW w:w="312" w:type="dxa"/>
          </w:tcPr>
          <w:p>
            <w:pPr>
              <w:pStyle w:val="TableParagraph"/>
              <w:spacing w:before="9"/>
              <w:ind w:left="62"/>
              <w:rPr>
                <w:sz w:val="11"/>
              </w:rPr>
            </w:pPr>
            <w:r>
              <w:rPr>
                <w:w w:val="100"/>
                <w:sz w:val="11"/>
              </w:rPr>
              <w:t>0</w:t>
            </w:r>
          </w:p>
        </w:tc>
        <w:tc>
          <w:tcPr>
            <w:tcW w:w="481" w:type="dxa"/>
          </w:tcPr>
          <w:p>
            <w:pPr>
              <w:pStyle w:val="TableParagraph"/>
              <w:spacing w:before="9"/>
              <w:ind w:right="112"/>
              <w:jc w:val="right"/>
              <w:rPr>
                <w:sz w:val="11"/>
              </w:rPr>
            </w:pPr>
            <w:r>
              <w:rPr>
                <w:w w:val="100"/>
                <w:sz w:val="11"/>
              </w:rPr>
              <w:t>0</w:t>
            </w:r>
          </w:p>
        </w:tc>
      </w:tr>
      <w:tr>
        <w:trPr>
          <w:trHeight w:val="545" w:hRule="atLeast"/>
        </w:trPr>
        <w:tc>
          <w:tcPr>
            <w:tcW w:w="5285" w:type="dxa"/>
          </w:tcPr>
          <w:p>
            <w:pPr>
              <w:pStyle w:val="TableParagraph"/>
              <w:spacing w:before="72"/>
              <w:ind w:left="110"/>
              <w:rPr>
                <w:b/>
                <w:sz w:val="11"/>
              </w:rPr>
            </w:pPr>
            <w:r>
              <w:rPr>
                <w:b/>
                <w:sz w:val="11"/>
              </w:rPr>
              <w:t>Alex Seale</w:t>
            </w:r>
          </w:p>
          <w:p>
            <w:pPr>
              <w:pStyle w:val="TableParagraph"/>
              <w:spacing w:before="10"/>
              <w:ind w:left="110"/>
              <w:rPr>
                <w:b/>
                <w:sz w:val="11"/>
              </w:rPr>
            </w:pPr>
            <w:r>
              <w:rPr>
                <w:b/>
                <w:sz w:val="11"/>
              </w:rPr>
              <w:t>Chief Operating Officer</w:t>
            </w:r>
          </w:p>
          <w:p>
            <w:pPr>
              <w:pStyle w:val="TableParagraph"/>
              <w:spacing w:before="8"/>
              <w:ind w:left="110"/>
              <w:rPr>
                <w:sz w:val="11"/>
              </w:rPr>
            </w:pPr>
            <w:r>
              <w:rPr>
                <w:sz w:val="11"/>
              </w:rPr>
              <w:t>Partner Govenor for Northern Lincolnshire &amp; Goole NHS FT</w:t>
            </w:r>
          </w:p>
        </w:tc>
        <w:tc>
          <w:tcPr>
            <w:tcW w:w="705" w:type="dxa"/>
          </w:tcPr>
          <w:p>
            <w:pPr>
              <w:pStyle w:val="TableParagraph"/>
              <w:rPr>
                <w:b/>
                <w:sz w:val="12"/>
              </w:rPr>
            </w:pPr>
          </w:p>
          <w:p>
            <w:pPr>
              <w:pStyle w:val="TableParagraph"/>
              <w:spacing w:before="9"/>
              <w:rPr>
                <w:b/>
                <w:sz w:val="17"/>
              </w:rPr>
            </w:pPr>
          </w:p>
          <w:p>
            <w:pPr>
              <w:pStyle w:val="TableParagraph"/>
              <w:ind w:right="79"/>
              <w:jc w:val="right"/>
              <w:rPr>
                <w:sz w:val="11"/>
              </w:rPr>
            </w:pPr>
            <w:r>
              <w:rPr>
                <w:sz w:val="11"/>
              </w:rPr>
              <w:t>126,245</w:t>
            </w:r>
          </w:p>
        </w:tc>
        <w:tc>
          <w:tcPr>
            <w:tcW w:w="352" w:type="dxa"/>
          </w:tcPr>
          <w:p>
            <w:pPr>
              <w:pStyle w:val="TableParagraph"/>
              <w:rPr>
                <w:rFonts w:ascii="Times New Roman"/>
                <w:sz w:val="10"/>
              </w:rPr>
            </w:pPr>
          </w:p>
        </w:tc>
        <w:tc>
          <w:tcPr>
            <w:tcW w:w="548" w:type="dxa"/>
          </w:tcPr>
          <w:p>
            <w:pPr>
              <w:pStyle w:val="TableParagraph"/>
              <w:rPr>
                <w:b/>
                <w:sz w:val="12"/>
              </w:rPr>
            </w:pPr>
          </w:p>
          <w:p>
            <w:pPr>
              <w:pStyle w:val="TableParagraph"/>
              <w:spacing w:before="9"/>
              <w:rPr>
                <w:b/>
                <w:sz w:val="17"/>
              </w:rPr>
            </w:pPr>
          </w:p>
          <w:p>
            <w:pPr>
              <w:pStyle w:val="TableParagraph"/>
              <w:ind w:left="-11"/>
              <w:rPr>
                <w:sz w:val="11"/>
              </w:rPr>
            </w:pPr>
            <w:r>
              <w:rPr>
                <w:sz w:val="11"/>
              </w:rPr>
              <w:t>17</w:t>
            </w:r>
          </w:p>
        </w:tc>
        <w:tc>
          <w:tcPr>
            <w:tcW w:w="312" w:type="dxa"/>
          </w:tcPr>
          <w:p>
            <w:pPr>
              <w:pStyle w:val="TableParagraph"/>
              <w:rPr>
                <w:b/>
                <w:sz w:val="12"/>
              </w:rPr>
            </w:pPr>
          </w:p>
          <w:p>
            <w:pPr>
              <w:pStyle w:val="TableParagraph"/>
              <w:spacing w:before="9"/>
              <w:rPr>
                <w:b/>
                <w:sz w:val="17"/>
              </w:rPr>
            </w:pPr>
          </w:p>
          <w:p>
            <w:pPr>
              <w:pStyle w:val="TableParagraph"/>
              <w:ind w:left="62"/>
              <w:rPr>
                <w:sz w:val="11"/>
              </w:rPr>
            </w:pPr>
            <w:r>
              <w:rPr>
                <w:w w:val="100"/>
                <w:sz w:val="11"/>
              </w:rPr>
              <w:t>0</w:t>
            </w:r>
          </w:p>
        </w:tc>
        <w:tc>
          <w:tcPr>
            <w:tcW w:w="481" w:type="dxa"/>
          </w:tcPr>
          <w:p>
            <w:pPr>
              <w:pStyle w:val="TableParagraph"/>
              <w:rPr>
                <w:b/>
                <w:sz w:val="12"/>
              </w:rPr>
            </w:pPr>
          </w:p>
          <w:p>
            <w:pPr>
              <w:pStyle w:val="TableParagraph"/>
              <w:spacing w:before="9"/>
              <w:rPr>
                <w:b/>
                <w:sz w:val="17"/>
              </w:rPr>
            </w:pPr>
          </w:p>
          <w:p>
            <w:pPr>
              <w:pStyle w:val="TableParagraph"/>
              <w:ind w:right="112"/>
              <w:jc w:val="right"/>
              <w:rPr>
                <w:sz w:val="11"/>
              </w:rPr>
            </w:pPr>
            <w:r>
              <w:rPr>
                <w:w w:val="100"/>
                <w:sz w:val="11"/>
              </w:rPr>
              <w:t>0</w:t>
            </w:r>
          </w:p>
        </w:tc>
      </w:tr>
      <w:tr>
        <w:trPr>
          <w:trHeight w:val="472" w:hRule="atLeast"/>
        </w:trPr>
        <w:tc>
          <w:tcPr>
            <w:tcW w:w="5285" w:type="dxa"/>
          </w:tcPr>
          <w:p>
            <w:pPr>
              <w:pStyle w:val="TableParagraph"/>
              <w:spacing w:line="259" w:lineRule="auto" w:before="73"/>
              <w:ind w:left="110" w:right="3730"/>
              <w:rPr>
                <w:b/>
                <w:sz w:val="11"/>
              </w:rPr>
            </w:pPr>
            <w:r>
              <w:rPr>
                <w:b/>
                <w:sz w:val="11"/>
              </w:rPr>
              <w:t>Dr Satpal Singh Shekhawat Associate Medical Director</w:t>
            </w:r>
          </w:p>
          <w:p>
            <w:pPr>
              <w:pStyle w:val="TableParagraph"/>
              <w:spacing w:line="106" w:lineRule="exact"/>
              <w:ind w:left="110"/>
              <w:rPr>
                <w:sz w:val="11"/>
              </w:rPr>
            </w:pPr>
            <w:r>
              <w:rPr>
                <w:sz w:val="11"/>
              </w:rPr>
              <w:t>GP Partner at Kirton Lindsey Surgery (member of the South Primary Care Network), including MCATs</w:t>
            </w:r>
          </w:p>
        </w:tc>
        <w:tc>
          <w:tcPr>
            <w:tcW w:w="705" w:type="dxa"/>
          </w:tcPr>
          <w:p>
            <w:pPr>
              <w:pStyle w:val="TableParagraph"/>
              <w:rPr>
                <w:b/>
                <w:sz w:val="12"/>
              </w:rPr>
            </w:pPr>
          </w:p>
          <w:p>
            <w:pPr>
              <w:pStyle w:val="TableParagraph"/>
              <w:spacing w:before="1"/>
              <w:rPr>
                <w:b/>
                <w:sz w:val="17"/>
              </w:rPr>
            </w:pPr>
          </w:p>
          <w:p>
            <w:pPr>
              <w:pStyle w:val="TableParagraph"/>
              <w:spacing w:line="118" w:lineRule="exact"/>
              <w:ind w:right="79"/>
              <w:jc w:val="right"/>
              <w:rPr>
                <w:sz w:val="11"/>
              </w:rPr>
            </w:pPr>
            <w:r>
              <w:rPr>
                <w:sz w:val="11"/>
              </w:rPr>
              <w:t>2,674</w:t>
            </w:r>
          </w:p>
        </w:tc>
        <w:tc>
          <w:tcPr>
            <w:tcW w:w="352" w:type="dxa"/>
          </w:tcPr>
          <w:p>
            <w:pPr>
              <w:pStyle w:val="TableParagraph"/>
              <w:rPr>
                <w:rFonts w:ascii="Times New Roman"/>
                <w:sz w:val="10"/>
              </w:rPr>
            </w:pPr>
          </w:p>
        </w:tc>
        <w:tc>
          <w:tcPr>
            <w:tcW w:w="548" w:type="dxa"/>
          </w:tcPr>
          <w:p>
            <w:pPr>
              <w:pStyle w:val="TableParagraph"/>
              <w:rPr>
                <w:b/>
                <w:sz w:val="12"/>
              </w:rPr>
            </w:pPr>
          </w:p>
          <w:p>
            <w:pPr>
              <w:pStyle w:val="TableParagraph"/>
              <w:spacing w:before="1"/>
              <w:rPr>
                <w:b/>
                <w:sz w:val="17"/>
              </w:rPr>
            </w:pPr>
          </w:p>
          <w:p>
            <w:pPr>
              <w:pStyle w:val="TableParagraph"/>
              <w:spacing w:line="118" w:lineRule="exact"/>
              <w:ind w:left="54"/>
              <w:rPr>
                <w:sz w:val="11"/>
              </w:rPr>
            </w:pPr>
            <w:r>
              <w:rPr>
                <w:w w:val="100"/>
                <w:sz w:val="11"/>
              </w:rPr>
              <w:t>0</w:t>
            </w:r>
          </w:p>
        </w:tc>
        <w:tc>
          <w:tcPr>
            <w:tcW w:w="312" w:type="dxa"/>
          </w:tcPr>
          <w:p>
            <w:pPr>
              <w:pStyle w:val="TableParagraph"/>
              <w:rPr>
                <w:b/>
                <w:sz w:val="12"/>
              </w:rPr>
            </w:pPr>
          </w:p>
          <w:p>
            <w:pPr>
              <w:pStyle w:val="TableParagraph"/>
              <w:spacing w:before="1"/>
              <w:rPr>
                <w:b/>
                <w:sz w:val="17"/>
              </w:rPr>
            </w:pPr>
          </w:p>
          <w:p>
            <w:pPr>
              <w:pStyle w:val="TableParagraph"/>
              <w:spacing w:line="118" w:lineRule="exact"/>
              <w:ind w:left="60"/>
              <w:rPr>
                <w:sz w:val="11"/>
              </w:rPr>
            </w:pPr>
            <w:r>
              <w:rPr>
                <w:w w:val="100"/>
                <w:sz w:val="11"/>
              </w:rPr>
              <w:t>2</w:t>
            </w:r>
          </w:p>
        </w:tc>
        <w:tc>
          <w:tcPr>
            <w:tcW w:w="481" w:type="dxa"/>
          </w:tcPr>
          <w:p>
            <w:pPr>
              <w:pStyle w:val="TableParagraph"/>
              <w:rPr>
                <w:b/>
                <w:sz w:val="12"/>
              </w:rPr>
            </w:pPr>
          </w:p>
          <w:p>
            <w:pPr>
              <w:pStyle w:val="TableParagraph"/>
              <w:spacing w:before="1"/>
              <w:rPr>
                <w:b/>
                <w:sz w:val="17"/>
              </w:rPr>
            </w:pPr>
          </w:p>
          <w:p>
            <w:pPr>
              <w:pStyle w:val="TableParagraph"/>
              <w:spacing w:line="118" w:lineRule="exact"/>
              <w:ind w:right="112"/>
              <w:jc w:val="right"/>
              <w:rPr>
                <w:sz w:val="11"/>
              </w:rPr>
            </w:pPr>
            <w:r>
              <w:rPr>
                <w:w w:val="100"/>
                <w:sz w:val="11"/>
              </w:rPr>
              <w:t>0</w:t>
            </w:r>
          </w:p>
        </w:tc>
      </w:tr>
      <w:tr>
        <w:trPr>
          <w:trHeight w:val="210" w:hRule="atLeast"/>
        </w:trPr>
        <w:tc>
          <w:tcPr>
            <w:tcW w:w="5285" w:type="dxa"/>
          </w:tcPr>
          <w:p>
            <w:pPr>
              <w:pStyle w:val="TableParagraph"/>
              <w:spacing w:before="8"/>
              <w:ind w:left="110"/>
              <w:rPr>
                <w:sz w:val="11"/>
              </w:rPr>
            </w:pPr>
            <w:r>
              <w:rPr>
                <w:sz w:val="11"/>
              </w:rPr>
              <w:t>Member of Safecare, North Lincs GP Federation</w:t>
            </w:r>
          </w:p>
        </w:tc>
        <w:tc>
          <w:tcPr>
            <w:tcW w:w="705" w:type="dxa"/>
          </w:tcPr>
          <w:p>
            <w:pPr>
              <w:pStyle w:val="TableParagraph"/>
              <w:spacing w:before="8"/>
              <w:ind w:right="79"/>
              <w:jc w:val="right"/>
              <w:rPr>
                <w:sz w:val="11"/>
              </w:rPr>
            </w:pPr>
            <w:r>
              <w:rPr>
                <w:sz w:val="11"/>
              </w:rPr>
              <w:t>1,037</w:t>
            </w:r>
          </w:p>
        </w:tc>
        <w:tc>
          <w:tcPr>
            <w:tcW w:w="352" w:type="dxa"/>
          </w:tcPr>
          <w:p>
            <w:pPr>
              <w:pStyle w:val="TableParagraph"/>
              <w:rPr>
                <w:rFonts w:ascii="Times New Roman"/>
                <w:sz w:val="10"/>
              </w:rPr>
            </w:pPr>
          </w:p>
        </w:tc>
        <w:tc>
          <w:tcPr>
            <w:tcW w:w="548" w:type="dxa"/>
          </w:tcPr>
          <w:p>
            <w:pPr>
              <w:pStyle w:val="TableParagraph"/>
              <w:spacing w:before="8"/>
              <w:ind w:left="54"/>
              <w:rPr>
                <w:sz w:val="11"/>
              </w:rPr>
            </w:pPr>
            <w:r>
              <w:rPr>
                <w:w w:val="100"/>
                <w:sz w:val="11"/>
              </w:rPr>
              <w:t>0</w:t>
            </w:r>
          </w:p>
        </w:tc>
        <w:tc>
          <w:tcPr>
            <w:tcW w:w="312" w:type="dxa"/>
          </w:tcPr>
          <w:p>
            <w:pPr>
              <w:pStyle w:val="TableParagraph"/>
              <w:spacing w:before="8"/>
              <w:ind w:left="-2"/>
              <w:rPr>
                <w:sz w:val="11"/>
              </w:rPr>
            </w:pPr>
            <w:r>
              <w:rPr>
                <w:sz w:val="11"/>
              </w:rPr>
              <w:t>10</w:t>
            </w:r>
          </w:p>
        </w:tc>
        <w:tc>
          <w:tcPr>
            <w:tcW w:w="481" w:type="dxa"/>
          </w:tcPr>
          <w:p>
            <w:pPr>
              <w:pStyle w:val="TableParagraph"/>
              <w:spacing w:before="8"/>
              <w:ind w:right="112"/>
              <w:jc w:val="right"/>
              <w:rPr>
                <w:sz w:val="11"/>
              </w:rPr>
            </w:pPr>
            <w:r>
              <w:rPr>
                <w:w w:val="100"/>
                <w:sz w:val="11"/>
              </w:rPr>
              <w:t>0</w:t>
            </w:r>
          </w:p>
        </w:tc>
      </w:tr>
      <w:tr>
        <w:trPr>
          <w:trHeight w:val="547" w:hRule="atLeast"/>
        </w:trPr>
        <w:tc>
          <w:tcPr>
            <w:tcW w:w="5285" w:type="dxa"/>
          </w:tcPr>
          <w:p>
            <w:pPr>
              <w:pStyle w:val="TableParagraph"/>
              <w:spacing w:before="72"/>
              <w:ind w:left="110"/>
              <w:rPr>
                <w:b/>
                <w:sz w:val="11"/>
              </w:rPr>
            </w:pPr>
            <w:r>
              <w:rPr>
                <w:b/>
                <w:sz w:val="11"/>
              </w:rPr>
              <w:t>Geoff Day</w:t>
            </w:r>
          </w:p>
          <w:p>
            <w:pPr>
              <w:pStyle w:val="TableParagraph"/>
              <w:spacing w:before="10"/>
              <w:ind w:left="110"/>
              <w:rPr>
                <w:b/>
                <w:sz w:val="11"/>
              </w:rPr>
            </w:pPr>
            <w:r>
              <w:rPr>
                <w:b/>
                <w:sz w:val="11"/>
              </w:rPr>
              <w:t>Interim Director of Primary Care</w:t>
            </w:r>
          </w:p>
          <w:p>
            <w:pPr>
              <w:pStyle w:val="TableParagraph"/>
              <w:spacing w:before="10"/>
              <w:ind w:left="110"/>
              <w:rPr>
                <w:sz w:val="11"/>
              </w:rPr>
            </w:pPr>
            <w:r>
              <w:rPr>
                <w:sz w:val="11"/>
              </w:rPr>
              <w:t>Head of Commissioning, North Yorkshire and Humber NHS England and Improvement</w:t>
            </w:r>
          </w:p>
        </w:tc>
        <w:tc>
          <w:tcPr>
            <w:tcW w:w="705" w:type="dxa"/>
          </w:tcPr>
          <w:p>
            <w:pPr>
              <w:pStyle w:val="TableParagraph"/>
              <w:rPr>
                <w:b/>
                <w:sz w:val="12"/>
              </w:rPr>
            </w:pPr>
          </w:p>
          <w:p>
            <w:pPr>
              <w:pStyle w:val="TableParagraph"/>
              <w:rPr>
                <w:b/>
                <w:sz w:val="12"/>
              </w:rPr>
            </w:pPr>
          </w:p>
          <w:p>
            <w:pPr>
              <w:pStyle w:val="TableParagraph"/>
              <w:spacing w:before="69"/>
              <w:ind w:right="81"/>
              <w:jc w:val="right"/>
              <w:rPr>
                <w:sz w:val="11"/>
              </w:rPr>
            </w:pPr>
            <w:r>
              <w:rPr>
                <w:sz w:val="11"/>
              </w:rPr>
              <w:t>104</w:t>
            </w:r>
          </w:p>
        </w:tc>
        <w:tc>
          <w:tcPr>
            <w:tcW w:w="900" w:type="dxa"/>
            <w:gridSpan w:val="2"/>
          </w:tcPr>
          <w:p>
            <w:pPr>
              <w:pStyle w:val="TableParagraph"/>
              <w:rPr>
                <w:b/>
                <w:sz w:val="12"/>
              </w:rPr>
            </w:pPr>
          </w:p>
          <w:p>
            <w:pPr>
              <w:pStyle w:val="TableParagraph"/>
              <w:rPr>
                <w:b/>
                <w:sz w:val="12"/>
              </w:rPr>
            </w:pPr>
          </w:p>
          <w:p>
            <w:pPr>
              <w:pStyle w:val="TableParagraph"/>
              <w:spacing w:before="69"/>
              <w:ind w:left="283"/>
              <w:rPr>
                <w:sz w:val="11"/>
              </w:rPr>
            </w:pPr>
            <w:r>
              <w:rPr>
                <w:sz w:val="11"/>
              </w:rPr>
              <w:t>659</w:t>
            </w:r>
          </w:p>
        </w:tc>
        <w:tc>
          <w:tcPr>
            <w:tcW w:w="312" w:type="dxa"/>
          </w:tcPr>
          <w:p>
            <w:pPr>
              <w:pStyle w:val="TableParagraph"/>
              <w:rPr>
                <w:b/>
                <w:sz w:val="12"/>
              </w:rPr>
            </w:pPr>
          </w:p>
          <w:p>
            <w:pPr>
              <w:pStyle w:val="TableParagraph"/>
              <w:rPr>
                <w:b/>
                <w:sz w:val="12"/>
              </w:rPr>
            </w:pPr>
          </w:p>
          <w:p>
            <w:pPr>
              <w:pStyle w:val="TableParagraph"/>
              <w:spacing w:before="69"/>
              <w:ind w:left="60"/>
              <w:rPr>
                <w:sz w:val="11"/>
              </w:rPr>
            </w:pPr>
            <w:r>
              <w:rPr>
                <w:w w:val="100"/>
                <w:sz w:val="11"/>
              </w:rPr>
              <w:t>0</w:t>
            </w:r>
          </w:p>
        </w:tc>
        <w:tc>
          <w:tcPr>
            <w:tcW w:w="481" w:type="dxa"/>
          </w:tcPr>
          <w:p>
            <w:pPr>
              <w:pStyle w:val="TableParagraph"/>
              <w:rPr>
                <w:b/>
                <w:sz w:val="12"/>
              </w:rPr>
            </w:pPr>
          </w:p>
          <w:p>
            <w:pPr>
              <w:pStyle w:val="TableParagraph"/>
              <w:rPr>
                <w:b/>
                <w:sz w:val="12"/>
              </w:rPr>
            </w:pPr>
          </w:p>
          <w:p>
            <w:pPr>
              <w:pStyle w:val="TableParagraph"/>
              <w:spacing w:before="69"/>
              <w:ind w:right="113"/>
              <w:jc w:val="right"/>
              <w:rPr>
                <w:sz w:val="11"/>
              </w:rPr>
            </w:pPr>
            <w:r>
              <w:rPr>
                <w:sz w:val="11"/>
              </w:rPr>
              <w:t>344</w:t>
            </w:r>
          </w:p>
        </w:tc>
      </w:tr>
      <w:tr>
        <w:trPr>
          <w:trHeight w:val="472" w:hRule="atLeast"/>
        </w:trPr>
        <w:tc>
          <w:tcPr>
            <w:tcW w:w="5285" w:type="dxa"/>
          </w:tcPr>
          <w:p>
            <w:pPr>
              <w:pStyle w:val="TableParagraph"/>
              <w:spacing w:line="259" w:lineRule="auto" w:before="72"/>
              <w:ind w:left="110" w:right="4323"/>
              <w:rPr>
                <w:b/>
                <w:sz w:val="11"/>
              </w:rPr>
            </w:pPr>
            <w:r>
              <w:rPr>
                <w:b/>
                <w:sz w:val="11"/>
              </w:rPr>
              <w:t>Dr Salim Modan GP Member</w:t>
            </w:r>
          </w:p>
          <w:p>
            <w:pPr>
              <w:pStyle w:val="TableParagraph"/>
              <w:spacing w:line="108" w:lineRule="exact"/>
              <w:ind w:left="110"/>
              <w:rPr>
                <w:sz w:val="11"/>
              </w:rPr>
            </w:pPr>
            <w:r>
              <w:rPr>
                <w:sz w:val="11"/>
              </w:rPr>
              <w:t>Partner at Riverside Surgery (member of the East Primary Care Network)</w:t>
            </w:r>
          </w:p>
        </w:tc>
        <w:tc>
          <w:tcPr>
            <w:tcW w:w="705" w:type="dxa"/>
          </w:tcPr>
          <w:p>
            <w:pPr>
              <w:pStyle w:val="TableParagraph"/>
              <w:rPr>
                <w:b/>
                <w:sz w:val="12"/>
              </w:rPr>
            </w:pPr>
          </w:p>
          <w:p>
            <w:pPr>
              <w:pStyle w:val="TableParagraph"/>
              <w:rPr>
                <w:b/>
                <w:sz w:val="17"/>
              </w:rPr>
            </w:pPr>
          </w:p>
          <w:p>
            <w:pPr>
              <w:pStyle w:val="TableParagraph"/>
              <w:spacing w:line="119" w:lineRule="exact"/>
              <w:ind w:right="79"/>
              <w:jc w:val="right"/>
              <w:rPr>
                <w:sz w:val="11"/>
              </w:rPr>
            </w:pPr>
            <w:r>
              <w:rPr>
                <w:sz w:val="11"/>
              </w:rPr>
              <w:t>2,320</w:t>
            </w:r>
          </w:p>
        </w:tc>
        <w:tc>
          <w:tcPr>
            <w:tcW w:w="352" w:type="dxa"/>
          </w:tcPr>
          <w:p>
            <w:pPr>
              <w:pStyle w:val="TableParagraph"/>
              <w:rPr>
                <w:rFonts w:ascii="Times New Roman"/>
                <w:sz w:val="10"/>
              </w:rPr>
            </w:pPr>
          </w:p>
        </w:tc>
        <w:tc>
          <w:tcPr>
            <w:tcW w:w="548" w:type="dxa"/>
          </w:tcPr>
          <w:p>
            <w:pPr>
              <w:pStyle w:val="TableParagraph"/>
              <w:rPr>
                <w:b/>
                <w:sz w:val="12"/>
              </w:rPr>
            </w:pPr>
          </w:p>
          <w:p>
            <w:pPr>
              <w:pStyle w:val="TableParagraph"/>
              <w:rPr>
                <w:b/>
                <w:sz w:val="17"/>
              </w:rPr>
            </w:pPr>
          </w:p>
          <w:p>
            <w:pPr>
              <w:pStyle w:val="TableParagraph"/>
              <w:spacing w:line="119" w:lineRule="exact"/>
              <w:ind w:left="54"/>
              <w:rPr>
                <w:sz w:val="11"/>
              </w:rPr>
            </w:pPr>
            <w:r>
              <w:rPr>
                <w:w w:val="100"/>
                <w:sz w:val="11"/>
              </w:rPr>
              <w:t>0</w:t>
            </w:r>
          </w:p>
        </w:tc>
        <w:tc>
          <w:tcPr>
            <w:tcW w:w="312" w:type="dxa"/>
          </w:tcPr>
          <w:p>
            <w:pPr>
              <w:pStyle w:val="TableParagraph"/>
              <w:rPr>
                <w:b/>
                <w:sz w:val="12"/>
              </w:rPr>
            </w:pPr>
          </w:p>
          <w:p>
            <w:pPr>
              <w:pStyle w:val="TableParagraph"/>
              <w:rPr>
                <w:b/>
                <w:sz w:val="17"/>
              </w:rPr>
            </w:pPr>
          </w:p>
          <w:p>
            <w:pPr>
              <w:pStyle w:val="TableParagraph"/>
              <w:spacing w:line="119" w:lineRule="exact"/>
              <w:ind w:left="60"/>
              <w:rPr>
                <w:sz w:val="11"/>
              </w:rPr>
            </w:pPr>
            <w:r>
              <w:rPr>
                <w:w w:val="100"/>
                <w:sz w:val="11"/>
              </w:rPr>
              <w:t>0</w:t>
            </w:r>
          </w:p>
        </w:tc>
        <w:tc>
          <w:tcPr>
            <w:tcW w:w="481" w:type="dxa"/>
          </w:tcPr>
          <w:p>
            <w:pPr>
              <w:pStyle w:val="TableParagraph"/>
              <w:rPr>
                <w:b/>
                <w:sz w:val="12"/>
              </w:rPr>
            </w:pPr>
          </w:p>
          <w:p>
            <w:pPr>
              <w:pStyle w:val="TableParagraph"/>
              <w:rPr>
                <w:b/>
                <w:sz w:val="17"/>
              </w:rPr>
            </w:pPr>
          </w:p>
          <w:p>
            <w:pPr>
              <w:pStyle w:val="TableParagraph"/>
              <w:spacing w:line="119" w:lineRule="exact"/>
              <w:ind w:right="112"/>
              <w:jc w:val="right"/>
              <w:rPr>
                <w:sz w:val="11"/>
              </w:rPr>
            </w:pPr>
            <w:r>
              <w:rPr>
                <w:w w:val="100"/>
                <w:sz w:val="11"/>
              </w:rPr>
              <w:t>0</w:t>
            </w:r>
          </w:p>
        </w:tc>
      </w:tr>
      <w:tr>
        <w:trPr>
          <w:trHeight w:val="347" w:hRule="atLeast"/>
        </w:trPr>
        <w:tc>
          <w:tcPr>
            <w:tcW w:w="5285" w:type="dxa"/>
          </w:tcPr>
          <w:p>
            <w:pPr>
              <w:pStyle w:val="TableParagraph"/>
              <w:spacing w:line="259" w:lineRule="auto" w:before="9"/>
              <w:ind w:left="110" w:right="2795"/>
              <w:rPr>
                <w:sz w:val="11"/>
              </w:rPr>
            </w:pPr>
            <w:r>
              <w:rPr>
                <w:sz w:val="11"/>
              </w:rPr>
              <w:t>Member of Safecare, North Lincs GP Federation Director of the East Primary Care Network *</w:t>
            </w:r>
          </w:p>
        </w:tc>
        <w:tc>
          <w:tcPr>
            <w:tcW w:w="705" w:type="dxa"/>
          </w:tcPr>
          <w:p>
            <w:pPr>
              <w:pStyle w:val="TableParagraph"/>
              <w:spacing w:before="9"/>
              <w:ind w:right="79"/>
              <w:jc w:val="right"/>
              <w:rPr>
                <w:sz w:val="11"/>
              </w:rPr>
            </w:pPr>
            <w:r>
              <w:rPr>
                <w:sz w:val="11"/>
              </w:rPr>
              <w:t>1,037</w:t>
            </w:r>
          </w:p>
        </w:tc>
        <w:tc>
          <w:tcPr>
            <w:tcW w:w="352" w:type="dxa"/>
          </w:tcPr>
          <w:p>
            <w:pPr>
              <w:pStyle w:val="TableParagraph"/>
              <w:rPr>
                <w:rFonts w:ascii="Times New Roman"/>
                <w:sz w:val="10"/>
              </w:rPr>
            </w:pPr>
          </w:p>
        </w:tc>
        <w:tc>
          <w:tcPr>
            <w:tcW w:w="548" w:type="dxa"/>
          </w:tcPr>
          <w:p>
            <w:pPr>
              <w:pStyle w:val="TableParagraph"/>
              <w:spacing w:before="9"/>
              <w:ind w:left="54"/>
              <w:rPr>
                <w:sz w:val="11"/>
              </w:rPr>
            </w:pPr>
            <w:r>
              <w:rPr>
                <w:w w:val="100"/>
                <w:sz w:val="11"/>
              </w:rPr>
              <w:t>0</w:t>
            </w:r>
          </w:p>
        </w:tc>
        <w:tc>
          <w:tcPr>
            <w:tcW w:w="312" w:type="dxa"/>
          </w:tcPr>
          <w:p>
            <w:pPr>
              <w:pStyle w:val="TableParagraph"/>
              <w:spacing w:before="9"/>
              <w:ind w:left="-2"/>
              <w:rPr>
                <w:sz w:val="11"/>
              </w:rPr>
            </w:pPr>
            <w:r>
              <w:rPr>
                <w:sz w:val="11"/>
              </w:rPr>
              <w:t>10</w:t>
            </w:r>
          </w:p>
        </w:tc>
        <w:tc>
          <w:tcPr>
            <w:tcW w:w="481" w:type="dxa"/>
          </w:tcPr>
          <w:p>
            <w:pPr>
              <w:pStyle w:val="TableParagraph"/>
              <w:spacing w:before="9"/>
              <w:ind w:right="112"/>
              <w:jc w:val="right"/>
              <w:rPr>
                <w:sz w:val="11"/>
              </w:rPr>
            </w:pPr>
            <w:r>
              <w:rPr>
                <w:w w:val="100"/>
                <w:sz w:val="11"/>
              </w:rPr>
              <w:t>0</w:t>
            </w:r>
          </w:p>
        </w:tc>
      </w:tr>
      <w:tr>
        <w:trPr>
          <w:trHeight w:val="465" w:hRule="atLeast"/>
        </w:trPr>
        <w:tc>
          <w:tcPr>
            <w:tcW w:w="5285" w:type="dxa"/>
          </w:tcPr>
          <w:p>
            <w:pPr>
              <w:pStyle w:val="TableParagraph"/>
              <w:spacing w:line="259" w:lineRule="auto" w:before="72"/>
              <w:ind w:left="110" w:right="4250"/>
              <w:rPr>
                <w:b/>
                <w:sz w:val="11"/>
              </w:rPr>
            </w:pPr>
            <w:r>
              <w:rPr>
                <w:b/>
                <w:sz w:val="11"/>
              </w:rPr>
              <w:t>Dr Hardik Gandhi GP Member</w:t>
            </w:r>
          </w:p>
          <w:p>
            <w:pPr>
              <w:pStyle w:val="TableParagraph"/>
              <w:spacing w:line="100" w:lineRule="exact"/>
              <w:ind w:left="110"/>
              <w:rPr>
                <w:sz w:val="11"/>
              </w:rPr>
            </w:pPr>
            <w:r>
              <w:rPr>
                <w:sz w:val="11"/>
              </w:rPr>
              <w:t>Partner at Cedar Medical Practice (member of the South Primary Care Network)</w:t>
            </w:r>
          </w:p>
        </w:tc>
        <w:tc>
          <w:tcPr>
            <w:tcW w:w="705" w:type="dxa"/>
          </w:tcPr>
          <w:p>
            <w:pPr>
              <w:pStyle w:val="TableParagraph"/>
              <w:rPr>
                <w:b/>
                <w:sz w:val="12"/>
              </w:rPr>
            </w:pPr>
          </w:p>
          <w:p>
            <w:pPr>
              <w:pStyle w:val="TableParagraph"/>
              <w:rPr>
                <w:b/>
                <w:sz w:val="17"/>
              </w:rPr>
            </w:pPr>
          </w:p>
          <w:p>
            <w:pPr>
              <w:pStyle w:val="TableParagraph"/>
              <w:spacing w:line="112" w:lineRule="exact"/>
              <w:ind w:right="79"/>
              <w:jc w:val="right"/>
              <w:rPr>
                <w:sz w:val="11"/>
              </w:rPr>
            </w:pPr>
            <w:r>
              <w:rPr>
                <w:sz w:val="11"/>
              </w:rPr>
              <w:t>1,030</w:t>
            </w:r>
          </w:p>
        </w:tc>
        <w:tc>
          <w:tcPr>
            <w:tcW w:w="352" w:type="dxa"/>
          </w:tcPr>
          <w:p>
            <w:pPr>
              <w:pStyle w:val="TableParagraph"/>
              <w:rPr>
                <w:rFonts w:ascii="Times New Roman"/>
                <w:sz w:val="10"/>
              </w:rPr>
            </w:pPr>
          </w:p>
        </w:tc>
        <w:tc>
          <w:tcPr>
            <w:tcW w:w="548" w:type="dxa"/>
          </w:tcPr>
          <w:p>
            <w:pPr>
              <w:pStyle w:val="TableParagraph"/>
              <w:rPr>
                <w:b/>
                <w:sz w:val="12"/>
              </w:rPr>
            </w:pPr>
          </w:p>
          <w:p>
            <w:pPr>
              <w:pStyle w:val="TableParagraph"/>
              <w:rPr>
                <w:b/>
                <w:sz w:val="17"/>
              </w:rPr>
            </w:pPr>
          </w:p>
          <w:p>
            <w:pPr>
              <w:pStyle w:val="TableParagraph"/>
              <w:spacing w:line="112" w:lineRule="exact"/>
              <w:ind w:left="54"/>
              <w:rPr>
                <w:sz w:val="11"/>
              </w:rPr>
            </w:pPr>
            <w:r>
              <w:rPr>
                <w:w w:val="100"/>
                <w:sz w:val="11"/>
              </w:rPr>
              <w:t>0</w:t>
            </w:r>
          </w:p>
        </w:tc>
        <w:tc>
          <w:tcPr>
            <w:tcW w:w="312" w:type="dxa"/>
          </w:tcPr>
          <w:p>
            <w:pPr>
              <w:pStyle w:val="TableParagraph"/>
              <w:rPr>
                <w:b/>
                <w:sz w:val="12"/>
              </w:rPr>
            </w:pPr>
          </w:p>
          <w:p>
            <w:pPr>
              <w:pStyle w:val="TableParagraph"/>
              <w:rPr>
                <w:b/>
                <w:sz w:val="17"/>
              </w:rPr>
            </w:pPr>
          </w:p>
          <w:p>
            <w:pPr>
              <w:pStyle w:val="TableParagraph"/>
              <w:spacing w:line="112" w:lineRule="exact"/>
              <w:ind w:left="60"/>
              <w:rPr>
                <w:sz w:val="11"/>
              </w:rPr>
            </w:pPr>
            <w:r>
              <w:rPr>
                <w:w w:val="100"/>
                <w:sz w:val="11"/>
              </w:rPr>
              <w:t>0</w:t>
            </w:r>
          </w:p>
        </w:tc>
        <w:tc>
          <w:tcPr>
            <w:tcW w:w="481" w:type="dxa"/>
          </w:tcPr>
          <w:p>
            <w:pPr>
              <w:pStyle w:val="TableParagraph"/>
              <w:rPr>
                <w:b/>
                <w:sz w:val="12"/>
              </w:rPr>
            </w:pPr>
          </w:p>
          <w:p>
            <w:pPr>
              <w:pStyle w:val="TableParagraph"/>
              <w:rPr>
                <w:b/>
                <w:sz w:val="17"/>
              </w:rPr>
            </w:pPr>
          </w:p>
          <w:p>
            <w:pPr>
              <w:pStyle w:val="TableParagraph"/>
              <w:spacing w:line="112" w:lineRule="exact"/>
              <w:ind w:right="112"/>
              <w:jc w:val="right"/>
              <w:rPr>
                <w:sz w:val="11"/>
              </w:rPr>
            </w:pPr>
            <w:r>
              <w:rPr>
                <w:w w:val="100"/>
                <w:sz w:val="11"/>
              </w:rPr>
              <w:t>0</w:t>
            </w:r>
          </w:p>
        </w:tc>
      </w:tr>
      <w:tr>
        <w:trPr>
          <w:trHeight w:val="141" w:hRule="atLeast"/>
        </w:trPr>
        <w:tc>
          <w:tcPr>
            <w:tcW w:w="5285" w:type="dxa"/>
          </w:tcPr>
          <w:p>
            <w:pPr>
              <w:pStyle w:val="TableParagraph"/>
              <w:spacing w:line="119" w:lineRule="exact" w:before="2"/>
              <w:ind w:left="110"/>
              <w:rPr>
                <w:sz w:val="11"/>
              </w:rPr>
            </w:pPr>
            <w:r>
              <w:rPr>
                <w:sz w:val="11"/>
              </w:rPr>
              <w:t>Member of Safecare, North Lincs GP Federation and provides GP OOH Services</w:t>
            </w:r>
          </w:p>
        </w:tc>
        <w:tc>
          <w:tcPr>
            <w:tcW w:w="705" w:type="dxa"/>
          </w:tcPr>
          <w:p>
            <w:pPr>
              <w:pStyle w:val="TableParagraph"/>
              <w:spacing w:line="119" w:lineRule="exact" w:before="2"/>
              <w:ind w:right="79"/>
              <w:jc w:val="right"/>
              <w:rPr>
                <w:sz w:val="11"/>
              </w:rPr>
            </w:pPr>
            <w:r>
              <w:rPr>
                <w:sz w:val="11"/>
              </w:rPr>
              <w:t>1,037</w:t>
            </w:r>
          </w:p>
        </w:tc>
        <w:tc>
          <w:tcPr>
            <w:tcW w:w="352" w:type="dxa"/>
          </w:tcPr>
          <w:p>
            <w:pPr>
              <w:pStyle w:val="TableParagraph"/>
              <w:rPr>
                <w:rFonts w:ascii="Times New Roman"/>
                <w:sz w:val="8"/>
              </w:rPr>
            </w:pPr>
          </w:p>
        </w:tc>
        <w:tc>
          <w:tcPr>
            <w:tcW w:w="548" w:type="dxa"/>
          </w:tcPr>
          <w:p>
            <w:pPr>
              <w:pStyle w:val="TableParagraph"/>
              <w:spacing w:line="119" w:lineRule="exact" w:before="2"/>
              <w:ind w:left="54"/>
              <w:rPr>
                <w:sz w:val="11"/>
              </w:rPr>
            </w:pPr>
            <w:r>
              <w:rPr>
                <w:w w:val="100"/>
                <w:sz w:val="11"/>
              </w:rPr>
              <w:t>0</w:t>
            </w:r>
          </w:p>
        </w:tc>
        <w:tc>
          <w:tcPr>
            <w:tcW w:w="312" w:type="dxa"/>
          </w:tcPr>
          <w:p>
            <w:pPr>
              <w:pStyle w:val="TableParagraph"/>
              <w:spacing w:line="119" w:lineRule="exact" w:before="2"/>
              <w:rPr>
                <w:sz w:val="11"/>
              </w:rPr>
            </w:pPr>
            <w:r>
              <w:rPr>
                <w:sz w:val="11"/>
              </w:rPr>
              <w:t>10</w:t>
            </w:r>
          </w:p>
        </w:tc>
        <w:tc>
          <w:tcPr>
            <w:tcW w:w="481" w:type="dxa"/>
          </w:tcPr>
          <w:p>
            <w:pPr>
              <w:pStyle w:val="TableParagraph"/>
              <w:spacing w:line="119" w:lineRule="exact" w:before="2"/>
              <w:ind w:right="112"/>
              <w:jc w:val="right"/>
              <w:rPr>
                <w:sz w:val="11"/>
              </w:rPr>
            </w:pPr>
            <w:r>
              <w:rPr>
                <w:w w:val="100"/>
                <w:sz w:val="11"/>
              </w:rPr>
              <w:t>0</w:t>
            </w:r>
          </w:p>
        </w:tc>
      </w:tr>
      <w:tr>
        <w:trPr>
          <w:trHeight w:val="347" w:hRule="atLeast"/>
        </w:trPr>
        <w:tc>
          <w:tcPr>
            <w:tcW w:w="5285" w:type="dxa"/>
          </w:tcPr>
          <w:p>
            <w:pPr>
              <w:pStyle w:val="TableParagraph"/>
              <w:spacing w:line="259" w:lineRule="auto" w:before="9"/>
              <w:ind w:left="110" w:right="550"/>
              <w:rPr>
                <w:sz w:val="11"/>
              </w:rPr>
            </w:pPr>
            <w:r>
              <w:rPr>
                <w:sz w:val="11"/>
              </w:rPr>
              <w:t>Spouse works as a Consultant Obstetrician and Gynaecologist in Scunthorpe General Hospital Director of the South Primary Care Network *</w:t>
            </w:r>
          </w:p>
        </w:tc>
        <w:tc>
          <w:tcPr>
            <w:tcW w:w="705" w:type="dxa"/>
          </w:tcPr>
          <w:p>
            <w:pPr>
              <w:pStyle w:val="TableParagraph"/>
              <w:spacing w:before="9"/>
              <w:ind w:right="79"/>
              <w:jc w:val="right"/>
              <w:rPr>
                <w:sz w:val="11"/>
              </w:rPr>
            </w:pPr>
            <w:r>
              <w:rPr>
                <w:sz w:val="11"/>
              </w:rPr>
              <w:t>126,245</w:t>
            </w:r>
          </w:p>
        </w:tc>
        <w:tc>
          <w:tcPr>
            <w:tcW w:w="352" w:type="dxa"/>
          </w:tcPr>
          <w:p>
            <w:pPr>
              <w:pStyle w:val="TableParagraph"/>
              <w:rPr>
                <w:rFonts w:ascii="Times New Roman"/>
                <w:sz w:val="10"/>
              </w:rPr>
            </w:pPr>
          </w:p>
        </w:tc>
        <w:tc>
          <w:tcPr>
            <w:tcW w:w="548" w:type="dxa"/>
          </w:tcPr>
          <w:p>
            <w:pPr>
              <w:pStyle w:val="TableParagraph"/>
              <w:spacing w:before="9"/>
              <w:ind w:left="-11"/>
              <w:rPr>
                <w:sz w:val="11"/>
              </w:rPr>
            </w:pPr>
            <w:r>
              <w:rPr>
                <w:sz w:val="11"/>
              </w:rPr>
              <w:t>17</w:t>
            </w:r>
          </w:p>
        </w:tc>
        <w:tc>
          <w:tcPr>
            <w:tcW w:w="312" w:type="dxa"/>
          </w:tcPr>
          <w:p>
            <w:pPr>
              <w:pStyle w:val="TableParagraph"/>
              <w:spacing w:before="9"/>
              <w:ind w:left="62"/>
              <w:rPr>
                <w:sz w:val="11"/>
              </w:rPr>
            </w:pPr>
            <w:r>
              <w:rPr>
                <w:w w:val="100"/>
                <w:sz w:val="11"/>
              </w:rPr>
              <w:t>0</w:t>
            </w:r>
          </w:p>
        </w:tc>
        <w:tc>
          <w:tcPr>
            <w:tcW w:w="481" w:type="dxa"/>
          </w:tcPr>
          <w:p>
            <w:pPr>
              <w:pStyle w:val="TableParagraph"/>
              <w:spacing w:before="9"/>
              <w:ind w:right="112"/>
              <w:jc w:val="right"/>
              <w:rPr>
                <w:sz w:val="11"/>
              </w:rPr>
            </w:pPr>
            <w:r>
              <w:rPr>
                <w:w w:val="100"/>
                <w:sz w:val="11"/>
              </w:rPr>
              <w:t>0</w:t>
            </w:r>
          </w:p>
        </w:tc>
      </w:tr>
      <w:tr>
        <w:trPr>
          <w:trHeight w:val="465" w:hRule="atLeast"/>
        </w:trPr>
        <w:tc>
          <w:tcPr>
            <w:tcW w:w="5285" w:type="dxa"/>
          </w:tcPr>
          <w:p>
            <w:pPr>
              <w:pStyle w:val="TableParagraph"/>
              <w:spacing w:line="259" w:lineRule="auto" w:before="72"/>
              <w:ind w:left="110" w:right="4396"/>
              <w:rPr>
                <w:b/>
                <w:sz w:val="11"/>
              </w:rPr>
            </w:pPr>
            <w:r>
              <w:rPr>
                <w:b/>
                <w:sz w:val="11"/>
              </w:rPr>
              <w:t>Dr Pratik Basu GP Member</w:t>
            </w:r>
          </w:p>
          <w:p>
            <w:pPr>
              <w:pStyle w:val="TableParagraph"/>
              <w:spacing w:line="100" w:lineRule="exact"/>
              <w:ind w:left="110"/>
              <w:rPr>
                <w:sz w:val="11"/>
              </w:rPr>
            </w:pPr>
            <w:r>
              <w:rPr>
                <w:sz w:val="11"/>
              </w:rPr>
              <w:t>Salaried GP at the Birches Practice (member of the West Primary Care Network)</w:t>
            </w:r>
          </w:p>
        </w:tc>
        <w:tc>
          <w:tcPr>
            <w:tcW w:w="705" w:type="dxa"/>
          </w:tcPr>
          <w:p>
            <w:pPr>
              <w:pStyle w:val="TableParagraph"/>
              <w:rPr>
                <w:b/>
                <w:sz w:val="12"/>
              </w:rPr>
            </w:pPr>
          </w:p>
          <w:p>
            <w:pPr>
              <w:pStyle w:val="TableParagraph"/>
              <w:rPr>
                <w:b/>
                <w:sz w:val="17"/>
              </w:rPr>
            </w:pPr>
          </w:p>
          <w:p>
            <w:pPr>
              <w:pStyle w:val="TableParagraph"/>
              <w:spacing w:line="112" w:lineRule="exact"/>
              <w:ind w:right="79"/>
              <w:jc w:val="right"/>
              <w:rPr>
                <w:sz w:val="11"/>
              </w:rPr>
            </w:pPr>
            <w:r>
              <w:rPr>
                <w:sz w:val="11"/>
              </w:rPr>
              <w:t>1,067</w:t>
            </w:r>
          </w:p>
        </w:tc>
        <w:tc>
          <w:tcPr>
            <w:tcW w:w="352" w:type="dxa"/>
          </w:tcPr>
          <w:p>
            <w:pPr>
              <w:pStyle w:val="TableParagraph"/>
              <w:rPr>
                <w:rFonts w:ascii="Times New Roman"/>
                <w:sz w:val="10"/>
              </w:rPr>
            </w:pPr>
          </w:p>
        </w:tc>
        <w:tc>
          <w:tcPr>
            <w:tcW w:w="548" w:type="dxa"/>
          </w:tcPr>
          <w:p>
            <w:pPr>
              <w:pStyle w:val="TableParagraph"/>
              <w:rPr>
                <w:b/>
                <w:sz w:val="12"/>
              </w:rPr>
            </w:pPr>
          </w:p>
          <w:p>
            <w:pPr>
              <w:pStyle w:val="TableParagraph"/>
              <w:rPr>
                <w:b/>
                <w:sz w:val="17"/>
              </w:rPr>
            </w:pPr>
          </w:p>
          <w:p>
            <w:pPr>
              <w:pStyle w:val="TableParagraph"/>
              <w:spacing w:line="112" w:lineRule="exact"/>
              <w:ind w:left="54"/>
              <w:rPr>
                <w:sz w:val="11"/>
              </w:rPr>
            </w:pPr>
            <w:r>
              <w:rPr>
                <w:w w:val="100"/>
                <w:sz w:val="11"/>
              </w:rPr>
              <w:t>0</w:t>
            </w:r>
          </w:p>
        </w:tc>
        <w:tc>
          <w:tcPr>
            <w:tcW w:w="312" w:type="dxa"/>
          </w:tcPr>
          <w:p>
            <w:pPr>
              <w:pStyle w:val="TableParagraph"/>
              <w:rPr>
                <w:b/>
                <w:sz w:val="12"/>
              </w:rPr>
            </w:pPr>
          </w:p>
          <w:p>
            <w:pPr>
              <w:pStyle w:val="TableParagraph"/>
              <w:rPr>
                <w:b/>
                <w:sz w:val="17"/>
              </w:rPr>
            </w:pPr>
          </w:p>
          <w:p>
            <w:pPr>
              <w:pStyle w:val="TableParagraph"/>
              <w:spacing w:line="112" w:lineRule="exact"/>
              <w:ind w:left="60"/>
              <w:rPr>
                <w:sz w:val="11"/>
              </w:rPr>
            </w:pPr>
            <w:r>
              <w:rPr>
                <w:w w:val="100"/>
                <w:sz w:val="11"/>
              </w:rPr>
              <w:t>0</w:t>
            </w:r>
          </w:p>
        </w:tc>
        <w:tc>
          <w:tcPr>
            <w:tcW w:w="481" w:type="dxa"/>
          </w:tcPr>
          <w:p>
            <w:pPr>
              <w:pStyle w:val="TableParagraph"/>
              <w:rPr>
                <w:b/>
                <w:sz w:val="12"/>
              </w:rPr>
            </w:pPr>
          </w:p>
          <w:p>
            <w:pPr>
              <w:pStyle w:val="TableParagraph"/>
              <w:rPr>
                <w:b/>
                <w:sz w:val="17"/>
              </w:rPr>
            </w:pPr>
          </w:p>
          <w:p>
            <w:pPr>
              <w:pStyle w:val="TableParagraph"/>
              <w:spacing w:line="112" w:lineRule="exact"/>
              <w:ind w:right="112"/>
              <w:jc w:val="right"/>
              <w:rPr>
                <w:sz w:val="11"/>
              </w:rPr>
            </w:pPr>
            <w:r>
              <w:rPr>
                <w:w w:val="100"/>
                <w:sz w:val="11"/>
              </w:rPr>
              <w:t>0</w:t>
            </w:r>
          </w:p>
        </w:tc>
      </w:tr>
      <w:tr>
        <w:trPr>
          <w:trHeight w:val="135" w:hRule="atLeast"/>
        </w:trPr>
        <w:tc>
          <w:tcPr>
            <w:tcW w:w="5285" w:type="dxa"/>
          </w:tcPr>
          <w:p>
            <w:pPr>
              <w:pStyle w:val="TableParagraph"/>
              <w:spacing w:line="113" w:lineRule="exact" w:before="2"/>
              <w:ind w:left="110"/>
              <w:rPr>
                <w:sz w:val="11"/>
              </w:rPr>
            </w:pPr>
            <w:r>
              <w:rPr>
                <w:sz w:val="11"/>
              </w:rPr>
              <w:t>Salaried GP at Market Hill Practice (member of the West Primary Care Network)</w:t>
            </w:r>
          </w:p>
        </w:tc>
        <w:tc>
          <w:tcPr>
            <w:tcW w:w="705" w:type="dxa"/>
          </w:tcPr>
          <w:p>
            <w:pPr>
              <w:pStyle w:val="TableParagraph"/>
              <w:spacing w:line="113" w:lineRule="exact" w:before="2"/>
              <w:ind w:right="81"/>
              <w:jc w:val="right"/>
              <w:rPr>
                <w:sz w:val="11"/>
              </w:rPr>
            </w:pPr>
            <w:r>
              <w:rPr>
                <w:sz w:val="11"/>
              </w:rPr>
              <w:t>870</w:t>
            </w:r>
          </w:p>
        </w:tc>
        <w:tc>
          <w:tcPr>
            <w:tcW w:w="352" w:type="dxa"/>
          </w:tcPr>
          <w:p>
            <w:pPr>
              <w:pStyle w:val="TableParagraph"/>
              <w:rPr>
                <w:rFonts w:ascii="Times New Roman"/>
                <w:sz w:val="8"/>
              </w:rPr>
            </w:pPr>
          </w:p>
        </w:tc>
        <w:tc>
          <w:tcPr>
            <w:tcW w:w="548" w:type="dxa"/>
          </w:tcPr>
          <w:p>
            <w:pPr>
              <w:pStyle w:val="TableParagraph"/>
              <w:spacing w:line="113" w:lineRule="exact" w:before="2"/>
              <w:ind w:left="54"/>
              <w:rPr>
                <w:sz w:val="11"/>
              </w:rPr>
            </w:pPr>
            <w:r>
              <w:rPr>
                <w:w w:val="100"/>
                <w:sz w:val="11"/>
              </w:rPr>
              <w:t>0</w:t>
            </w:r>
          </w:p>
        </w:tc>
        <w:tc>
          <w:tcPr>
            <w:tcW w:w="312" w:type="dxa"/>
          </w:tcPr>
          <w:p>
            <w:pPr>
              <w:pStyle w:val="TableParagraph"/>
              <w:spacing w:line="113" w:lineRule="exact" w:before="2"/>
              <w:ind w:left="62"/>
              <w:rPr>
                <w:sz w:val="11"/>
              </w:rPr>
            </w:pPr>
            <w:r>
              <w:rPr>
                <w:w w:val="100"/>
                <w:sz w:val="11"/>
              </w:rPr>
              <w:t>0</w:t>
            </w:r>
          </w:p>
        </w:tc>
        <w:tc>
          <w:tcPr>
            <w:tcW w:w="481" w:type="dxa"/>
          </w:tcPr>
          <w:p>
            <w:pPr>
              <w:pStyle w:val="TableParagraph"/>
              <w:spacing w:line="113" w:lineRule="exact" w:before="2"/>
              <w:ind w:right="112"/>
              <w:jc w:val="right"/>
              <w:rPr>
                <w:sz w:val="11"/>
              </w:rPr>
            </w:pPr>
            <w:r>
              <w:rPr>
                <w:w w:val="100"/>
                <w:sz w:val="11"/>
              </w:rPr>
              <w:t>0</w:t>
            </w:r>
          </w:p>
        </w:tc>
      </w:tr>
      <w:tr>
        <w:trPr>
          <w:trHeight w:val="141" w:hRule="atLeast"/>
        </w:trPr>
        <w:tc>
          <w:tcPr>
            <w:tcW w:w="5285" w:type="dxa"/>
          </w:tcPr>
          <w:p>
            <w:pPr>
              <w:pStyle w:val="TableParagraph"/>
              <w:spacing w:line="118" w:lineRule="exact" w:before="3"/>
              <w:ind w:left="110"/>
              <w:rPr>
                <w:sz w:val="11"/>
              </w:rPr>
            </w:pPr>
            <w:r>
              <w:rPr>
                <w:sz w:val="11"/>
              </w:rPr>
              <w:t>Salaried GP for Core Care Links</w:t>
            </w:r>
          </w:p>
        </w:tc>
        <w:tc>
          <w:tcPr>
            <w:tcW w:w="705" w:type="dxa"/>
          </w:tcPr>
          <w:p>
            <w:pPr>
              <w:pStyle w:val="TableParagraph"/>
              <w:spacing w:line="118" w:lineRule="exact" w:before="3"/>
              <w:ind w:right="81"/>
              <w:jc w:val="right"/>
              <w:rPr>
                <w:sz w:val="11"/>
              </w:rPr>
            </w:pPr>
            <w:r>
              <w:rPr>
                <w:sz w:val="11"/>
              </w:rPr>
              <w:t>859</w:t>
            </w:r>
          </w:p>
        </w:tc>
        <w:tc>
          <w:tcPr>
            <w:tcW w:w="352" w:type="dxa"/>
          </w:tcPr>
          <w:p>
            <w:pPr>
              <w:pStyle w:val="TableParagraph"/>
              <w:rPr>
                <w:rFonts w:ascii="Times New Roman"/>
                <w:sz w:val="8"/>
              </w:rPr>
            </w:pPr>
          </w:p>
        </w:tc>
        <w:tc>
          <w:tcPr>
            <w:tcW w:w="548" w:type="dxa"/>
          </w:tcPr>
          <w:p>
            <w:pPr>
              <w:pStyle w:val="TableParagraph"/>
              <w:spacing w:line="118" w:lineRule="exact" w:before="3"/>
              <w:ind w:left="54"/>
              <w:rPr>
                <w:sz w:val="11"/>
              </w:rPr>
            </w:pPr>
            <w:r>
              <w:rPr>
                <w:w w:val="100"/>
                <w:sz w:val="11"/>
              </w:rPr>
              <w:t>0</w:t>
            </w:r>
          </w:p>
        </w:tc>
        <w:tc>
          <w:tcPr>
            <w:tcW w:w="312" w:type="dxa"/>
          </w:tcPr>
          <w:p>
            <w:pPr>
              <w:pStyle w:val="TableParagraph"/>
              <w:spacing w:line="118" w:lineRule="exact" w:before="3"/>
              <w:ind w:left="62"/>
              <w:rPr>
                <w:sz w:val="11"/>
              </w:rPr>
            </w:pPr>
            <w:r>
              <w:rPr>
                <w:w w:val="100"/>
                <w:sz w:val="11"/>
              </w:rPr>
              <w:t>0</w:t>
            </w:r>
          </w:p>
        </w:tc>
        <w:tc>
          <w:tcPr>
            <w:tcW w:w="481" w:type="dxa"/>
          </w:tcPr>
          <w:p>
            <w:pPr>
              <w:pStyle w:val="TableParagraph"/>
              <w:spacing w:line="118" w:lineRule="exact" w:before="3"/>
              <w:ind w:right="112"/>
              <w:jc w:val="right"/>
              <w:rPr>
                <w:sz w:val="11"/>
              </w:rPr>
            </w:pPr>
            <w:r>
              <w:rPr>
                <w:w w:val="100"/>
                <w:sz w:val="11"/>
              </w:rPr>
              <w:t>0</w:t>
            </w:r>
          </w:p>
        </w:tc>
      </w:tr>
      <w:tr>
        <w:trPr>
          <w:trHeight w:val="349" w:hRule="atLeast"/>
        </w:trPr>
        <w:tc>
          <w:tcPr>
            <w:tcW w:w="5285" w:type="dxa"/>
          </w:tcPr>
          <w:p>
            <w:pPr>
              <w:pStyle w:val="TableParagraph"/>
              <w:spacing w:line="259" w:lineRule="auto" w:before="10"/>
              <w:ind w:left="110" w:right="2795"/>
              <w:rPr>
                <w:sz w:val="11"/>
              </w:rPr>
            </w:pPr>
            <w:r>
              <w:rPr>
                <w:sz w:val="11"/>
              </w:rPr>
              <w:t>Member of Safecare, North Lincs GP Federation Director of the West Primary Care Network *</w:t>
            </w:r>
          </w:p>
        </w:tc>
        <w:tc>
          <w:tcPr>
            <w:tcW w:w="705" w:type="dxa"/>
          </w:tcPr>
          <w:p>
            <w:pPr>
              <w:pStyle w:val="TableParagraph"/>
              <w:spacing w:before="8"/>
              <w:ind w:right="79"/>
              <w:jc w:val="right"/>
              <w:rPr>
                <w:sz w:val="11"/>
              </w:rPr>
            </w:pPr>
            <w:r>
              <w:rPr>
                <w:sz w:val="11"/>
              </w:rPr>
              <w:t>1,037</w:t>
            </w:r>
          </w:p>
        </w:tc>
        <w:tc>
          <w:tcPr>
            <w:tcW w:w="352" w:type="dxa"/>
          </w:tcPr>
          <w:p>
            <w:pPr>
              <w:pStyle w:val="TableParagraph"/>
              <w:rPr>
                <w:rFonts w:ascii="Times New Roman"/>
                <w:sz w:val="10"/>
              </w:rPr>
            </w:pPr>
          </w:p>
        </w:tc>
        <w:tc>
          <w:tcPr>
            <w:tcW w:w="548" w:type="dxa"/>
          </w:tcPr>
          <w:p>
            <w:pPr>
              <w:pStyle w:val="TableParagraph"/>
              <w:spacing w:before="8"/>
              <w:ind w:left="54"/>
              <w:rPr>
                <w:sz w:val="11"/>
              </w:rPr>
            </w:pPr>
            <w:r>
              <w:rPr>
                <w:w w:val="100"/>
                <w:sz w:val="11"/>
              </w:rPr>
              <w:t>0</w:t>
            </w:r>
          </w:p>
        </w:tc>
        <w:tc>
          <w:tcPr>
            <w:tcW w:w="312" w:type="dxa"/>
          </w:tcPr>
          <w:p>
            <w:pPr>
              <w:pStyle w:val="TableParagraph"/>
              <w:spacing w:before="8"/>
              <w:ind w:left="-2"/>
              <w:rPr>
                <w:sz w:val="11"/>
              </w:rPr>
            </w:pPr>
            <w:r>
              <w:rPr>
                <w:sz w:val="11"/>
              </w:rPr>
              <w:t>10</w:t>
            </w:r>
          </w:p>
        </w:tc>
        <w:tc>
          <w:tcPr>
            <w:tcW w:w="481" w:type="dxa"/>
          </w:tcPr>
          <w:p>
            <w:pPr>
              <w:pStyle w:val="TableParagraph"/>
              <w:spacing w:before="8"/>
              <w:ind w:right="112"/>
              <w:jc w:val="right"/>
              <w:rPr>
                <w:sz w:val="11"/>
              </w:rPr>
            </w:pPr>
            <w:r>
              <w:rPr>
                <w:w w:val="100"/>
                <w:sz w:val="11"/>
              </w:rPr>
              <w:t>0</w:t>
            </w:r>
          </w:p>
        </w:tc>
      </w:tr>
      <w:tr>
        <w:trPr>
          <w:trHeight w:val="470" w:hRule="atLeast"/>
        </w:trPr>
        <w:tc>
          <w:tcPr>
            <w:tcW w:w="5285" w:type="dxa"/>
          </w:tcPr>
          <w:p>
            <w:pPr>
              <w:pStyle w:val="TableParagraph"/>
              <w:spacing w:line="259" w:lineRule="auto" w:before="72"/>
              <w:ind w:left="110" w:right="4158"/>
              <w:rPr>
                <w:b/>
                <w:sz w:val="11"/>
              </w:rPr>
            </w:pPr>
            <w:r>
              <w:rPr>
                <w:b/>
                <w:sz w:val="11"/>
              </w:rPr>
              <w:t>Dr Gary Armstrong GP Member</w:t>
            </w:r>
          </w:p>
          <w:p>
            <w:pPr>
              <w:pStyle w:val="TableParagraph"/>
              <w:spacing w:line="105" w:lineRule="exact"/>
              <w:ind w:left="110"/>
              <w:rPr>
                <w:sz w:val="11"/>
              </w:rPr>
            </w:pPr>
            <w:r>
              <w:rPr>
                <w:sz w:val="11"/>
              </w:rPr>
              <w:t>Partner at South Axholme Practice (member of West Primary Care Network)</w:t>
            </w:r>
          </w:p>
        </w:tc>
        <w:tc>
          <w:tcPr>
            <w:tcW w:w="705" w:type="dxa"/>
          </w:tcPr>
          <w:p>
            <w:pPr>
              <w:pStyle w:val="TableParagraph"/>
              <w:rPr>
                <w:b/>
                <w:sz w:val="12"/>
              </w:rPr>
            </w:pPr>
          </w:p>
          <w:p>
            <w:pPr>
              <w:pStyle w:val="TableParagraph"/>
              <w:spacing w:before="9"/>
              <w:rPr>
                <w:b/>
                <w:sz w:val="16"/>
              </w:rPr>
            </w:pPr>
          </w:p>
          <w:p>
            <w:pPr>
              <w:pStyle w:val="TableParagraph"/>
              <w:spacing w:line="119" w:lineRule="exact"/>
              <w:ind w:right="79"/>
              <w:jc w:val="right"/>
              <w:rPr>
                <w:sz w:val="11"/>
              </w:rPr>
            </w:pPr>
            <w:r>
              <w:rPr>
                <w:sz w:val="11"/>
              </w:rPr>
              <w:t>2,452</w:t>
            </w:r>
          </w:p>
        </w:tc>
        <w:tc>
          <w:tcPr>
            <w:tcW w:w="352" w:type="dxa"/>
          </w:tcPr>
          <w:p>
            <w:pPr>
              <w:pStyle w:val="TableParagraph"/>
              <w:rPr>
                <w:rFonts w:ascii="Times New Roman"/>
                <w:sz w:val="10"/>
              </w:rPr>
            </w:pPr>
          </w:p>
        </w:tc>
        <w:tc>
          <w:tcPr>
            <w:tcW w:w="548" w:type="dxa"/>
          </w:tcPr>
          <w:p>
            <w:pPr>
              <w:pStyle w:val="TableParagraph"/>
              <w:rPr>
                <w:b/>
                <w:sz w:val="12"/>
              </w:rPr>
            </w:pPr>
          </w:p>
          <w:p>
            <w:pPr>
              <w:pStyle w:val="TableParagraph"/>
              <w:spacing w:before="9"/>
              <w:rPr>
                <w:b/>
                <w:sz w:val="16"/>
              </w:rPr>
            </w:pPr>
          </w:p>
          <w:p>
            <w:pPr>
              <w:pStyle w:val="TableParagraph"/>
              <w:spacing w:line="119" w:lineRule="exact"/>
              <w:ind w:left="54"/>
              <w:rPr>
                <w:sz w:val="11"/>
              </w:rPr>
            </w:pPr>
            <w:r>
              <w:rPr>
                <w:w w:val="100"/>
                <w:sz w:val="11"/>
              </w:rPr>
              <w:t>0</w:t>
            </w:r>
          </w:p>
        </w:tc>
        <w:tc>
          <w:tcPr>
            <w:tcW w:w="312" w:type="dxa"/>
          </w:tcPr>
          <w:p>
            <w:pPr>
              <w:pStyle w:val="TableParagraph"/>
              <w:rPr>
                <w:b/>
                <w:sz w:val="12"/>
              </w:rPr>
            </w:pPr>
          </w:p>
          <w:p>
            <w:pPr>
              <w:pStyle w:val="TableParagraph"/>
              <w:spacing w:before="9"/>
              <w:rPr>
                <w:b/>
                <w:sz w:val="16"/>
              </w:rPr>
            </w:pPr>
          </w:p>
          <w:p>
            <w:pPr>
              <w:pStyle w:val="TableParagraph"/>
              <w:spacing w:line="119" w:lineRule="exact"/>
              <w:ind w:left="60"/>
              <w:rPr>
                <w:sz w:val="11"/>
              </w:rPr>
            </w:pPr>
            <w:r>
              <w:rPr>
                <w:w w:val="100"/>
                <w:sz w:val="11"/>
              </w:rPr>
              <w:t>0</w:t>
            </w:r>
          </w:p>
        </w:tc>
        <w:tc>
          <w:tcPr>
            <w:tcW w:w="481" w:type="dxa"/>
          </w:tcPr>
          <w:p>
            <w:pPr>
              <w:pStyle w:val="TableParagraph"/>
              <w:rPr>
                <w:b/>
                <w:sz w:val="12"/>
              </w:rPr>
            </w:pPr>
          </w:p>
          <w:p>
            <w:pPr>
              <w:pStyle w:val="TableParagraph"/>
              <w:spacing w:before="9"/>
              <w:rPr>
                <w:b/>
                <w:sz w:val="16"/>
              </w:rPr>
            </w:pPr>
          </w:p>
          <w:p>
            <w:pPr>
              <w:pStyle w:val="TableParagraph"/>
              <w:spacing w:line="119" w:lineRule="exact"/>
              <w:ind w:right="112"/>
              <w:jc w:val="right"/>
              <w:rPr>
                <w:sz w:val="11"/>
              </w:rPr>
            </w:pPr>
            <w:r>
              <w:rPr>
                <w:w w:val="100"/>
                <w:sz w:val="11"/>
              </w:rPr>
              <w:t>0</w:t>
            </w:r>
          </w:p>
        </w:tc>
      </w:tr>
      <w:tr>
        <w:trPr>
          <w:trHeight w:val="270" w:hRule="atLeast"/>
        </w:trPr>
        <w:tc>
          <w:tcPr>
            <w:tcW w:w="5285" w:type="dxa"/>
          </w:tcPr>
          <w:p>
            <w:pPr>
              <w:pStyle w:val="TableParagraph"/>
              <w:spacing w:before="9"/>
              <w:ind w:left="110"/>
              <w:rPr>
                <w:sz w:val="11"/>
              </w:rPr>
            </w:pPr>
            <w:r>
              <w:rPr>
                <w:sz w:val="11"/>
              </w:rPr>
              <w:t>Member of Safecare, North Lincs GP Federation</w:t>
            </w:r>
          </w:p>
        </w:tc>
        <w:tc>
          <w:tcPr>
            <w:tcW w:w="705" w:type="dxa"/>
          </w:tcPr>
          <w:p>
            <w:pPr>
              <w:pStyle w:val="TableParagraph"/>
              <w:spacing w:before="9"/>
              <w:ind w:right="79"/>
              <w:jc w:val="right"/>
              <w:rPr>
                <w:sz w:val="11"/>
              </w:rPr>
            </w:pPr>
            <w:r>
              <w:rPr>
                <w:sz w:val="11"/>
              </w:rPr>
              <w:t>1,037</w:t>
            </w:r>
          </w:p>
        </w:tc>
        <w:tc>
          <w:tcPr>
            <w:tcW w:w="352" w:type="dxa"/>
          </w:tcPr>
          <w:p>
            <w:pPr>
              <w:pStyle w:val="TableParagraph"/>
              <w:rPr>
                <w:rFonts w:ascii="Times New Roman"/>
                <w:sz w:val="10"/>
              </w:rPr>
            </w:pPr>
          </w:p>
        </w:tc>
        <w:tc>
          <w:tcPr>
            <w:tcW w:w="548" w:type="dxa"/>
          </w:tcPr>
          <w:p>
            <w:pPr>
              <w:pStyle w:val="TableParagraph"/>
              <w:spacing w:before="9"/>
              <w:ind w:left="54"/>
              <w:rPr>
                <w:sz w:val="11"/>
              </w:rPr>
            </w:pPr>
            <w:r>
              <w:rPr>
                <w:w w:val="100"/>
                <w:sz w:val="11"/>
              </w:rPr>
              <w:t>0</w:t>
            </w:r>
          </w:p>
        </w:tc>
        <w:tc>
          <w:tcPr>
            <w:tcW w:w="312" w:type="dxa"/>
          </w:tcPr>
          <w:p>
            <w:pPr>
              <w:pStyle w:val="TableParagraph"/>
              <w:spacing w:before="9"/>
              <w:ind w:left="-2"/>
              <w:rPr>
                <w:sz w:val="11"/>
              </w:rPr>
            </w:pPr>
            <w:r>
              <w:rPr>
                <w:sz w:val="11"/>
              </w:rPr>
              <w:t>10</w:t>
            </w:r>
          </w:p>
        </w:tc>
        <w:tc>
          <w:tcPr>
            <w:tcW w:w="481" w:type="dxa"/>
          </w:tcPr>
          <w:p>
            <w:pPr>
              <w:pStyle w:val="TableParagraph"/>
              <w:spacing w:before="9"/>
              <w:ind w:right="112"/>
              <w:jc w:val="right"/>
              <w:rPr>
                <w:sz w:val="11"/>
              </w:rPr>
            </w:pPr>
            <w:r>
              <w:rPr>
                <w:w w:val="100"/>
                <w:sz w:val="11"/>
              </w:rPr>
              <w:t>0</w:t>
            </w:r>
          </w:p>
        </w:tc>
      </w:tr>
      <w:tr>
        <w:trPr>
          <w:trHeight w:val="257" w:hRule="atLeast"/>
        </w:trPr>
        <w:tc>
          <w:tcPr>
            <w:tcW w:w="5285" w:type="dxa"/>
          </w:tcPr>
          <w:p>
            <w:pPr>
              <w:pStyle w:val="TableParagraph"/>
              <w:spacing w:before="4"/>
              <w:rPr>
                <w:b/>
                <w:sz w:val="11"/>
              </w:rPr>
            </w:pPr>
          </w:p>
          <w:p>
            <w:pPr>
              <w:pStyle w:val="TableParagraph"/>
              <w:spacing w:line="107" w:lineRule="exact"/>
              <w:ind w:left="110"/>
              <w:rPr>
                <w:b/>
                <w:sz w:val="11"/>
              </w:rPr>
            </w:pPr>
            <w:r>
              <w:rPr>
                <w:b/>
                <w:sz w:val="11"/>
              </w:rPr>
              <w:t>Explanatory Note</w:t>
            </w:r>
          </w:p>
        </w:tc>
        <w:tc>
          <w:tcPr>
            <w:tcW w:w="705" w:type="dxa"/>
          </w:tcPr>
          <w:p>
            <w:pPr>
              <w:pStyle w:val="TableParagraph"/>
              <w:rPr>
                <w:rFonts w:ascii="Times New Roman"/>
                <w:sz w:val="10"/>
              </w:rPr>
            </w:pPr>
          </w:p>
        </w:tc>
        <w:tc>
          <w:tcPr>
            <w:tcW w:w="352" w:type="dxa"/>
          </w:tcPr>
          <w:p>
            <w:pPr>
              <w:pStyle w:val="TableParagraph"/>
              <w:rPr>
                <w:rFonts w:ascii="Times New Roman"/>
                <w:sz w:val="10"/>
              </w:rPr>
            </w:pPr>
          </w:p>
        </w:tc>
        <w:tc>
          <w:tcPr>
            <w:tcW w:w="548" w:type="dxa"/>
          </w:tcPr>
          <w:p>
            <w:pPr>
              <w:pStyle w:val="TableParagraph"/>
              <w:rPr>
                <w:rFonts w:ascii="Times New Roman"/>
                <w:sz w:val="10"/>
              </w:rPr>
            </w:pPr>
          </w:p>
        </w:tc>
        <w:tc>
          <w:tcPr>
            <w:tcW w:w="312" w:type="dxa"/>
          </w:tcPr>
          <w:p>
            <w:pPr>
              <w:pStyle w:val="TableParagraph"/>
              <w:rPr>
                <w:rFonts w:ascii="Times New Roman"/>
                <w:sz w:val="10"/>
              </w:rPr>
            </w:pPr>
          </w:p>
        </w:tc>
        <w:tc>
          <w:tcPr>
            <w:tcW w:w="481" w:type="dxa"/>
          </w:tcPr>
          <w:p>
            <w:pPr>
              <w:pStyle w:val="TableParagraph"/>
              <w:rPr>
                <w:rFonts w:ascii="Times New Roman"/>
                <w:sz w:val="10"/>
              </w:rPr>
            </w:pPr>
          </w:p>
        </w:tc>
      </w:tr>
    </w:tbl>
    <w:p>
      <w:pPr>
        <w:pStyle w:val="BodyText"/>
        <w:spacing w:before="5"/>
        <w:rPr>
          <w:b/>
          <w:sz w:val="6"/>
        </w:rPr>
      </w:pPr>
    </w:p>
    <w:p>
      <w:pPr>
        <w:spacing w:line="259" w:lineRule="auto" w:before="97"/>
        <w:ind w:left="315" w:right="2973" w:firstLine="0"/>
        <w:jc w:val="left"/>
        <w:rPr>
          <w:sz w:val="11"/>
        </w:rPr>
      </w:pPr>
      <w:r>
        <w:rPr>
          <w:sz w:val="11"/>
        </w:rPr>
        <w:t>* From 1 July 2019, each of the 19 North Lincolnshire General Practices became a member of a Primary Care Network (PCN). There are 4 PCN's (North, South, East and West) within North Lincolnshire. Whilst the PCN's have provided services for the CCG during 2020-21, all financial transactions have been conducted with the lead practice of each PCN and therefore these transactions are not separately reported in the table above.</w:t>
      </w:r>
    </w:p>
    <w:p>
      <w:pPr>
        <w:pStyle w:val="BodyText"/>
        <w:rPr>
          <w:sz w:val="12"/>
        </w:rPr>
      </w:pPr>
    </w:p>
    <w:p>
      <w:pPr>
        <w:pStyle w:val="BodyText"/>
        <w:spacing w:before="7"/>
        <w:rPr>
          <w:sz w:val="16"/>
        </w:rPr>
      </w:pPr>
    </w:p>
    <w:p>
      <w:pPr>
        <w:spacing w:before="0"/>
        <w:ind w:left="315" w:right="0" w:firstLine="0"/>
        <w:jc w:val="left"/>
        <w:rPr>
          <w:sz w:val="11"/>
        </w:rPr>
      </w:pPr>
      <w:r>
        <w:rPr>
          <w:sz w:val="11"/>
        </w:rPr>
        <w:t>Only relationships with a financial transaction are disclosed.</w:t>
      </w:r>
    </w:p>
    <w:p>
      <w:pPr>
        <w:pStyle w:val="BodyText"/>
        <w:rPr>
          <w:sz w:val="13"/>
        </w:rPr>
      </w:pPr>
    </w:p>
    <w:p>
      <w:pPr>
        <w:spacing w:line="259" w:lineRule="auto" w:before="0"/>
        <w:ind w:left="315" w:right="3428" w:firstLine="0"/>
        <w:jc w:val="left"/>
        <w:rPr>
          <w:sz w:val="11"/>
        </w:rPr>
      </w:pPr>
      <w:r>
        <w:rPr>
          <w:sz w:val="11"/>
        </w:rPr>
        <w:t>The Department of Health and Social Care (DHSC) is regarded as a related party. During the year the clinical commissioning group has had a significant number of material transactions with entities for which the DHSC is regarded as the parent Department.</w:t>
      </w:r>
    </w:p>
    <w:p>
      <w:pPr>
        <w:pStyle w:val="BodyText"/>
        <w:spacing w:before="11"/>
        <w:rPr>
          <w:sz w:val="11"/>
        </w:rPr>
      </w:pPr>
    </w:p>
    <w:p>
      <w:pPr>
        <w:pStyle w:val="ListParagraph"/>
        <w:numPr>
          <w:ilvl w:val="0"/>
          <w:numId w:val="37"/>
        </w:numPr>
        <w:tabs>
          <w:tab w:pos="851" w:val="left" w:leader="none"/>
          <w:tab w:pos="852" w:val="left" w:leader="none"/>
        </w:tabs>
        <w:spacing w:line="240" w:lineRule="auto" w:before="0" w:after="0"/>
        <w:ind w:left="851" w:right="0" w:hanging="537"/>
        <w:jc w:val="left"/>
        <w:rPr>
          <w:sz w:val="11"/>
        </w:rPr>
      </w:pPr>
      <w:r>
        <w:rPr>
          <w:sz w:val="11"/>
        </w:rPr>
        <w:t>NHS England</w:t>
      </w:r>
    </w:p>
    <w:p>
      <w:pPr>
        <w:pStyle w:val="BodyText"/>
        <w:spacing w:before="9"/>
        <w:rPr>
          <w:sz w:val="12"/>
        </w:rPr>
      </w:pPr>
    </w:p>
    <w:p>
      <w:pPr>
        <w:tabs>
          <w:tab w:pos="846" w:val="left" w:leader="none"/>
          <w:tab w:pos="5406" w:val="left" w:leader="none"/>
        </w:tabs>
        <w:spacing w:before="0"/>
        <w:ind w:left="315" w:right="0" w:firstLine="0"/>
        <w:jc w:val="left"/>
        <w:rPr>
          <w:sz w:val="11"/>
        </w:rPr>
      </w:pPr>
      <w:r>
        <w:rPr>
          <w:sz w:val="11"/>
        </w:rPr>
        <w:t>.</w:t>
        <w:tab/>
        <w:t>NHS Trusts</w:t>
        <w:tab/>
        <w:t>Hull University Teaching Hospitals NHS</w:t>
      </w:r>
      <w:r>
        <w:rPr>
          <w:spacing w:val="4"/>
          <w:sz w:val="11"/>
        </w:rPr>
        <w:t> </w:t>
      </w:r>
      <w:r>
        <w:rPr>
          <w:sz w:val="11"/>
        </w:rPr>
        <w:t>Trust</w:t>
      </w:r>
    </w:p>
    <w:p>
      <w:pPr>
        <w:spacing w:line="259" w:lineRule="auto" w:before="10"/>
        <w:ind w:left="5406" w:right="3020" w:firstLine="0"/>
        <w:jc w:val="left"/>
        <w:rPr>
          <w:sz w:val="11"/>
        </w:rPr>
      </w:pPr>
      <w:r>
        <w:rPr>
          <w:sz w:val="11"/>
        </w:rPr>
        <w:t>East Midlands Ambulance Service NHS Trust Leeds Teaching Hospitals NHS Trust</w:t>
      </w:r>
    </w:p>
    <w:p>
      <w:pPr>
        <w:spacing w:line="261" w:lineRule="auto" w:before="0"/>
        <w:ind w:left="5406" w:right="2715" w:firstLine="0"/>
        <w:jc w:val="left"/>
        <w:rPr>
          <w:sz w:val="11"/>
        </w:rPr>
      </w:pPr>
      <w:r>
        <w:rPr>
          <w:sz w:val="11"/>
        </w:rPr>
        <w:t>United Lincolnshire Hospitals NHS Trust Lincolnshire Community Health Services NHS Trust Yorkshire Ambulance Service NHS Trust</w:t>
      </w:r>
    </w:p>
    <w:p>
      <w:pPr>
        <w:pStyle w:val="BodyText"/>
        <w:spacing w:before="5"/>
        <w:rPr>
          <w:sz w:val="11"/>
        </w:rPr>
      </w:pPr>
    </w:p>
    <w:p>
      <w:pPr>
        <w:tabs>
          <w:tab w:pos="846" w:val="left" w:leader="none"/>
          <w:tab w:pos="5406" w:val="left" w:leader="none"/>
        </w:tabs>
        <w:spacing w:line="259" w:lineRule="auto" w:before="0"/>
        <w:ind w:left="5406" w:right="2195" w:hanging="5091"/>
        <w:jc w:val="left"/>
        <w:rPr>
          <w:sz w:val="11"/>
        </w:rPr>
      </w:pPr>
      <w:r>
        <w:rPr>
          <w:sz w:val="11"/>
        </w:rPr>
        <w:t>.</w:t>
        <w:tab/>
        <w:t>NHS Foundation</w:t>
      </w:r>
      <w:r>
        <w:rPr>
          <w:spacing w:val="1"/>
          <w:sz w:val="11"/>
        </w:rPr>
        <w:t> </w:t>
      </w:r>
      <w:r>
        <w:rPr>
          <w:sz w:val="11"/>
        </w:rPr>
        <w:t>Trusts</w:t>
        <w:tab/>
        <w:t>Northern Lincolnshire &amp; Goole NHS Foundation Trust Rotherham Doncaster &amp; South Humber NHS Foundation Trust Doncaster &amp; Bassetlaw Hospitals NHS Foundation Trust Sheffield Teaching Hospitals NHS Foundation Trust</w:t>
      </w:r>
    </w:p>
    <w:p>
      <w:pPr>
        <w:spacing w:line="259" w:lineRule="auto" w:before="1"/>
        <w:ind w:left="5406" w:right="2617" w:firstLine="0"/>
        <w:jc w:val="left"/>
        <w:rPr>
          <w:sz w:val="11"/>
        </w:rPr>
      </w:pPr>
      <w:r>
        <w:rPr>
          <w:sz w:val="11"/>
        </w:rPr>
        <w:t>Sheffield Children's NHS Foundation Trust Northumberland, Tyne &amp; Wear NHS Foundation Trust</w:t>
      </w:r>
    </w:p>
    <w:p>
      <w:pPr>
        <w:pStyle w:val="ListParagraph"/>
        <w:numPr>
          <w:ilvl w:val="0"/>
          <w:numId w:val="37"/>
        </w:numPr>
        <w:tabs>
          <w:tab w:pos="851" w:val="left" w:leader="none"/>
          <w:tab w:pos="852" w:val="left" w:leader="none"/>
        </w:tabs>
        <w:spacing w:line="240" w:lineRule="auto" w:before="0" w:after="0"/>
        <w:ind w:left="851" w:right="0" w:hanging="536"/>
        <w:jc w:val="left"/>
        <w:rPr>
          <w:sz w:val="11"/>
        </w:rPr>
      </w:pPr>
      <w:r>
        <w:rPr>
          <w:sz w:val="11"/>
        </w:rPr>
        <w:t>NHS Litigation Authority; and,</w:t>
      </w:r>
    </w:p>
    <w:p>
      <w:pPr>
        <w:pStyle w:val="ListParagraph"/>
        <w:numPr>
          <w:ilvl w:val="0"/>
          <w:numId w:val="37"/>
        </w:numPr>
        <w:tabs>
          <w:tab w:pos="851" w:val="left" w:leader="none"/>
          <w:tab w:pos="852" w:val="left" w:leader="none"/>
        </w:tabs>
        <w:spacing w:line="240" w:lineRule="auto" w:before="11" w:after="0"/>
        <w:ind w:left="851" w:right="0" w:hanging="536"/>
        <w:jc w:val="left"/>
        <w:rPr>
          <w:sz w:val="11"/>
        </w:rPr>
      </w:pPr>
      <w:r>
        <w:rPr>
          <w:sz w:val="11"/>
        </w:rPr>
        <w:t>NHS Business Services</w:t>
      </w:r>
      <w:r>
        <w:rPr>
          <w:spacing w:val="-2"/>
          <w:sz w:val="11"/>
        </w:rPr>
        <w:t> </w:t>
      </w:r>
      <w:r>
        <w:rPr>
          <w:sz w:val="11"/>
        </w:rPr>
        <w:t>Authority.</w:t>
      </w:r>
    </w:p>
    <w:p>
      <w:pPr>
        <w:pStyle w:val="ListParagraph"/>
        <w:numPr>
          <w:ilvl w:val="0"/>
          <w:numId w:val="37"/>
        </w:numPr>
        <w:tabs>
          <w:tab w:pos="851" w:val="left" w:leader="none"/>
          <w:tab w:pos="852" w:val="left" w:leader="none"/>
        </w:tabs>
        <w:spacing w:line="240" w:lineRule="auto" w:before="10" w:after="0"/>
        <w:ind w:left="851" w:right="0" w:hanging="536"/>
        <w:jc w:val="left"/>
        <w:rPr>
          <w:sz w:val="11"/>
        </w:rPr>
      </w:pPr>
      <w:r>
        <w:rPr>
          <w:sz w:val="11"/>
        </w:rPr>
        <w:t>NHS Property</w:t>
      </w:r>
      <w:r>
        <w:rPr>
          <w:spacing w:val="-1"/>
          <w:sz w:val="11"/>
        </w:rPr>
        <w:t> </w:t>
      </w:r>
      <w:r>
        <w:rPr>
          <w:sz w:val="11"/>
        </w:rPr>
        <w:t>Services</w:t>
      </w:r>
    </w:p>
    <w:p>
      <w:pPr>
        <w:pStyle w:val="BodyText"/>
        <w:spacing w:before="9"/>
        <w:rPr>
          <w:sz w:val="12"/>
        </w:rPr>
      </w:pPr>
    </w:p>
    <w:p>
      <w:pPr>
        <w:spacing w:line="259" w:lineRule="auto" w:before="0"/>
        <w:ind w:left="316" w:right="2998" w:firstLine="0"/>
        <w:jc w:val="left"/>
        <w:rPr>
          <w:sz w:val="11"/>
        </w:rPr>
      </w:pPr>
      <w:r>
        <w:rPr>
          <w:sz w:val="11"/>
        </w:rPr>
        <w:t>In addition, the clinical commissioning group has had a number of material transactions with other government departments and other central and local government bodies. Most of these transactions have been with :</w:t>
      </w:r>
    </w:p>
    <w:p>
      <w:pPr>
        <w:spacing w:line="259" w:lineRule="auto" w:before="1"/>
        <w:ind w:left="5406" w:right="3913" w:firstLine="0"/>
        <w:jc w:val="left"/>
        <w:rPr>
          <w:sz w:val="11"/>
        </w:rPr>
      </w:pPr>
      <w:r>
        <w:rPr>
          <w:sz w:val="11"/>
        </w:rPr>
        <w:t>North Lincolnshire Council HM Revenue and Customs National Insurance Fund</w:t>
      </w:r>
    </w:p>
    <w:p>
      <w:pPr>
        <w:spacing w:after="0" w:line="259" w:lineRule="auto"/>
        <w:jc w:val="left"/>
        <w:rPr>
          <w:sz w:val="11"/>
        </w:rPr>
        <w:sectPr>
          <w:type w:val="continuous"/>
          <w:pgSz w:w="11920" w:h="16850"/>
          <w:pgMar w:top="1600" w:bottom="560" w:left="740" w:right="520"/>
        </w:sectPr>
      </w:pPr>
    </w:p>
    <w:p>
      <w:pPr>
        <w:spacing w:before="66"/>
        <w:ind w:left="325" w:right="0" w:firstLine="0"/>
        <w:jc w:val="left"/>
        <w:rPr>
          <w:sz w:val="19"/>
        </w:rPr>
      </w:pPr>
      <w:r>
        <w:rPr>
          <w:sz w:val="19"/>
        </w:rPr>
        <w:t>NHS North Lincolnshire CCG - Annual Accounts 2021-22</w:t>
      </w:r>
    </w:p>
    <w:p>
      <w:pPr>
        <w:pStyle w:val="BodyText"/>
        <w:spacing w:before="11"/>
        <w:rPr>
          <w:sz w:val="21"/>
        </w:rPr>
      </w:pPr>
    </w:p>
    <w:p>
      <w:pPr>
        <w:pStyle w:val="ListParagraph"/>
        <w:numPr>
          <w:ilvl w:val="0"/>
          <w:numId w:val="38"/>
        </w:numPr>
        <w:tabs>
          <w:tab w:pos="590" w:val="left" w:leader="none"/>
        </w:tabs>
        <w:spacing w:line="240" w:lineRule="auto" w:before="0" w:after="0"/>
        <w:ind w:left="589" w:right="0" w:hanging="267"/>
        <w:jc w:val="left"/>
        <w:rPr>
          <w:b/>
          <w:sz w:val="19"/>
        </w:rPr>
      </w:pPr>
      <w:r>
        <w:rPr>
          <w:b/>
          <w:sz w:val="19"/>
        </w:rPr>
        <w:t>Related party transactions</w:t>
      </w:r>
      <w:r>
        <w:rPr>
          <w:b/>
          <w:spacing w:val="-7"/>
          <w:sz w:val="19"/>
        </w:rPr>
        <w:t> </w:t>
      </w:r>
      <w:r>
        <w:rPr>
          <w:b/>
          <w:sz w:val="19"/>
        </w:rPr>
        <w:t>cont'd</w:t>
      </w:r>
    </w:p>
    <w:p>
      <w:pPr>
        <w:pStyle w:val="BodyText"/>
        <w:spacing w:before="10"/>
        <w:rPr>
          <w:b/>
          <w:sz w:val="21"/>
        </w:rPr>
      </w:pPr>
    </w:p>
    <w:p>
      <w:pPr>
        <w:spacing w:line="259" w:lineRule="auto" w:before="0"/>
        <w:ind w:left="325" w:right="1011" w:firstLine="0"/>
        <w:jc w:val="left"/>
        <w:rPr>
          <w:sz w:val="19"/>
        </w:rPr>
      </w:pPr>
      <w:r>
        <w:rPr>
          <w:sz w:val="19"/>
        </w:rPr>
        <w:t>As members of the CCG, GP Practices are considered to be a related party and details of transactions with the practices in 2020/21 are as follows:</w:t>
      </w:r>
    </w:p>
    <w:p>
      <w:pPr>
        <w:pStyle w:val="BodyText"/>
        <w:spacing w:before="6" w:after="1"/>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75"/>
        <w:gridCol w:w="1121"/>
        <w:gridCol w:w="1202"/>
        <w:gridCol w:w="1345"/>
      </w:tblGrid>
      <w:tr>
        <w:trPr>
          <w:trHeight w:val="918" w:hRule="atLeast"/>
        </w:trPr>
        <w:tc>
          <w:tcPr>
            <w:tcW w:w="4975" w:type="dxa"/>
          </w:tcPr>
          <w:p>
            <w:pPr>
              <w:pStyle w:val="TableParagraph"/>
              <w:spacing w:line="266" w:lineRule="auto"/>
              <w:ind w:left="4270" w:right="-44" w:firstLine="9"/>
              <w:jc w:val="right"/>
              <w:rPr>
                <w:b/>
                <w:sz w:val="19"/>
              </w:rPr>
            </w:pPr>
            <w:r>
              <w:rPr>
                <w:b/>
                <w:sz w:val="19"/>
              </w:rPr>
              <w:t>Paymen to Relat</w:t>
            </w:r>
          </w:p>
          <w:p>
            <w:pPr>
              <w:pStyle w:val="TableParagraph"/>
              <w:ind w:right="7"/>
              <w:jc w:val="right"/>
              <w:rPr>
                <w:b/>
                <w:sz w:val="19"/>
              </w:rPr>
            </w:pPr>
            <w:r>
              <w:rPr>
                <w:b/>
                <w:sz w:val="19"/>
              </w:rPr>
              <w:t>Party</w:t>
            </w:r>
          </w:p>
        </w:tc>
        <w:tc>
          <w:tcPr>
            <w:tcW w:w="1121" w:type="dxa"/>
          </w:tcPr>
          <w:p>
            <w:pPr>
              <w:pStyle w:val="TableParagraph"/>
              <w:tabs>
                <w:tab w:pos="449" w:val="left" w:leader="none"/>
              </w:tabs>
              <w:spacing w:line="212" w:lineRule="exact"/>
              <w:ind w:left="32"/>
              <w:rPr>
                <w:b/>
                <w:sz w:val="19"/>
              </w:rPr>
            </w:pPr>
            <w:r>
              <w:rPr>
                <w:b/>
                <w:sz w:val="19"/>
              </w:rPr>
              <w:t>ts</w:t>
              <w:tab/>
            </w:r>
            <w:r>
              <w:rPr>
                <w:b/>
                <w:w w:val="95"/>
                <w:sz w:val="19"/>
              </w:rPr>
              <w:t>Receipt</w:t>
            </w:r>
          </w:p>
          <w:p>
            <w:pPr>
              <w:pStyle w:val="TableParagraph"/>
              <w:tabs>
                <w:tab w:pos="615" w:val="left" w:leader="none"/>
              </w:tabs>
              <w:spacing w:line="268" w:lineRule="auto" w:before="24"/>
              <w:ind w:left="483" w:right="-58" w:hanging="495"/>
              <w:rPr>
                <w:b/>
                <w:sz w:val="19"/>
              </w:rPr>
            </w:pPr>
            <w:r>
              <w:rPr>
                <w:b/>
                <w:sz w:val="19"/>
              </w:rPr>
              <w:t>ed</w:t>
              <w:tab/>
              <w:tab/>
              <w:t>from Related</w:t>
            </w:r>
          </w:p>
          <w:p>
            <w:pPr>
              <w:pStyle w:val="TableParagraph"/>
              <w:spacing w:line="173" w:lineRule="exact"/>
              <w:ind w:left="593"/>
              <w:rPr>
                <w:b/>
                <w:sz w:val="19"/>
              </w:rPr>
            </w:pPr>
            <w:r>
              <w:rPr>
                <w:b/>
                <w:sz w:val="19"/>
              </w:rPr>
              <w:t>Party</w:t>
            </w:r>
          </w:p>
        </w:tc>
        <w:tc>
          <w:tcPr>
            <w:tcW w:w="1202" w:type="dxa"/>
          </w:tcPr>
          <w:p>
            <w:pPr>
              <w:pStyle w:val="TableParagraph"/>
              <w:spacing w:line="266" w:lineRule="auto"/>
              <w:ind w:left="430" w:right="3" w:hanging="452"/>
              <w:jc w:val="both"/>
              <w:rPr>
                <w:b/>
                <w:sz w:val="19"/>
              </w:rPr>
            </w:pPr>
            <w:r>
              <w:rPr>
                <w:b/>
                <w:sz w:val="19"/>
              </w:rPr>
              <w:t>s Amounts owed to Related</w:t>
            </w:r>
          </w:p>
          <w:p>
            <w:pPr>
              <w:pStyle w:val="TableParagraph"/>
              <w:spacing w:line="177" w:lineRule="exact"/>
              <w:ind w:left="555"/>
              <w:rPr>
                <w:b/>
                <w:sz w:val="19"/>
              </w:rPr>
            </w:pPr>
            <w:r>
              <w:rPr>
                <w:b/>
                <w:sz w:val="19"/>
              </w:rPr>
              <w:t>Party</w:t>
            </w:r>
          </w:p>
        </w:tc>
        <w:tc>
          <w:tcPr>
            <w:tcW w:w="1345" w:type="dxa"/>
          </w:tcPr>
          <w:p>
            <w:pPr>
              <w:pStyle w:val="TableParagraph"/>
              <w:spacing w:line="266" w:lineRule="auto"/>
              <w:ind w:left="257" w:right="268" w:hanging="3"/>
              <w:jc w:val="both"/>
              <w:rPr>
                <w:b/>
                <w:sz w:val="19"/>
              </w:rPr>
            </w:pPr>
            <w:r>
              <w:rPr>
                <w:b/>
                <w:spacing w:val="-3"/>
                <w:sz w:val="19"/>
              </w:rPr>
              <w:t>Amounts </w:t>
            </w:r>
            <w:r>
              <w:rPr>
                <w:b/>
                <w:sz w:val="19"/>
              </w:rPr>
              <w:t>due </w:t>
            </w:r>
            <w:r>
              <w:rPr>
                <w:b/>
                <w:spacing w:val="-8"/>
                <w:sz w:val="19"/>
              </w:rPr>
              <w:t>from </w:t>
            </w:r>
            <w:r>
              <w:rPr>
                <w:b/>
                <w:sz w:val="19"/>
              </w:rPr>
              <w:t>Related</w:t>
            </w:r>
          </w:p>
          <w:p>
            <w:pPr>
              <w:pStyle w:val="TableParagraph"/>
              <w:spacing w:line="177" w:lineRule="exact"/>
              <w:ind w:left="428"/>
              <w:rPr>
                <w:b/>
                <w:sz w:val="19"/>
              </w:rPr>
            </w:pPr>
            <w:r>
              <w:rPr>
                <w:b/>
                <w:sz w:val="19"/>
              </w:rPr>
              <w:t>Party</w:t>
            </w:r>
          </w:p>
        </w:tc>
      </w:tr>
      <w:tr>
        <w:trPr>
          <w:trHeight w:val="342" w:hRule="atLeast"/>
        </w:trPr>
        <w:tc>
          <w:tcPr>
            <w:tcW w:w="4975" w:type="dxa"/>
          </w:tcPr>
          <w:p>
            <w:pPr>
              <w:pStyle w:val="TableParagraph"/>
              <w:spacing w:line="213" w:lineRule="exact"/>
              <w:ind w:right="6"/>
              <w:jc w:val="right"/>
              <w:rPr>
                <w:b/>
                <w:sz w:val="19"/>
              </w:rPr>
            </w:pPr>
            <w:r>
              <w:rPr>
                <w:b/>
                <w:w w:val="95"/>
                <w:sz w:val="19"/>
              </w:rPr>
              <w:t>£'000</w:t>
            </w:r>
          </w:p>
        </w:tc>
        <w:tc>
          <w:tcPr>
            <w:tcW w:w="1121" w:type="dxa"/>
          </w:tcPr>
          <w:p>
            <w:pPr>
              <w:pStyle w:val="TableParagraph"/>
              <w:spacing w:line="213" w:lineRule="exact"/>
              <w:ind w:left="598"/>
              <w:rPr>
                <w:b/>
                <w:sz w:val="19"/>
              </w:rPr>
            </w:pPr>
            <w:r>
              <w:rPr>
                <w:b/>
                <w:sz w:val="19"/>
              </w:rPr>
              <w:t>£'000</w:t>
            </w:r>
          </w:p>
        </w:tc>
        <w:tc>
          <w:tcPr>
            <w:tcW w:w="1202" w:type="dxa"/>
          </w:tcPr>
          <w:p>
            <w:pPr>
              <w:pStyle w:val="TableParagraph"/>
              <w:spacing w:line="213" w:lineRule="exact"/>
              <w:ind w:left="562"/>
              <w:rPr>
                <w:b/>
                <w:sz w:val="19"/>
              </w:rPr>
            </w:pPr>
            <w:r>
              <w:rPr>
                <w:b/>
                <w:sz w:val="19"/>
              </w:rPr>
              <w:t>£'000</w:t>
            </w:r>
          </w:p>
        </w:tc>
        <w:tc>
          <w:tcPr>
            <w:tcW w:w="1345" w:type="dxa"/>
          </w:tcPr>
          <w:p>
            <w:pPr>
              <w:pStyle w:val="TableParagraph"/>
              <w:spacing w:line="213" w:lineRule="exact"/>
              <w:ind w:left="437"/>
              <w:rPr>
                <w:b/>
                <w:sz w:val="19"/>
              </w:rPr>
            </w:pPr>
            <w:r>
              <w:rPr>
                <w:b/>
                <w:sz w:val="19"/>
              </w:rPr>
              <w:t>£'000</w:t>
            </w:r>
          </w:p>
        </w:tc>
      </w:tr>
      <w:tr>
        <w:trPr>
          <w:trHeight w:val="469" w:hRule="atLeast"/>
        </w:trPr>
        <w:tc>
          <w:tcPr>
            <w:tcW w:w="4975" w:type="dxa"/>
          </w:tcPr>
          <w:p>
            <w:pPr>
              <w:pStyle w:val="TableParagraph"/>
              <w:tabs>
                <w:tab w:pos="4786" w:val="left" w:leader="none"/>
              </w:tabs>
              <w:spacing w:before="122"/>
              <w:ind w:left="200"/>
              <w:rPr>
                <w:sz w:val="19"/>
              </w:rPr>
            </w:pPr>
            <w:r>
              <w:rPr>
                <w:sz w:val="19"/>
              </w:rPr>
              <w:t>Ancora</w:t>
            </w:r>
            <w:r>
              <w:rPr>
                <w:spacing w:val="-1"/>
                <w:sz w:val="19"/>
              </w:rPr>
              <w:t> </w:t>
            </w:r>
            <w:r>
              <w:rPr>
                <w:sz w:val="19"/>
              </w:rPr>
              <w:t>Medical</w:t>
            </w:r>
            <w:r>
              <w:rPr>
                <w:spacing w:val="-2"/>
                <w:sz w:val="19"/>
              </w:rPr>
              <w:t> </w:t>
            </w:r>
            <w:r>
              <w:rPr>
                <w:sz w:val="19"/>
              </w:rPr>
              <w:t>Practice</w:t>
              <w:tab/>
              <w:t>3,</w:t>
            </w:r>
          </w:p>
        </w:tc>
        <w:tc>
          <w:tcPr>
            <w:tcW w:w="1121" w:type="dxa"/>
          </w:tcPr>
          <w:p>
            <w:pPr>
              <w:pStyle w:val="TableParagraph"/>
              <w:spacing w:before="122"/>
              <w:ind w:left="-40"/>
              <w:rPr>
                <w:sz w:val="19"/>
              </w:rPr>
            </w:pPr>
            <w:r>
              <w:rPr>
                <w:sz w:val="19"/>
              </w:rPr>
              <w:t>291</w:t>
            </w:r>
          </w:p>
        </w:tc>
        <w:tc>
          <w:tcPr>
            <w:tcW w:w="1202" w:type="dxa"/>
          </w:tcPr>
          <w:p>
            <w:pPr>
              <w:pStyle w:val="TableParagraph"/>
              <w:spacing w:before="122"/>
              <w:ind w:left="87"/>
              <w:rPr>
                <w:sz w:val="19"/>
              </w:rPr>
            </w:pPr>
            <w:r>
              <w:rPr>
                <w:w w:val="98"/>
                <w:sz w:val="19"/>
              </w:rPr>
              <w:t>0</w:t>
            </w:r>
          </w:p>
        </w:tc>
        <w:tc>
          <w:tcPr>
            <w:tcW w:w="1345" w:type="dxa"/>
          </w:tcPr>
          <w:p>
            <w:pPr>
              <w:pStyle w:val="TableParagraph"/>
              <w:tabs>
                <w:tab w:pos="1035" w:val="left" w:leader="none"/>
              </w:tabs>
              <w:spacing w:before="122"/>
              <w:ind w:left="5"/>
              <w:rPr>
                <w:sz w:val="19"/>
              </w:rPr>
            </w:pPr>
            <w:r>
              <w:rPr>
                <w:sz w:val="19"/>
              </w:rPr>
              <w:t>0</w:t>
              <w:tab/>
              <w:t>0</w:t>
            </w:r>
          </w:p>
        </w:tc>
      </w:tr>
      <w:tr>
        <w:trPr>
          <w:trHeight w:val="469" w:hRule="atLeast"/>
        </w:trPr>
        <w:tc>
          <w:tcPr>
            <w:tcW w:w="4975" w:type="dxa"/>
          </w:tcPr>
          <w:p>
            <w:pPr>
              <w:pStyle w:val="TableParagraph"/>
              <w:tabs>
                <w:tab w:pos="4762" w:val="left" w:leader="none"/>
              </w:tabs>
              <w:spacing w:before="121"/>
              <w:ind w:left="200" w:right="-159"/>
              <w:rPr>
                <w:sz w:val="19"/>
              </w:rPr>
            </w:pPr>
            <w:r>
              <w:rPr>
                <w:sz w:val="19"/>
              </w:rPr>
              <w:t>Cedar</w:t>
            </w:r>
            <w:r>
              <w:rPr>
                <w:spacing w:val="-2"/>
                <w:sz w:val="19"/>
              </w:rPr>
              <w:t> </w:t>
            </w:r>
            <w:r>
              <w:rPr>
                <w:sz w:val="19"/>
              </w:rPr>
              <w:t>Medical Practice</w:t>
              <w:tab/>
            </w:r>
            <w:r>
              <w:rPr>
                <w:spacing w:val="-5"/>
                <w:sz w:val="19"/>
              </w:rPr>
              <w:t>1,03</w:t>
            </w:r>
          </w:p>
        </w:tc>
        <w:tc>
          <w:tcPr>
            <w:tcW w:w="1121" w:type="dxa"/>
          </w:tcPr>
          <w:p>
            <w:pPr>
              <w:pStyle w:val="TableParagraph"/>
              <w:spacing w:before="121"/>
              <w:ind w:left="156"/>
              <w:rPr>
                <w:sz w:val="19"/>
              </w:rPr>
            </w:pPr>
            <w:r>
              <w:rPr>
                <w:w w:val="99"/>
                <w:sz w:val="19"/>
              </w:rPr>
              <w:t>0</w:t>
            </w:r>
          </w:p>
        </w:tc>
        <w:tc>
          <w:tcPr>
            <w:tcW w:w="1202" w:type="dxa"/>
          </w:tcPr>
          <w:p>
            <w:pPr>
              <w:pStyle w:val="TableParagraph"/>
              <w:spacing w:before="121"/>
              <w:ind w:left="87"/>
              <w:rPr>
                <w:sz w:val="19"/>
              </w:rPr>
            </w:pPr>
            <w:r>
              <w:rPr>
                <w:w w:val="98"/>
                <w:sz w:val="19"/>
              </w:rPr>
              <w:t>0</w:t>
            </w:r>
          </w:p>
        </w:tc>
        <w:tc>
          <w:tcPr>
            <w:tcW w:w="1345" w:type="dxa"/>
          </w:tcPr>
          <w:p>
            <w:pPr>
              <w:pStyle w:val="TableParagraph"/>
              <w:tabs>
                <w:tab w:pos="1035" w:val="left" w:leader="none"/>
              </w:tabs>
              <w:spacing w:before="121"/>
              <w:ind w:left="3"/>
              <w:rPr>
                <w:sz w:val="19"/>
              </w:rPr>
            </w:pPr>
            <w:r>
              <w:rPr>
                <w:sz w:val="19"/>
              </w:rPr>
              <w:t>0</w:t>
              <w:tab/>
              <w:t>0</w:t>
            </w:r>
          </w:p>
        </w:tc>
      </w:tr>
      <w:tr>
        <w:trPr>
          <w:trHeight w:val="470" w:hRule="atLeast"/>
        </w:trPr>
        <w:tc>
          <w:tcPr>
            <w:tcW w:w="4975" w:type="dxa"/>
          </w:tcPr>
          <w:p>
            <w:pPr>
              <w:pStyle w:val="TableParagraph"/>
              <w:tabs>
                <w:tab w:pos="4786" w:val="left" w:leader="none"/>
              </w:tabs>
              <w:spacing w:before="122"/>
              <w:ind w:left="200"/>
              <w:rPr>
                <w:sz w:val="19"/>
              </w:rPr>
            </w:pPr>
            <w:r>
              <w:rPr>
                <w:sz w:val="19"/>
              </w:rPr>
              <w:t>Cambridge Avenue</w:t>
            </w:r>
            <w:r>
              <w:rPr>
                <w:spacing w:val="-3"/>
                <w:sz w:val="19"/>
              </w:rPr>
              <w:t> </w:t>
            </w:r>
            <w:r>
              <w:rPr>
                <w:sz w:val="19"/>
              </w:rPr>
              <w:t>Medical</w:t>
            </w:r>
            <w:r>
              <w:rPr>
                <w:spacing w:val="-3"/>
                <w:sz w:val="19"/>
              </w:rPr>
              <w:t> </w:t>
            </w:r>
            <w:r>
              <w:rPr>
                <w:sz w:val="19"/>
              </w:rPr>
              <w:t>Centre</w:t>
              <w:tab/>
              <w:t>1,</w:t>
            </w:r>
          </w:p>
        </w:tc>
        <w:tc>
          <w:tcPr>
            <w:tcW w:w="1121" w:type="dxa"/>
          </w:tcPr>
          <w:p>
            <w:pPr>
              <w:pStyle w:val="TableParagraph"/>
              <w:spacing w:before="122"/>
              <w:ind w:left="-40"/>
              <w:rPr>
                <w:sz w:val="19"/>
              </w:rPr>
            </w:pPr>
            <w:r>
              <w:rPr>
                <w:sz w:val="19"/>
              </w:rPr>
              <w:t>854</w:t>
            </w:r>
          </w:p>
        </w:tc>
        <w:tc>
          <w:tcPr>
            <w:tcW w:w="1202" w:type="dxa"/>
          </w:tcPr>
          <w:p>
            <w:pPr>
              <w:pStyle w:val="TableParagraph"/>
              <w:spacing w:before="122"/>
              <w:ind w:left="87"/>
              <w:rPr>
                <w:sz w:val="19"/>
              </w:rPr>
            </w:pPr>
            <w:r>
              <w:rPr>
                <w:w w:val="98"/>
                <w:sz w:val="19"/>
              </w:rPr>
              <w:t>0</w:t>
            </w:r>
          </w:p>
        </w:tc>
        <w:tc>
          <w:tcPr>
            <w:tcW w:w="1345" w:type="dxa"/>
          </w:tcPr>
          <w:p>
            <w:pPr>
              <w:pStyle w:val="TableParagraph"/>
              <w:tabs>
                <w:tab w:pos="1035" w:val="left" w:leader="none"/>
              </w:tabs>
              <w:spacing w:before="122"/>
              <w:ind w:left="5"/>
              <w:rPr>
                <w:sz w:val="19"/>
              </w:rPr>
            </w:pPr>
            <w:r>
              <w:rPr>
                <w:sz w:val="19"/>
              </w:rPr>
              <w:t>0</w:t>
              <w:tab/>
              <w:t>0</w:t>
            </w:r>
          </w:p>
        </w:tc>
      </w:tr>
      <w:tr>
        <w:trPr>
          <w:trHeight w:val="470" w:hRule="atLeast"/>
        </w:trPr>
        <w:tc>
          <w:tcPr>
            <w:tcW w:w="4975" w:type="dxa"/>
          </w:tcPr>
          <w:p>
            <w:pPr>
              <w:pStyle w:val="TableParagraph"/>
              <w:tabs>
                <w:tab w:pos="4762" w:val="left" w:leader="none"/>
              </w:tabs>
              <w:spacing w:before="122"/>
              <w:ind w:left="200" w:right="-159"/>
              <w:rPr>
                <w:sz w:val="19"/>
              </w:rPr>
            </w:pPr>
            <w:r>
              <w:rPr>
                <w:sz w:val="19"/>
              </w:rPr>
              <w:t>Kirton</w:t>
            </w:r>
            <w:r>
              <w:rPr>
                <w:spacing w:val="-1"/>
                <w:sz w:val="19"/>
              </w:rPr>
              <w:t> </w:t>
            </w:r>
            <w:r>
              <w:rPr>
                <w:sz w:val="19"/>
              </w:rPr>
              <w:t>Lindsey Surgery</w:t>
              <w:tab/>
            </w:r>
            <w:r>
              <w:rPr>
                <w:spacing w:val="-5"/>
                <w:sz w:val="19"/>
              </w:rPr>
              <w:t>2,67</w:t>
            </w:r>
          </w:p>
        </w:tc>
        <w:tc>
          <w:tcPr>
            <w:tcW w:w="1121" w:type="dxa"/>
          </w:tcPr>
          <w:p>
            <w:pPr>
              <w:pStyle w:val="TableParagraph"/>
              <w:spacing w:before="122"/>
              <w:ind w:left="156"/>
              <w:rPr>
                <w:sz w:val="19"/>
              </w:rPr>
            </w:pPr>
            <w:r>
              <w:rPr>
                <w:w w:val="99"/>
                <w:sz w:val="19"/>
              </w:rPr>
              <w:t>4</w:t>
            </w:r>
          </w:p>
        </w:tc>
        <w:tc>
          <w:tcPr>
            <w:tcW w:w="1202" w:type="dxa"/>
          </w:tcPr>
          <w:p>
            <w:pPr>
              <w:pStyle w:val="TableParagraph"/>
              <w:spacing w:before="122"/>
              <w:ind w:left="87"/>
              <w:rPr>
                <w:sz w:val="19"/>
              </w:rPr>
            </w:pPr>
            <w:r>
              <w:rPr>
                <w:w w:val="98"/>
                <w:sz w:val="19"/>
              </w:rPr>
              <w:t>0</w:t>
            </w:r>
          </w:p>
        </w:tc>
        <w:tc>
          <w:tcPr>
            <w:tcW w:w="1345" w:type="dxa"/>
          </w:tcPr>
          <w:p>
            <w:pPr>
              <w:pStyle w:val="TableParagraph"/>
              <w:tabs>
                <w:tab w:pos="1035" w:val="left" w:leader="none"/>
              </w:tabs>
              <w:spacing w:before="122"/>
              <w:ind w:left="3"/>
              <w:rPr>
                <w:sz w:val="19"/>
              </w:rPr>
            </w:pPr>
            <w:r>
              <w:rPr>
                <w:sz w:val="19"/>
              </w:rPr>
              <w:t>2</w:t>
              <w:tab/>
              <w:t>0</w:t>
            </w:r>
          </w:p>
        </w:tc>
      </w:tr>
      <w:tr>
        <w:trPr>
          <w:trHeight w:val="470" w:hRule="atLeast"/>
        </w:trPr>
        <w:tc>
          <w:tcPr>
            <w:tcW w:w="4975" w:type="dxa"/>
          </w:tcPr>
          <w:p>
            <w:pPr>
              <w:pStyle w:val="TableParagraph"/>
              <w:tabs>
                <w:tab w:pos="4788" w:val="left" w:leader="none"/>
              </w:tabs>
              <w:spacing w:before="122"/>
              <w:ind w:left="200"/>
              <w:rPr>
                <w:sz w:val="19"/>
              </w:rPr>
            </w:pPr>
            <w:r>
              <w:rPr>
                <w:sz w:val="19"/>
              </w:rPr>
              <w:t>Ashby Turn Primary</w:t>
            </w:r>
            <w:r>
              <w:rPr>
                <w:spacing w:val="-4"/>
                <w:sz w:val="19"/>
              </w:rPr>
              <w:t> </w:t>
            </w:r>
            <w:r>
              <w:rPr>
                <w:sz w:val="19"/>
              </w:rPr>
              <w:t>Care</w:t>
            </w:r>
            <w:r>
              <w:rPr>
                <w:spacing w:val="-2"/>
                <w:sz w:val="19"/>
              </w:rPr>
              <w:t> </w:t>
            </w:r>
            <w:r>
              <w:rPr>
                <w:sz w:val="19"/>
              </w:rPr>
              <w:t>Partners</w:t>
              <w:tab/>
              <w:t>1,</w:t>
            </w:r>
          </w:p>
        </w:tc>
        <w:tc>
          <w:tcPr>
            <w:tcW w:w="1121" w:type="dxa"/>
          </w:tcPr>
          <w:p>
            <w:pPr>
              <w:pStyle w:val="TableParagraph"/>
              <w:spacing w:before="122"/>
              <w:ind w:left="-38"/>
              <w:rPr>
                <w:sz w:val="19"/>
              </w:rPr>
            </w:pPr>
            <w:r>
              <w:rPr>
                <w:sz w:val="19"/>
              </w:rPr>
              <w:t>795</w:t>
            </w:r>
          </w:p>
        </w:tc>
        <w:tc>
          <w:tcPr>
            <w:tcW w:w="1202" w:type="dxa"/>
          </w:tcPr>
          <w:p>
            <w:pPr>
              <w:pStyle w:val="TableParagraph"/>
              <w:spacing w:before="122"/>
              <w:ind w:left="87"/>
              <w:rPr>
                <w:sz w:val="19"/>
              </w:rPr>
            </w:pPr>
            <w:r>
              <w:rPr>
                <w:w w:val="98"/>
                <w:sz w:val="19"/>
              </w:rPr>
              <w:t>0</w:t>
            </w:r>
          </w:p>
        </w:tc>
        <w:tc>
          <w:tcPr>
            <w:tcW w:w="1345" w:type="dxa"/>
          </w:tcPr>
          <w:p>
            <w:pPr>
              <w:pStyle w:val="TableParagraph"/>
              <w:tabs>
                <w:tab w:pos="1037" w:val="left" w:leader="none"/>
              </w:tabs>
              <w:spacing w:before="122"/>
              <w:ind w:left="5"/>
              <w:rPr>
                <w:sz w:val="19"/>
              </w:rPr>
            </w:pPr>
            <w:r>
              <w:rPr>
                <w:sz w:val="19"/>
              </w:rPr>
              <w:t>0</w:t>
              <w:tab/>
              <w:t>0</w:t>
            </w:r>
          </w:p>
        </w:tc>
      </w:tr>
      <w:tr>
        <w:trPr>
          <w:trHeight w:val="470" w:hRule="atLeast"/>
        </w:trPr>
        <w:tc>
          <w:tcPr>
            <w:tcW w:w="4975" w:type="dxa"/>
          </w:tcPr>
          <w:p>
            <w:pPr>
              <w:pStyle w:val="TableParagraph"/>
              <w:tabs>
                <w:tab w:pos="4786" w:val="left" w:leader="none"/>
              </w:tabs>
              <w:spacing w:before="122"/>
              <w:ind w:left="200"/>
              <w:rPr>
                <w:sz w:val="19"/>
              </w:rPr>
            </w:pPr>
            <w:r>
              <w:rPr>
                <w:sz w:val="19"/>
              </w:rPr>
              <w:t>West Common Lane</w:t>
            </w:r>
            <w:r>
              <w:rPr>
                <w:spacing w:val="-3"/>
                <w:sz w:val="19"/>
              </w:rPr>
              <w:t> </w:t>
            </w:r>
            <w:r>
              <w:rPr>
                <w:sz w:val="19"/>
              </w:rPr>
              <w:t>Teaching</w:t>
            </w:r>
            <w:r>
              <w:rPr>
                <w:spacing w:val="-1"/>
                <w:sz w:val="19"/>
              </w:rPr>
              <w:t> </w:t>
            </w:r>
            <w:r>
              <w:rPr>
                <w:sz w:val="19"/>
              </w:rPr>
              <w:t>Practice</w:t>
              <w:tab/>
              <w:t>1,</w:t>
            </w:r>
          </w:p>
        </w:tc>
        <w:tc>
          <w:tcPr>
            <w:tcW w:w="1121" w:type="dxa"/>
          </w:tcPr>
          <w:p>
            <w:pPr>
              <w:pStyle w:val="TableParagraph"/>
              <w:spacing w:before="122"/>
              <w:ind w:left="-40"/>
              <w:rPr>
                <w:sz w:val="19"/>
              </w:rPr>
            </w:pPr>
            <w:r>
              <w:rPr>
                <w:sz w:val="19"/>
              </w:rPr>
              <w:t>118</w:t>
            </w:r>
          </w:p>
        </w:tc>
        <w:tc>
          <w:tcPr>
            <w:tcW w:w="1202" w:type="dxa"/>
          </w:tcPr>
          <w:p>
            <w:pPr>
              <w:pStyle w:val="TableParagraph"/>
              <w:spacing w:before="122"/>
              <w:ind w:left="87"/>
              <w:rPr>
                <w:sz w:val="19"/>
              </w:rPr>
            </w:pPr>
            <w:r>
              <w:rPr>
                <w:w w:val="98"/>
                <w:sz w:val="19"/>
              </w:rPr>
              <w:t>0</w:t>
            </w:r>
          </w:p>
        </w:tc>
        <w:tc>
          <w:tcPr>
            <w:tcW w:w="1345" w:type="dxa"/>
          </w:tcPr>
          <w:p>
            <w:pPr>
              <w:pStyle w:val="TableParagraph"/>
              <w:tabs>
                <w:tab w:pos="1035" w:val="left" w:leader="none"/>
              </w:tabs>
              <w:spacing w:before="122"/>
              <w:ind w:left="3"/>
              <w:rPr>
                <w:sz w:val="19"/>
              </w:rPr>
            </w:pPr>
            <w:r>
              <w:rPr>
                <w:sz w:val="19"/>
              </w:rPr>
              <w:t>2</w:t>
              <w:tab/>
              <w:t>0</w:t>
            </w:r>
          </w:p>
        </w:tc>
      </w:tr>
      <w:tr>
        <w:trPr>
          <w:trHeight w:val="469" w:hRule="atLeast"/>
        </w:trPr>
        <w:tc>
          <w:tcPr>
            <w:tcW w:w="4975" w:type="dxa"/>
          </w:tcPr>
          <w:p>
            <w:pPr>
              <w:pStyle w:val="TableParagraph"/>
              <w:tabs>
                <w:tab w:pos="5131" w:val="right" w:leader="none"/>
              </w:tabs>
              <w:spacing w:before="122"/>
              <w:ind w:left="200" w:right="-159"/>
              <w:rPr>
                <w:sz w:val="19"/>
              </w:rPr>
            </w:pPr>
            <w:r>
              <w:rPr>
                <w:sz w:val="19"/>
              </w:rPr>
              <w:t>Killingholme</w:t>
            </w:r>
            <w:r>
              <w:rPr>
                <w:spacing w:val="-1"/>
                <w:sz w:val="19"/>
              </w:rPr>
              <w:t> </w:t>
            </w:r>
            <w:r>
              <w:rPr>
                <w:sz w:val="19"/>
              </w:rPr>
              <w:t>Practice</w:t>
              <w:tab/>
              <w:t>32</w:t>
            </w:r>
          </w:p>
        </w:tc>
        <w:tc>
          <w:tcPr>
            <w:tcW w:w="1121" w:type="dxa"/>
          </w:tcPr>
          <w:p>
            <w:pPr>
              <w:pStyle w:val="TableParagraph"/>
              <w:spacing w:before="122"/>
              <w:ind w:left="157"/>
              <w:rPr>
                <w:sz w:val="19"/>
              </w:rPr>
            </w:pPr>
            <w:r>
              <w:rPr>
                <w:w w:val="99"/>
                <w:sz w:val="19"/>
              </w:rPr>
              <w:t>2</w:t>
            </w:r>
          </w:p>
        </w:tc>
        <w:tc>
          <w:tcPr>
            <w:tcW w:w="1202" w:type="dxa"/>
          </w:tcPr>
          <w:p>
            <w:pPr>
              <w:pStyle w:val="TableParagraph"/>
              <w:spacing w:before="122"/>
              <w:ind w:left="87"/>
              <w:rPr>
                <w:sz w:val="19"/>
              </w:rPr>
            </w:pPr>
            <w:r>
              <w:rPr>
                <w:w w:val="98"/>
                <w:sz w:val="19"/>
              </w:rPr>
              <w:t>0</w:t>
            </w:r>
          </w:p>
        </w:tc>
        <w:tc>
          <w:tcPr>
            <w:tcW w:w="1345" w:type="dxa"/>
          </w:tcPr>
          <w:p>
            <w:pPr>
              <w:pStyle w:val="TableParagraph"/>
              <w:tabs>
                <w:tab w:pos="1035" w:val="left" w:leader="none"/>
              </w:tabs>
              <w:spacing w:before="122"/>
              <w:ind w:left="3"/>
              <w:rPr>
                <w:sz w:val="19"/>
              </w:rPr>
            </w:pPr>
            <w:r>
              <w:rPr>
                <w:sz w:val="19"/>
              </w:rPr>
              <w:t>0</w:t>
              <w:tab/>
              <w:t>0</w:t>
            </w:r>
          </w:p>
        </w:tc>
      </w:tr>
      <w:tr>
        <w:trPr>
          <w:trHeight w:val="469" w:hRule="atLeast"/>
        </w:trPr>
        <w:tc>
          <w:tcPr>
            <w:tcW w:w="4975" w:type="dxa"/>
          </w:tcPr>
          <w:p>
            <w:pPr>
              <w:pStyle w:val="TableParagraph"/>
              <w:tabs>
                <w:tab w:pos="4786" w:val="left" w:leader="none"/>
              </w:tabs>
              <w:spacing w:before="121"/>
              <w:ind w:left="200"/>
              <w:rPr>
                <w:sz w:val="19"/>
              </w:rPr>
            </w:pPr>
            <w:r>
              <w:rPr>
                <w:sz w:val="19"/>
              </w:rPr>
              <w:t>Riverside</w:t>
            </w:r>
            <w:r>
              <w:rPr>
                <w:spacing w:val="-1"/>
                <w:sz w:val="19"/>
              </w:rPr>
              <w:t> </w:t>
            </w:r>
            <w:r>
              <w:rPr>
                <w:sz w:val="19"/>
              </w:rPr>
              <w:t>Surgery</w:t>
              <w:tab/>
              <w:t>2,</w:t>
            </w:r>
          </w:p>
        </w:tc>
        <w:tc>
          <w:tcPr>
            <w:tcW w:w="1121" w:type="dxa"/>
          </w:tcPr>
          <w:p>
            <w:pPr>
              <w:pStyle w:val="TableParagraph"/>
              <w:spacing w:before="121"/>
              <w:ind w:left="-40"/>
              <w:rPr>
                <w:sz w:val="19"/>
              </w:rPr>
            </w:pPr>
            <w:r>
              <w:rPr>
                <w:sz w:val="19"/>
              </w:rPr>
              <w:t>320</w:t>
            </w:r>
          </w:p>
        </w:tc>
        <w:tc>
          <w:tcPr>
            <w:tcW w:w="1202" w:type="dxa"/>
          </w:tcPr>
          <w:p>
            <w:pPr>
              <w:pStyle w:val="TableParagraph"/>
              <w:spacing w:before="121"/>
              <w:ind w:left="87"/>
              <w:rPr>
                <w:sz w:val="19"/>
              </w:rPr>
            </w:pPr>
            <w:r>
              <w:rPr>
                <w:w w:val="98"/>
                <w:sz w:val="19"/>
              </w:rPr>
              <w:t>0</w:t>
            </w:r>
          </w:p>
        </w:tc>
        <w:tc>
          <w:tcPr>
            <w:tcW w:w="1345" w:type="dxa"/>
          </w:tcPr>
          <w:p>
            <w:pPr>
              <w:pStyle w:val="TableParagraph"/>
              <w:tabs>
                <w:tab w:pos="1035" w:val="left" w:leader="none"/>
              </w:tabs>
              <w:spacing w:before="121"/>
              <w:ind w:left="3"/>
              <w:rPr>
                <w:sz w:val="19"/>
              </w:rPr>
            </w:pPr>
            <w:r>
              <w:rPr>
                <w:sz w:val="19"/>
              </w:rPr>
              <w:t>0</w:t>
              <w:tab/>
              <w:t>0</w:t>
            </w:r>
          </w:p>
        </w:tc>
      </w:tr>
      <w:tr>
        <w:trPr>
          <w:trHeight w:val="470" w:hRule="atLeast"/>
        </w:trPr>
        <w:tc>
          <w:tcPr>
            <w:tcW w:w="4975" w:type="dxa"/>
          </w:tcPr>
          <w:p>
            <w:pPr>
              <w:pStyle w:val="TableParagraph"/>
              <w:tabs>
                <w:tab w:pos="5131" w:val="right" w:leader="none"/>
              </w:tabs>
              <w:spacing w:before="122"/>
              <w:ind w:left="200" w:right="-159"/>
              <w:rPr>
                <w:sz w:val="19"/>
              </w:rPr>
            </w:pPr>
            <w:r>
              <w:rPr>
                <w:sz w:val="19"/>
              </w:rPr>
              <w:t>West</w:t>
            </w:r>
            <w:r>
              <w:rPr>
                <w:spacing w:val="-1"/>
                <w:sz w:val="19"/>
              </w:rPr>
              <w:t> </w:t>
            </w:r>
            <w:r>
              <w:rPr>
                <w:sz w:val="19"/>
              </w:rPr>
              <w:t>Town Surgery</w:t>
              <w:tab/>
              <w:t>44</w:t>
            </w:r>
          </w:p>
        </w:tc>
        <w:tc>
          <w:tcPr>
            <w:tcW w:w="1121" w:type="dxa"/>
          </w:tcPr>
          <w:p>
            <w:pPr>
              <w:pStyle w:val="TableParagraph"/>
              <w:spacing w:before="122"/>
              <w:ind w:left="156"/>
              <w:rPr>
                <w:sz w:val="19"/>
              </w:rPr>
            </w:pPr>
            <w:r>
              <w:rPr>
                <w:w w:val="99"/>
                <w:sz w:val="19"/>
              </w:rPr>
              <w:t>3</w:t>
            </w:r>
          </w:p>
        </w:tc>
        <w:tc>
          <w:tcPr>
            <w:tcW w:w="1202" w:type="dxa"/>
          </w:tcPr>
          <w:p>
            <w:pPr>
              <w:pStyle w:val="TableParagraph"/>
              <w:spacing w:before="122"/>
              <w:ind w:left="87"/>
              <w:rPr>
                <w:sz w:val="19"/>
              </w:rPr>
            </w:pPr>
            <w:r>
              <w:rPr>
                <w:w w:val="98"/>
                <w:sz w:val="19"/>
              </w:rPr>
              <w:t>0</w:t>
            </w:r>
          </w:p>
        </w:tc>
        <w:tc>
          <w:tcPr>
            <w:tcW w:w="1345" w:type="dxa"/>
          </w:tcPr>
          <w:p>
            <w:pPr>
              <w:pStyle w:val="TableParagraph"/>
              <w:tabs>
                <w:tab w:pos="1035" w:val="left" w:leader="none"/>
              </w:tabs>
              <w:spacing w:before="122"/>
              <w:ind w:left="5"/>
              <w:rPr>
                <w:sz w:val="19"/>
              </w:rPr>
            </w:pPr>
            <w:r>
              <w:rPr>
                <w:sz w:val="19"/>
              </w:rPr>
              <w:t>0</w:t>
              <w:tab/>
              <w:t>0</w:t>
            </w:r>
          </w:p>
        </w:tc>
      </w:tr>
      <w:tr>
        <w:trPr>
          <w:trHeight w:val="470" w:hRule="atLeast"/>
        </w:trPr>
        <w:tc>
          <w:tcPr>
            <w:tcW w:w="4975" w:type="dxa"/>
          </w:tcPr>
          <w:p>
            <w:pPr>
              <w:pStyle w:val="TableParagraph"/>
              <w:spacing w:before="122"/>
              <w:ind w:left="200"/>
              <w:rPr>
                <w:sz w:val="19"/>
              </w:rPr>
            </w:pPr>
            <w:r>
              <w:rPr>
                <w:sz w:val="19"/>
              </w:rPr>
              <w:t>Barnetby Medical Centre</w:t>
            </w:r>
          </w:p>
        </w:tc>
        <w:tc>
          <w:tcPr>
            <w:tcW w:w="1121" w:type="dxa"/>
          </w:tcPr>
          <w:p>
            <w:pPr>
              <w:pStyle w:val="TableParagraph"/>
              <w:spacing w:before="122"/>
              <w:ind w:left="-38"/>
              <w:rPr>
                <w:sz w:val="19"/>
              </w:rPr>
            </w:pPr>
            <w:r>
              <w:rPr>
                <w:sz w:val="19"/>
              </w:rPr>
              <w:t>646</w:t>
            </w:r>
          </w:p>
        </w:tc>
        <w:tc>
          <w:tcPr>
            <w:tcW w:w="1202" w:type="dxa"/>
          </w:tcPr>
          <w:p>
            <w:pPr>
              <w:pStyle w:val="TableParagraph"/>
              <w:spacing w:before="122"/>
              <w:ind w:left="87"/>
              <w:rPr>
                <w:sz w:val="19"/>
              </w:rPr>
            </w:pPr>
            <w:r>
              <w:rPr>
                <w:w w:val="98"/>
                <w:sz w:val="19"/>
              </w:rPr>
              <w:t>0</w:t>
            </w:r>
          </w:p>
        </w:tc>
        <w:tc>
          <w:tcPr>
            <w:tcW w:w="1345" w:type="dxa"/>
          </w:tcPr>
          <w:p>
            <w:pPr>
              <w:pStyle w:val="TableParagraph"/>
              <w:tabs>
                <w:tab w:pos="1035" w:val="left" w:leader="none"/>
              </w:tabs>
              <w:spacing w:before="122"/>
              <w:ind w:left="5"/>
              <w:rPr>
                <w:sz w:val="19"/>
              </w:rPr>
            </w:pPr>
            <w:r>
              <w:rPr>
                <w:sz w:val="19"/>
              </w:rPr>
              <w:t>0</w:t>
              <w:tab/>
              <w:t>0</w:t>
            </w:r>
          </w:p>
        </w:tc>
      </w:tr>
      <w:tr>
        <w:trPr>
          <w:trHeight w:val="470" w:hRule="atLeast"/>
        </w:trPr>
        <w:tc>
          <w:tcPr>
            <w:tcW w:w="4975" w:type="dxa"/>
          </w:tcPr>
          <w:p>
            <w:pPr>
              <w:pStyle w:val="TableParagraph"/>
              <w:tabs>
                <w:tab w:pos="4762" w:val="left" w:leader="none"/>
              </w:tabs>
              <w:spacing w:before="122"/>
              <w:ind w:left="200" w:right="-159"/>
              <w:rPr>
                <w:sz w:val="19"/>
              </w:rPr>
            </w:pPr>
            <w:r>
              <w:rPr>
                <w:sz w:val="19"/>
              </w:rPr>
              <w:t>Winterton Medical</w:t>
            </w:r>
            <w:r>
              <w:rPr>
                <w:spacing w:val="-2"/>
                <w:sz w:val="19"/>
              </w:rPr>
              <w:t> </w:t>
            </w:r>
            <w:r>
              <w:rPr>
                <w:sz w:val="19"/>
              </w:rPr>
              <w:t>Practice</w:t>
              <w:tab/>
            </w:r>
            <w:r>
              <w:rPr>
                <w:spacing w:val="-5"/>
                <w:sz w:val="19"/>
              </w:rPr>
              <w:t>1,92</w:t>
            </w:r>
          </w:p>
        </w:tc>
        <w:tc>
          <w:tcPr>
            <w:tcW w:w="1121" w:type="dxa"/>
          </w:tcPr>
          <w:p>
            <w:pPr>
              <w:pStyle w:val="TableParagraph"/>
              <w:spacing w:before="122"/>
              <w:ind w:left="156"/>
              <w:rPr>
                <w:sz w:val="19"/>
              </w:rPr>
            </w:pPr>
            <w:r>
              <w:rPr>
                <w:w w:val="99"/>
                <w:sz w:val="19"/>
              </w:rPr>
              <w:t>5</w:t>
            </w:r>
          </w:p>
        </w:tc>
        <w:tc>
          <w:tcPr>
            <w:tcW w:w="1202" w:type="dxa"/>
          </w:tcPr>
          <w:p>
            <w:pPr>
              <w:pStyle w:val="TableParagraph"/>
              <w:spacing w:before="122"/>
              <w:ind w:left="87"/>
              <w:rPr>
                <w:sz w:val="19"/>
              </w:rPr>
            </w:pPr>
            <w:r>
              <w:rPr>
                <w:w w:val="98"/>
                <w:sz w:val="19"/>
              </w:rPr>
              <w:t>0</w:t>
            </w:r>
          </w:p>
        </w:tc>
        <w:tc>
          <w:tcPr>
            <w:tcW w:w="1345" w:type="dxa"/>
          </w:tcPr>
          <w:p>
            <w:pPr>
              <w:pStyle w:val="TableParagraph"/>
              <w:tabs>
                <w:tab w:pos="1035" w:val="left" w:leader="none"/>
              </w:tabs>
              <w:spacing w:before="122"/>
              <w:ind w:left="3"/>
              <w:rPr>
                <w:sz w:val="19"/>
              </w:rPr>
            </w:pPr>
            <w:r>
              <w:rPr>
                <w:sz w:val="19"/>
              </w:rPr>
              <w:t>0</w:t>
              <w:tab/>
              <w:t>0</w:t>
            </w:r>
          </w:p>
        </w:tc>
      </w:tr>
      <w:tr>
        <w:trPr>
          <w:trHeight w:val="470" w:hRule="atLeast"/>
        </w:trPr>
        <w:tc>
          <w:tcPr>
            <w:tcW w:w="4975" w:type="dxa"/>
          </w:tcPr>
          <w:p>
            <w:pPr>
              <w:pStyle w:val="TableParagraph"/>
              <w:tabs>
                <w:tab w:pos="4762" w:val="left" w:leader="none"/>
              </w:tabs>
              <w:spacing w:before="122"/>
              <w:ind w:left="200" w:right="-159"/>
              <w:rPr>
                <w:sz w:val="19"/>
              </w:rPr>
            </w:pPr>
            <w:r>
              <w:rPr>
                <w:sz w:val="19"/>
              </w:rPr>
              <w:t>The Central</w:t>
            </w:r>
            <w:r>
              <w:rPr>
                <w:spacing w:val="-4"/>
                <w:sz w:val="19"/>
              </w:rPr>
              <w:t> </w:t>
            </w:r>
            <w:r>
              <w:rPr>
                <w:sz w:val="19"/>
              </w:rPr>
              <w:t>Surgery</w:t>
            </w:r>
            <w:r>
              <w:rPr>
                <w:spacing w:val="-1"/>
                <w:sz w:val="19"/>
              </w:rPr>
              <w:t> </w:t>
            </w:r>
            <w:r>
              <w:rPr>
                <w:sz w:val="19"/>
              </w:rPr>
              <w:t>Barton</w:t>
              <w:tab/>
            </w:r>
            <w:r>
              <w:rPr>
                <w:spacing w:val="-5"/>
                <w:sz w:val="19"/>
              </w:rPr>
              <w:t>2,80</w:t>
            </w:r>
          </w:p>
        </w:tc>
        <w:tc>
          <w:tcPr>
            <w:tcW w:w="1121" w:type="dxa"/>
          </w:tcPr>
          <w:p>
            <w:pPr>
              <w:pStyle w:val="TableParagraph"/>
              <w:spacing w:before="122"/>
              <w:ind w:left="156"/>
              <w:rPr>
                <w:sz w:val="19"/>
              </w:rPr>
            </w:pPr>
            <w:r>
              <w:rPr>
                <w:w w:val="99"/>
                <w:sz w:val="19"/>
              </w:rPr>
              <w:t>9</w:t>
            </w:r>
          </w:p>
        </w:tc>
        <w:tc>
          <w:tcPr>
            <w:tcW w:w="1202" w:type="dxa"/>
          </w:tcPr>
          <w:p>
            <w:pPr>
              <w:pStyle w:val="TableParagraph"/>
              <w:spacing w:before="122"/>
              <w:ind w:left="87"/>
              <w:rPr>
                <w:sz w:val="19"/>
              </w:rPr>
            </w:pPr>
            <w:r>
              <w:rPr>
                <w:w w:val="98"/>
                <w:sz w:val="19"/>
              </w:rPr>
              <w:t>0</w:t>
            </w:r>
          </w:p>
        </w:tc>
        <w:tc>
          <w:tcPr>
            <w:tcW w:w="1345" w:type="dxa"/>
          </w:tcPr>
          <w:p>
            <w:pPr>
              <w:pStyle w:val="TableParagraph"/>
              <w:tabs>
                <w:tab w:pos="1035" w:val="left" w:leader="none"/>
              </w:tabs>
              <w:spacing w:before="122"/>
              <w:ind w:left="3"/>
              <w:rPr>
                <w:sz w:val="19"/>
              </w:rPr>
            </w:pPr>
            <w:r>
              <w:rPr>
                <w:sz w:val="19"/>
              </w:rPr>
              <w:t>0</w:t>
              <w:tab/>
              <w:t>0</w:t>
            </w:r>
          </w:p>
        </w:tc>
      </w:tr>
      <w:tr>
        <w:trPr>
          <w:trHeight w:val="469" w:hRule="atLeast"/>
        </w:trPr>
        <w:tc>
          <w:tcPr>
            <w:tcW w:w="4975" w:type="dxa"/>
          </w:tcPr>
          <w:p>
            <w:pPr>
              <w:pStyle w:val="TableParagraph"/>
              <w:tabs>
                <w:tab w:pos="4762" w:val="left" w:leader="none"/>
              </w:tabs>
              <w:spacing w:before="122"/>
              <w:ind w:left="200" w:right="-159"/>
              <w:rPr>
                <w:sz w:val="19"/>
              </w:rPr>
            </w:pPr>
            <w:r>
              <w:rPr>
                <w:sz w:val="19"/>
              </w:rPr>
              <w:t>Bridge</w:t>
            </w:r>
            <w:r>
              <w:rPr>
                <w:spacing w:val="-2"/>
                <w:sz w:val="19"/>
              </w:rPr>
              <w:t> </w:t>
            </w:r>
            <w:r>
              <w:rPr>
                <w:sz w:val="19"/>
              </w:rPr>
              <w:t>Street</w:t>
            </w:r>
            <w:r>
              <w:rPr>
                <w:spacing w:val="-2"/>
                <w:sz w:val="19"/>
              </w:rPr>
              <w:t> </w:t>
            </w:r>
            <w:r>
              <w:rPr>
                <w:sz w:val="19"/>
              </w:rPr>
              <w:t>Surgery</w:t>
              <w:tab/>
            </w:r>
            <w:r>
              <w:rPr>
                <w:spacing w:val="-5"/>
                <w:sz w:val="19"/>
              </w:rPr>
              <w:t>1,06</w:t>
            </w:r>
          </w:p>
        </w:tc>
        <w:tc>
          <w:tcPr>
            <w:tcW w:w="1121" w:type="dxa"/>
          </w:tcPr>
          <w:p>
            <w:pPr>
              <w:pStyle w:val="TableParagraph"/>
              <w:spacing w:before="122"/>
              <w:ind w:left="156"/>
              <w:rPr>
                <w:sz w:val="19"/>
              </w:rPr>
            </w:pPr>
            <w:r>
              <w:rPr>
                <w:w w:val="99"/>
                <w:sz w:val="19"/>
              </w:rPr>
              <w:t>8</w:t>
            </w:r>
          </w:p>
        </w:tc>
        <w:tc>
          <w:tcPr>
            <w:tcW w:w="1202" w:type="dxa"/>
          </w:tcPr>
          <w:p>
            <w:pPr>
              <w:pStyle w:val="TableParagraph"/>
              <w:spacing w:before="122"/>
              <w:ind w:left="87"/>
              <w:rPr>
                <w:sz w:val="19"/>
              </w:rPr>
            </w:pPr>
            <w:r>
              <w:rPr>
                <w:w w:val="98"/>
                <w:sz w:val="19"/>
              </w:rPr>
              <w:t>0</w:t>
            </w:r>
          </w:p>
        </w:tc>
        <w:tc>
          <w:tcPr>
            <w:tcW w:w="1345" w:type="dxa"/>
          </w:tcPr>
          <w:p>
            <w:pPr>
              <w:pStyle w:val="TableParagraph"/>
              <w:tabs>
                <w:tab w:pos="1035" w:val="left" w:leader="none"/>
              </w:tabs>
              <w:spacing w:before="122"/>
              <w:ind w:left="3"/>
              <w:rPr>
                <w:sz w:val="19"/>
              </w:rPr>
            </w:pPr>
            <w:r>
              <w:rPr>
                <w:sz w:val="19"/>
              </w:rPr>
              <w:t>0</w:t>
              <w:tab/>
              <w:t>0</w:t>
            </w:r>
          </w:p>
        </w:tc>
      </w:tr>
      <w:tr>
        <w:trPr>
          <w:trHeight w:val="469" w:hRule="atLeast"/>
        </w:trPr>
        <w:tc>
          <w:tcPr>
            <w:tcW w:w="4975" w:type="dxa"/>
          </w:tcPr>
          <w:p>
            <w:pPr>
              <w:pStyle w:val="TableParagraph"/>
              <w:tabs>
                <w:tab w:pos="4786" w:val="left" w:leader="none"/>
              </w:tabs>
              <w:spacing w:before="121"/>
              <w:ind w:left="200"/>
              <w:rPr>
                <w:sz w:val="19"/>
              </w:rPr>
            </w:pPr>
            <w:r>
              <w:rPr>
                <w:sz w:val="19"/>
              </w:rPr>
              <w:t>Trent View</w:t>
            </w:r>
            <w:r>
              <w:rPr>
                <w:spacing w:val="-3"/>
                <w:sz w:val="19"/>
              </w:rPr>
              <w:t> </w:t>
            </w:r>
            <w:r>
              <w:rPr>
                <w:sz w:val="19"/>
              </w:rPr>
              <w:t>Medical Practice</w:t>
              <w:tab/>
              <w:t>1,</w:t>
            </w:r>
          </w:p>
        </w:tc>
        <w:tc>
          <w:tcPr>
            <w:tcW w:w="1121" w:type="dxa"/>
          </w:tcPr>
          <w:p>
            <w:pPr>
              <w:pStyle w:val="TableParagraph"/>
              <w:spacing w:before="121"/>
              <w:ind w:left="-40"/>
              <w:rPr>
                <w:sz w:val="19"/>
              </w:rPr>
            </w:pPr>
            <w:r>
              <w:rPr>
                <w:sz w:val="19"/>
              </w:rPr>
              <w:t>788</w:t>
            </w:r>
          </w:p>
        </w:tc>
        <w:tc>
          <w:tcPr>
            <w:tcW w:w="1202" w:type="dxa"/>
          </w:tcPr>
          <w:p>
            <w:pPr>
              <w:pStyle w:val="TableParagraph"/>
              <w:spacing w:before="121"/>
              <w:ind w:left="87"/>
              <w:rPr>
                <w:sz w:val="19"/>
              </w:rPr>
            </w:pPr>
            <w:r>
              <w:rPr>
                <w:w w:val="98"/>
                <w:sz w:val="19"/>
              </w:rPr>
              <w:t>0</w:t>
            </w:r>
          </w:p>
        </w:tc>
        <w:tc>
          <w:tcPr>
            <w:tcW w:w="1345" w:type="dxa"/>
          </w:tcPr>
          <w:p>
            <w:pPr>
              <w:pStyle w:val="TableParagraph"/>
              <w:tabs>
                <w:tab w:pos="1035" w:val="left" w:leader="none"/>
              </w:tabs>
              <w:spacing w:before="121"/>
              <w:ind w:left="3"/>
              <w:rPr>
                <w:sz w:val="19"/>
              </w:rPr>
            </w:pPr>
            <w:r>
              <w:rPr>
                <w:sz w:val="19"/>
              </w:rPr>
              <w:t>0</w:t>
              <w:tab/>
              <w:t>0</w:t>
            </w:r>
          </w:p>
        </w:tc>
      </w:tr>
      <w:tr>
        <w:trPr>
          <w:trHeight w:val="470" w:hRule="atLeast"/>
        </w:trPr>
        <w:tc>
          <w:tcPr>
            <w:tcW w:w="4975" w:type="dxa"/>
          </w:tcPr>
          <w:p>
            <w:pPr>
              <w:pStyle w:val="TableParagraph"/>
              <w:tabs>
                <w:tab w:pos="4786" w:val="left" w:leader="none"/>
              </w:tabs>
              <w:spacing w:before="122"/>
              <w:ind w:left="200"/>
              <w:rPr>
                <w:sz w:val="19"/>
              </w:rPr>
            </w:pPr>
            <w:r>
              <w:rPr>
                <w:sz w:val="19"/>
              </w:rPr>
              <w:t>The Birches</w:t>
            </w:r>
            <w:r>
              <w:rPr>
                <w:spacing w:val="-3"/>
                <w:sz w:val="19"/>
              </w:rPr>
              <w:t> </w:t>
            </w:r>
            <w:r>
              <w:rPr>
                <w:sz w:val="19"/>
              </w:rPr>
              <w:t>Medical</w:t>
            </w:r>
            <w:r>
              <w:rPr>
                <w:spacing w:val="-1"/>
                <w:sz w:val="19"/>
              </w:rPr>
              <w:t> </w:t>
            </w:r>
            <w:r>
              <w:rPr>
                <w:sz w:val="19"/>
              </w:rPr>
              <w:t>Practice</w:t>
              <w:tab/>
              <w:t>1,</w:t>
            </w:r>
          </w:p>
        </w:tc>
        <w:tc>
          <w:tcPr>
            <w:tcW w:w="1121" w:type="dxa"/>
          </w:tcPr>
          <w:p>
            <w:pPr>
              <w:pStyle w:val="TableParagraph"/>
              <w:spacing w:before="122"/>
              <w:ind w:left="-40"/>
              <w:rPr>
                <w:sz w:val="19"/>
              </w:rPr>
            </w:pPr>
            <w:r>
              <w:rPr>
                <w:sz w:val="19"/>
              </w:rPr>
              <w:t>067</w:t>
            </w:r>
          </w:p>
        </w:tc>
        <w:tc>
          <w:tcPr>
            <w:tcW w:w="1202" w:type="dxa"/>
          </w:tcPr>
          <w:p>
            <w:pPr>
              <w:pStyle w:val="TableParagraph"/>
              <w:spacing w:before="122"/>
              <w:ind w:left="87"/>
              <w:rPr>
                <w:sz w:val="19"/>
              </w:rPr>
            </w:pPr>
            <w:r>
              <w:rPr>
                <w:w w:val="98"/>
                <w:sz w:val="19"/>
              </w:rPr>
              <w:t>0</w:t>
            </w:r>
          </w:p>
        </w:tc>
        <w:tc>
          <w:tcPr>
            <w:tcW w:w="1345" w:type="dxa"/>
          </w:tcPr>
          <w:p>
            <w:pPr>
              <w:pStyle w:val="TableParagraph"/>
              <w:tabs>
                <w:tab w:pos="1037" w:val="left" w:leader="none"/>
              </w:tabs>
              <w:spacing w:before="122"/>
              <w:ind w:left="3"/>
              <w:rPr>
                <w:sz w:val="19"/>
              </w:rPr>
            </w:pPr>
            <w:r>
              <w:rPr>
                <w:sz w:val="19"/>
              </w:rPr>
              <w:t>0</w:t>
              <w:tab/>
              <w:t>0</w:t>
            </w:r>
          </w:p>
        </w:tc>
      </w:tr>
      <w:tr>
        <w:trPr>
          <w:trHeight w:val="470" w:hRule="atLeast"/>
        </w:trPr>
        <w:tc>
          <w:tcPr>
            <w:tcW w:w="4975" w:type="dxa"/>
          </w:tcPr>
          <w:p>
            <w:pPr>
              <w:pStyle w:val="TableParagraph"/>
              <w:spacing w:before="122"/>
              <w:ind w:left="200"/>
              <w:rPr>
                <w:sz w:val="19"/>
              </w:rPr>
            </w:pPr>
            <w:r>
              <w:rPr>
                <w:sz w:val="19"/>
              </w:rPr>
              <w:t>Market Hill 8 to 8 Centre</w:t>
            </w:r>
          </w:p>
        </w:tc>
        <w:tc>
          <w:tcPr>
            <w:tcW w:w="1121" w:type="dxa"/>
          </w:tcPr>
          <w:p>
            <w:pPr>
              <w:pStyle w:val="TableParagraph"/>
              <w:spacing w:before="122"/>
              <w:ind w:left="-35"/>
              <w:rPr>
                <w:sz w:val="19"/>
              </w:rPr>
            </w:pPr>
            <w:r>
              <w:rPr>
                <w:sz w:val="19"/>
              </w:rPr>
              <w:t>870</w:t>
            </w:r>
          </w:p>
        </w:tc>
        <w:tc>
          <w:tcPr>
            <w:tcW w:w="1202" w:type="dxa"/>
          </w:tcPr>
          <w:p>
            <w:pPr>
              <w:pStyle w:val="TableParagraph"/>
              <w:spacing w:before="122"/>
              <w:ind w:left="87"/>
              <w:rPr>
                <w:sz w:val="19"/>
              </w:rPr>
            </w:pPr>
            <w:r>
              <w:rPr>
                <w:w w:val="98"/>
                <w:sz w:val="19"/>
              </w:rPr>
              <w:t>0</w:t>
            </w:r>
          </w:p>
        </w:tc>
        <w:tc>
          <w:tcPr>
            <w:tcW w:w="1345" w:type="dxa"/>
          </w:tcPr>
          <w:p>
            <w:pPr>
              <w:pStyle w:val="TableParagraph"/>
              <w:tabs>
                <w:tab w:pos="1037" w:val="left" w:leader="none"/>
              </w:tabs>
              <w:spacing w:before="122"/>
              <w:ind w:left="5"/>
              <w:rPr>
                <w:sz w:val="19"/>
              </w:rPr>
            </w:pPr>
            <w:r>
              <w:rPr>
                <w:sz w:val="19"/>
              </w:rPr>
              <w:t>0</w:t>
              <w:tab/>
              <w:t>0</w:t>
            </w:r>
          </w:p>
        </w:tc>
      </w:tr>
      <w:tr>
        <w:trPr>
          <w:trHeight w:val="470" w:hRule="atLeast"/>
        </w:trPr>
        <w:tc>
          <w:tcPr>
            <w:tcW w:w="4975" w:type="dxa"/>
          </w:tcPr>
          <w:p>
            <w:pPr>
              <w:pStyle w:val="TableParagraph"/>
              <w:tabs>
                <w:tab w:pos="4786" w:val="left" w:leader="none"/>
              </w:tabs>
              <w:spacing w:before="122"/>
              <w:ind w:left="200"/>
              <w:rPr>
                <w:sz w:val="19"/>
              </w:rPr>
            </w:pPr>
            <w:r>
              <w:rPr>
                <w:sz w:val="19"/>
              </w:rPr>
              <w:t>Church Lane</w:t>
            </w:r>
            <w:r>
              <w:rPr>
                <w:spacing w:val="-3"/>
                <w:sz w:val="19"/>
              </w:rPr>
              <w:t> </w:t>
            </w:r>
            <w:r>
              <w:rPr>
                <w:sz w:val="19"/>
              </w:rPr>
              <w:t>Medical Centre</w:t>
              <w:tab/>
              <w:t>1,</w:t>
            </w:r>
          </w:p>
        </w:tc>
        <w:tc>
          <w:tcPr>
            <w:tcW w:w="1121" w:type="dxa"/>
          </w:tcPr>
          <w:p>
            <w:pPr>
              <w:pStyle w:val="TableParagraph"/>
              <w:spacing w:before="122"/>
              <w:ind w:left="-40"/>
              <w:rPr>
                <w:sz w:val="19"/>
              </w:rPr>
            </w:pPr>
            <w:r>
              <w:rPr>
                <w:sz w:val="19"/>
              </w:rPr>
              <w:t>200</w:t>
            </w:r>
          </w:p>
        </w:tc>
        <w:tc>
          <w:tcPr>
            <w:tcW w:w="1202" w:type="dxa"/>
          </w:tcPr>
          <w:p>
            <w:pPr>
              <w:pStyle w:val="TableParagraph"/>
              <w:spacing w:before="122"/>
              <w:ind w:left="87"/>
              <w:rPr>
                <w:sz w:val="19"/>
              </w:rPr>
            </w:pPr>
            <w:r>
              <w:rPr>
                <w:w w:val="98"/>
                <w:sz w:val="19"/>
              </w:rPr>
              <w:t>0</w:t>
            </w:r>
          </w:p>
        </w:tc>
        <w:tc>
          <w:tcPr>
            <w:tcW w:w="1345" w:type="dxa"/>
          </w:tcPr>
          <w:p>
            <w:pPr>
              <w:pStyle w:val="TableParagraph"/>
              <w:tabs>
                <w:tab w:pos="1035" w:val="left" w:leader="none"/>
              </w:tabs>
              <w:spacing w:before="122"/>
              <w:ind w:left="5"/>
              <w:rPr>
                <w:sz w:val="19"/>
              </w:rPr>
            </w:pPr>
            <w:r>
              <w:rPr>
                <w:sz w:val="19"/>
              </w:rPr>
              <w:t>0</w:t>
              <w:tab/>
              <w:t>0</w:t>
            </w:r>
          </w:p>
        </w:tc>
      </w:tr>
      <w:tr>
        <w:trPr>
          <w:trHeight w:val="460" w:hRule="atLeast"/>
        </w:trPr>
        <w:tc>
          <w:tcPr>
            <w:tcW w:w="4975" w:type="dxa"/>
          </w:tcPr>
          <w:p>
            <w:pPr>
              <w:pStyle w:val="TableParagraph"/>
              <w:spacing w:before="122"/>
              <w:ind w:left="200"/>
              <w:rPr>
                <w:sz w:val="19"/>
              </w:rPr>
            </w:pPr>
            <w:r>
              <w:rPr>
                <w:sz w:val="19"/>
              </w:rPr>
              <w:t>The Oswald Road Medical Surgery</w:t>
            </w:r>
          </w:p>
        </w:tc>
        <w:tc>
          <w:tcPr>
            <w:tcW w:w="1121" w:type="dxa"/>
          </w:tcPr>
          <w:p>
            <w:pPr>
              <w:pStyle w:val="TableParagraph"/>
              <w:tabs>
                <w:tab w:pos="1040" w:val="left" w:leader="none"/>
              </w:tabs>
              <w:spacing w:before="122"/>
              <w:ind w:left="-38"/>
              <w:rPr>
                <w:sz w:val="19"/>
              </w:rPr>
            </w:pPr>
            <w:r>
              <w:rPr>
                <w:sz w:val="19"/>
              </w:rPr>
              <w:t>954</w:t>
              <w:tab/>
              <w:t>-</w:t>
            </w:r>
          </w:p>
        </w:tc>
        <w:tc>
          <w:tcPr>
            <w:tcW w:w="1202" w:type="dxa"/>
          </w:tcPr>
          <w:p>
            <w:pPr>
              <w:pStyle w:val="TableParagraph"/>
              <w:spacing w:before="122"/>
              <w:ind w:left="-19"/>
              <w:rPr>
                <w:sz w:val="19"/>
              </w:rPr>
            </w:pPr>
            <w:r>
              <w:rPr>
                <w:sz w:val="19"/>
              </w:rPr>
              <w:t>10</w:t>
            </w:r>
          </w:p>
        </w:tc>
        <w:tc>
          <w:tcPr>
            <w:tcW w:w="1345" w:type="dxa"/>
          </w:tcPr>
          <w:p>
            <w:pPr>
              <w:pStyle w:val="TableParagraph"/>
              <w:tabs>
                <w:tab w:pos="1037" w:val="left" w:leader="none"/>
              </w:tabs>
              <w:spacing w:before="122"/>
              <w:ind w:left="5"/>
              <w:rPr>
                <w:sz w:val="19"/>
              </w:rPr>
            </w:pPr>
            <w:r>
              <w:rPr>
                <w:sz w:val="19"/>
              </w:rPr>
              <w:t>0</w:t>
              <w:tab/>
              <w:t>0</w:t>
            </w:r>
          </w:p>
        </w:tc>
      </w:tr>
      <w:tr>
        <w:trPr>
          <w:trHeight w:val="331" w:hRule="atLeast"/>
        </w:trPr>
        <w:tc>
          <w:tcPr>
            <w:tcW w:w="4975" w:type="dxa"/>
          </w:tcPr>
          <w:p>
            <w:pPr>
              <w:pStyle w:val="TableParagraph"/>
              <w:tabs>
                <w:tab w:pos="4788" w:val="left" w:leader="none"/>
              </w:tabs>
              <w:spacing w:line="198" w:lineRule="exact" w:before="113"/>
              <w:ind w:left="200"/>
              <w:rPr>
                <w:sz w:val="19"/>
              </w:rPr>
            </w:pPr>
            <w:r>
              <w:rPr>
                <w:sz w:val="19"/>
              </w:rPr>
              <w:t>South</w:t>
            </w:r>
            <w:r>
              <w:rPr>
                <w:spacing w:val="-1"/>
                <w:sz w:val="19"/>
              </w:rPr>
              <w:t> </w:t>
            </w:r>
            <w:r>
              <w:rPr>
                <w:sz w:val="19"/>
              </w:rPr>
              <w:t>Axholme</w:t>
            </w:r>
            <w:r>
              <w:rPr>
                <w:spacing w:val="-1"/>
                <w:sz w:val="19"/>
              </w:rPr>
              <w:t> </w:t>
            </w:r>
            <w:r>
              <w:rPr>
                <w:sz w:val="19"/>
              </w:rPr>
              <w:t>Practice</w:t>
              <w:tab/>
              <w:t>2,</w:t>
            </w:r>
          </w:p>
        </w:tc>
        <w:tc>
          <w:tcPr>
            <w:tcW w:w="1121" w:type="dxa"/>
          </w:tcPr>
          <w:p>
            <w:pPr>
              <w:pStyle w:val="TableParagraph"/>
              <w:spacing w:line="198" w:lineRule="exact" w:before="113"/>
              <w:ind w:left="-38"/>
              <w:rPr>
                <w:sz w:val="19"/>
              </w:rPr>
            </w:pPr>
            <w:r>
              <w:rPr>
                <w:sz w:val="19"/>
              </w:rPr>
              <w:t>452</w:t>
            </w:r>
          </w:p>
        </w:tc>
        <w:tc>
          <w:tcPr>
            <w:tcW w:w="1202" w:type="dxa"/>
          </w:tcPr>
          <w:p>
            <w:pPr>
              <w:pStyle w:val="TableParagraph"/>
              <w:spacing w:line="198" w:lineRule="exact" w:before="113"/>
              <w:ind w:left="87"/>
              <w:rPr>
                <w:sz w:val="19"/>
              </w:rPr>
            </w:pPr>
            <w:r>
              <w:rPr>
                <w:w w:val="98"/>
                <w:sz w:val="19"/>
              </w:rPr>
              <w:t>0</w:t>
            </w:r>
          </w:p>
        </w:tc>
        <w:tc>
          <w:tcPr>
            <w:tcW w:w="1345" w:type="dxa"/>
          </w:tcPr>
          <w:p>
            <w:pPr>
              <w:pStyle w:val="TableParagraph"/>
              <w:tabs>
                <w:tab w:pos="1035" w:val="left" w:leader="none"/>
              </w:tabs>
              <w:spacing w:line="198" w:lineRule="exact" w:before="113"/>
              <w:ind w:left="5"/>
              <w:rPr>
                <w:sz w:val="19"/>
              </w:rPr>
            </w:pPr>
            <w:r>
              <w:rPr>
                <w:sz w:val="19"/>
              </w:rPr>
              <w:t>0</w:t>
              <w:tab/>
              <w:t>0</w:t>
            </w:r>
          </w:p>
        </w:tc>
      </w:tr>
    </w:tbl>
    <w:p>
      <w:pPr>
        <w:spacing w:after="0" w:line="198" w:lineRule="exact"/>
        <w:rPr>
          <w:sz w:val="19"/>
        </w:rPr>
        <w:sectPr>
          <w:footerReference w:type="default" r:id="rId62"/>
          <w:pgSz w:w="11920" w:h="16850"/>
          <w:pgMar w:footer="531" w:header="0" w:top="1000" w:bottom="720" w:left="740" w:right="520"/>
          <w:pgNumType w:start="26"/>
        </w:sectPr>
      </w:pPr>
    </w:p>
    <w:p>
      <w:pPr>
        <w:spacing w:before="74"/>
        <w:ind w:left="313" w:right="0" w:firstLine="0"/>
        <w:jc w:val="left"/>
        <w:rPr>
          <w:sz w:val="10"/>
        </w:rPr>
      </w:pPr>
      <w:r>
        <w:rPr>
          <w:sz w:val="10"/>
        </w:rPr>
        <w:t>NHS North Lincolnshire CCG - Annual Accounts 2021-22</w:t>
      </w:r>
    </w:p>
    <w:p>
      <w:pPr>
        <w:pStyle w:val="BodyText"/>
        <w:spacing w:before="6"/>
        <w:rPr>
          <w:sz w:val="12"/>
        </w:rPr>
      </w:pPr>
    </w:p>
    <w:p>
      <w:pPr>
        <w:pStyle w:val="ListParagraph"/>
        <w:numPr>
          <w:ilvl w:val="0"/>
          <w:numId w:val="38"/>
        </w:numPr>
        <w:tabs>
          <w:tab w:pos="458" w:val="left" w:leader="none"/>
        </w:tabs>
        <w:spacing w:line="240" w:lineRule="auto" w:before="0" w:after="0"/>
        <w:ind w:left="457" w:right="0" w:hanging="147"/>
        <w:jc w:val="left"/>
        <w:rPr>
          <w:b/>
          <w:sz w:val="10"/>
        </w:rPr>
      </w:pPr>
      <w:r>
        <w:rPr>
          <w:b/>
          <w:w w:val="105"/>
          <w:sz w:val="10"/>
        </w:rPr>
        <w:t>Events after the end of the reporting</w:t>
      </w:r>
      <w:r>
        <w:rPr>
          <w:b/>
          <w:spacing w:val="-18"/>
          <w:w w:val="105"/>
          <w:sz w:val="10"/>
        </w:rPr>
        <w:t> </w:t>
      </w:r>
      <w:r>
        <w:rPr>
          <w:b/>
          <w:w w:val="105"/>
          <w:sz w:val="10"/>
        </w:rPr>
        <w:t>period</w:t>
      </w:r>
    </w:p>
    <w:p>
      <w:pPr>
        <w:pStyle w:val="BodyText"/>
        <w:spacing w:before="9"/>
        <w:rPr>
          <w:b/>
          <w:sz w:val="12"/>
        </w:rPr>
      </w:pPr>
    </w:p>
    <w:p>
      <w:pPr>
        <w:spacing w:line="271" w:lineRule="auto" w:before="0"/>
        <w:ind w:left="313" w:right="1613" w:firstLine="0"/>
        <w:jc w:val="left"/>
        <w:rPr>
          <w:sz w:val="10"/>
        </w:rPr>
      </w:pPr>
      <w:r>
        <w:rPr>
          <w:sz w:val="10"/>
        </w:rPr>
        <w:t>There is one non-adjusting post balance sheet event. This relates to the Health and Social Care Bill that was introduced into the House of Commons on 6th July 2021. The Bill allows for the establishment of Integrated Care Boards (ICB) across England. ICBs will take on the commissioning functions of CCGs. The Bill was passed on 28th April 2022 and the intention is that the CGG functions,</w:t>
      </w:r>
      <w:r>
        <w:rPr>
          <w:spacing w:val="4"/>
          <w:sz w:val="10"/>
        </w:rPr>
        <w:t> </w:t>
      </w:r>
      <w:r>
        <w:rPr>
          <w:sz w:val="10"/>
        </w:rPr>
        <w:t>assets</w:t>
      </w:r>
      <w:r>
        <w:rPr>
          <w:spacing w:val="4"/>
          <w:sz w:val="10"/>
        </w:rPr>
        <w:t> </w:t>
      </w:r>
      <w:r>
        <w:rPr>
          <w:sz w:val="10"/>
        </w:rPr>
        <w:t>and</w:t>
      </w:r>
      <w:r>
        <w:rPr>
          <w:spacing w:val="5"/>
          <w:sz w:val="10"/>
        </w:rPr>
        <w:t> </w:t>
      </w:r>
      <w:r>
        <w:rPr>
          <w:sz w:val="10"/>
        </w:rPr>
        <w:t>liabilities</w:t>
      </w:r>
      <w:r>
        <w:rPr>
          <w:spacing w:val="6"/>
          <w:sz w:val="10"/>
        </w:rPr>
        <w:t> </w:t>
      </w:r>
      <w:r>
        <w:rPr>
          <w:sz w:val="10"/>
        </w:rPr>
        <w:t>will</w:t>
      </w:r>
      <w:r>
        <w:rPr>
          <w:spacing w:val="2"/>
          <w:sz w:val="10"/>
        </w:rPr>
        <w:t> </w:t>
      </w:r>
      <w:r>
        <w:rPr>
          <w:sz w:val="10"/>
        </w:rPr>
        <w:t>therefore</w:t>
      </w:r>
      <w:r>
        <w:rPr>
          <w:spacing w:val="3"/>
          <w:sz w:val="10"/>
        </w:rPr>
        <w:t> </w:t>
      </w:r>
      <w:r>
        <w:rPr>
          <w:sz w:val="10"/>
        </w:rPr>
        <w:t>transfer</w:t>
      </w:r>
      <w:r>
        <w:rPr>
          <w:spacing w:val="4"/>
          <w:sz w:val="10"/>
        </w:rPr>
        <w:t> </w:t>
      </w:r>
      <w:r>
        <w:rPr>
          <w:sz w:val="10"/>
        </w:rPr>
        <w:t>to</w:t>
      </w:r>
      <w:r>
        <w:rPr>
          <w:spacing w:val="5"/>
          <w:sz w:val="10"/>
        </w:rPr>
        <w:t> </w:t>
      </w:r>
      <w:r>
        <w:rPr>
          <w:sz w:val="10"/>
        </w:rPr>
        <w:t>an</w:t>
      </w:r>
      <w:r>
        <w:rPr>
          <w:spacing w:val="2"/>
          <w:sz w:val="10"/>
        </w:rPr>
        <w:t> </w:t>
      </w:r>
      <w:r>
        <w:rPr>
          <w:sz w:val="10"/>
        </w:rPr>
        <w:t>ICB</w:t>
      </w:r>
      <w:r>
        <w:rPr>
          <w:spacing w:val="6"/>
          <w:sz w:val="10"/>
        </w:rPr>
        <w:t> </w:t>
      </w:r>
      <w:r>
        <w:rPr>
          <w:sz w:val="10"/>
        </w:rPr>
        <w:t>on</w:t>
      </w:r>
      <w:r>
        <w:rPr>
          <w:spacing w:val="1"/>
          <w:sz w:val="10"/>
        </w:rPr>
        <w:t> </w:t>
      </w:r>
      <w:r>
        <w:rPr>
          <w:sz w:val="10"/>
        </w:rPr>
        <w:t>the</w:t>
      </w:r>
      <w:r>
        <w:rPr>
          <w:spacing w:val="5"/>
          <w:sz w:val="10"/>
        </w:rPr>
        <w:t> </w:t>
      </w:r>
      <w:r>
        <w:rPr>
          <w:sz w:val="10"/>
        </w:rPr>
        <w:t>1st</w:t>
      </w:r>
      <w:r>
        <w:rPr>
          <w:spacing w:val="5"/>
          <w:sz w:val="10"/>
        </w:rPr>
        <w:t> </w:t>
      </w:r>
      <w:r>
        <w:rPr>
          <w:sz w:val="10"/>
        </w:rPr>
        <w:t>July</w:t>
      </w:r>
      <w:r>
        <w:rPr>
          <w:spacing w:val="3"/>
          <w:sz w:val="10"/>
        </w:rPr>
        <w:t> </w:t>
      </w:r>
      <w:r>
        <w:rPr>
          <w:sz w:val="10"/>
        </w:rPr>
        <w:t>2022.</w:t>
      </w:r>
      <w:r>
        <w:rPr>
          <w:spacing w:val="5"/>
          <w:sz w:val="10"/>
        </w:rPr>
        <w:t> </w:t>
      </w:r>
      <w:r>
        <w:rPr>
          <w:sz w:val="10"/>
        </w:rPr>
        <w:t>(2020-21</w:t>
      </w:r>
      <w:r>
        <w:rPr>
          <w:spacing w:val="5"/>
          <w:sz w:val="10"/>
        </w:rPr>
        <w:t> </w:t>
      </w:r>
      <w:r>
        <w:rPr>
          <w:sz w:val="10"/>
        </w:rPr>
        <w:t>None)</w:t>
      </w:r>
    </w:p>
    <w:p>
      <w:pPr>
        <w:pStyle w:val="BodyText"/>
        <w:spacing w:before="2"/>
        <w:rPr>
          <w:sz w:val="11"/>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0"/>
        <w:gridCol w:w="1057"/>
        <w:gridCol w:w="953"/>
        <w:gridCol w:w="819"/>
        <w:gridCol w:w="811"/>
      </w:tblGrid>
      <w:tr>
        <w:trPr>
          <w:trHeight w:val="574" w:hRule="atLeast"/>
        </w:trPr>
        <w:tc>
          <w:tcPr>
            <w:tcW w:w="5530" w:type="dxa"/>
          </w:tcPr>
          <w:p>
            <w:pPr>
              <w:pStyle w:val="TableParagraph"/>
              <w:spacing w:line="112" w:lineRule="exact"/>
              <w:ind w:left="25"/>
              <w:rPr>
                <w:b/>
                <w:sz w:val="10"/>
              </w:rPr>
            </w:pPr>
            <w:r>
              <w:rPr>
                <w:b/>
                <w:w w:val="105"/>
                <w:sz w:val="10"/>
              </w:rPr>
              <w:t>17 Financial performance targets</w:t>
            </w:r>
          </w:p>
          <w:p>
            <w:pPr>
              <w:pStyle w:val="TableParagraph"/>
              <w:spacing w:before="6"/>
              <w:rPr>
                <w:sz w:val="12"/>
              </w:rPr>
            </w:pPr>
          </w:p>
          <w:p>
            <w:pPr>
              <w:pStyle w:val="TableParagraph"/>
              <w:spacing w:line="271" w:lineRule="auto"/>
              <w:ind w:left="27" w:right="433"/>
              <w:rPr>
                <w:sz w:val="10"/>
              </w:rPr>
            </w:pPr>
            <w:r>
              <w:rPr>
                <w:sz w:val="10"/>
              </w:rPr>
              <w:t>NHS Clinical Commissioning Group have a number of financial duties under the NHS Act 2006 (as amended).  NHS</w:t>
            </w:r>
            <w:r>
              <w:rPr>
                <w:spacing w:val="7"/>
                <w:sz w:val="10"/>
              </w:rPr>
              <w:t> </w:t>
            </w:r>
            <w:r>
              <w:rPr>
                <w:sz w:val="10"/>
              </w:rPr>
              <w:t>Clinical</w:t>
            </w:r>
            <w:r>
              <w:rPr>
                <w:spacing w:val="7"/>
                <w:sz w:val="10"/>
              </w:rPr>
              <w:t> </w:t>
            </w:r>
            <w:r>
              <w:rPr>
                <w:sz w:val="10"/>
              </w:rPr>
              <w:t>Commissioning</w:t>
            </w:r>
            <w:r>
              <w:rPr>
                <w:spacing w:val="7"/>
                <w:sz w:val="10"/>
              </w:rPr>
              <w:t> </w:t>
            </w:r>
            <w:r>
              <w:rPr>
                <w:sz w:val="10"/>
              </w:rPr>
              <w:t>Group</w:t>
            </w:r>
            <w:r>
              <w:rPr>
                <w:spacing w:val="6"/>
                <w:sz w:val="10"/>
              </w:rPr>
              <w:t> </w:t>
            </w:r>
            <w:r>
              <w:rPr>
                <w:sz w:val="10"/>
              </w:rPr>
              <w:t>performance</w:t>
            </w:r>
            <w:r>
              <w:rPr>
                <w:spacing w:val="6"/>
                <w:sz w:val="10"/>
              </w:rPr>
              <w:t> </w:t>
            </w:r>
            <w:r>
              <w:rPr>
                <w:sz w:val="10"/>
              </w:rPr>
              <w:t>against</w:t>
            </w:r>
            <w:r>
              <w:rPr>
                <w:spacing w:val="6"/>
                <w:sz w:val="10"/>
              </w:rPr>
              <w:t> </w:t>
            </w:r>
            <w:r>
              <w:rPr>
                <w:sz w:val="10"/>
              </w:rPr>
              <w:t>those</w:t>
            </w:r>
            <w:r>
              <w:rPr>
                <w:spacing w:val="7"/>
                <w:sz w:val="10"/>
              </w:rPr>
              <w:t> </w:t>
            </w:r>
            <w:r>
              <w:rPr>
                <w:sz w:val="10"/>
              </w:rPr>
              <w:t>duties</w:t>
            </w:r>
            <w:r>
              <w:rPr>
                <w:spacing w:val="7"/>
                <w:sz w:val="10"/>
              </w:rPr>
              <w:t> </w:t>
            </w:r>
            <w:r>
              <w:rPr>
                <w:sz w:val="10"/>
              </w:rPr>
              <w:t>was</w:t>
            </w:r>
            <w:r>
              <w:rPr>
                <w:spacing w:val="7"/>
                <w:sz w:val="10"/>
              </w:rPr>
              <w:t> </w:t>
            </w:r>
            <w:r>
              <w:rPr>
                <w:sz w:val="10"/>
              </w:rPr>
              <w:t>as</w:t>
            </w:r>
            <w:r>
              <w:rPr>
                <w:spacing w:val="5"/>
                <w:sz w:val="10"/>
              </w:rPr>
              <w:t> </w:t>
            </w:r>
            <w:r>
              <w:rPr>
                <w:sz w:val="10"/>
              </w:rPr>
              <w:t>follows:</w:t>
            </w:r>
          </w:p>
        </w:tc>
        <w:tc>
          <w:tcPr>
            <w:tcW w:w="3640" w:type="dxa"/>
            <w:gridSpan w:val="4"/>
          </w:tcPr>
          <w:p>
            <w:pPr>
              <w:pStyle w:val="TableParagraph"/>
              <w:rPr>
                <w:rFonts w:ascii="Times New Roman"/>
                <w:sz w:val="10"/>
              </w:rPr>
            </w:pPr>
          </w:p>
        </w:tc>
      </w:tr>
      <w:tr>
        <w:trPr>
          <w:trHeight w:val="322" w:hRule="atLeast"/>
        </w:trPr>
        <w:tc>
          <w:tcPr>
            <w:tcW w:w="5530" w:type="dxa"/>
          </w:tcPr>
          <w:p>
            <w:pPr>
              <w:pStyle w:val="TableParagraph"/>
              <w:rPr>
                <w:rFonts w:ascii="Times New Roman"/>
                <w:sz w:val="10"/>
              </w:rPr>
            </w:pPr>
          </w:p>
        </w:tc>
        <w:tc>
          <w:tcPr>
            <w:tcW w:w="1057" w:type="dxa"/>
          </w:tcPr>
          <w:p>
            <w:pPr>
              <w:pStyle w:val="TableParagraph"/>
              <w:spacing w:before="70"/>
              <w:ind w:left="404"/>
              <w:rPr>
                <w:b/>
                <w:sz w:val="10"/>
              </w:rPr>
            </w:pPr>
            <w:r>
              <w:rPr>
                <w:b/>
                <w:w w:val="105"/>
                <w:sz w:val="10"/>
              </w:rPr>
              <w:t>2021-22</w:t>
            </w:r>
          </w:p>
          <w:p>
            <w:pPr>
              <w:pStyle w:val="TableParagraph"/>
              <w:spacing w:line="105" w:lineRule="exact" w:before="13"/>
              <w:ind w:left="428"/>
              <w:rPr>
                <w:b/>
                <w:sz w:val="10"/>
              </w:rPr>
            </w:pPr>
            <w:r>
              <w:rPr>
                <w:b/>
                <w:w w:val="105"/>
                <w:sz w:val="10"/>
              </w:rPr>
              <w:t>Target</w:t>
            </w:r>
          </w:p>
        </w:tc>
        <w:tc>
          <w:tcPr>
            <w:tcW w:w="953" w:type="dxa"/>
          </w:tcPr>
          <w:p>
            <w:pPr>
              <w:pStyle w:val="TableParagraph"/>
              <w:spacing w:before="70"/>
              <w:ind w:left="79" w:right="177"/>
              <w:jc w:val="center"/>
              <w:rPr>
                <w:b/>
                <w:sz w:val="10"/>
              </w:rPr>
            </w:pPr>
            <w:r>
              <w:rPr>
                <w:b/>
                <w:w w:val="105"/>
                <w:sz w:val="10"/>
              </w:rPr>
              <w:t>2021-22</w:t>
            </w:r>
          </w:p>
          <w:p>
            <w:pPr>
              <w:pStyle w:val="TableParagraph"/>
              <w:spacing w:line="105" w:lineRule="exact" w:before="13"/>
              <w:ind w:left="79" w:right="192"/>
              <w:jc w:val="center"/>
              <w:rPr>
                <w:b/>
                <w:sz w:val="10"/>
              </w:rPr>
            </w:pPr>
            <w:r>
              <w:rPr>
                <w:b/>
                <w:w w:val="105"/>
                <w:sz w:val="10"/>
              </w:rPr>
              <w:t>Performance</w:t>
            </w:r>
          </w:p>
        </w:tc>
        <w:tc>
          <w:tcPr>
            <w:tcW w:w="819" w:type="dxa"/>
          </w:tcPr>
          <w:p>
            <w:pPr>
              <w:pStyle w:val="TableParagraph"/>
              <w:spacing w:before="70"/>
              <w:ind w:left="165"/>
              <w:rPr>
                <w:b/>
                <w:sz w:val="10"/>
              </w:rPr>
            </w:pPr>
            <w:r>
              <w:rPr>
                <w:b/>
                <w:w w:val="105"/>
                <w:sz w:val="10"/>
              </w:rPr>
              <w:t>2020-21</w:t>
            </w:r>
          </w:p>
          <w:p>
            <w:pPr>
              <w:pStyle w:val="TableParagraph"/>
              <w:spacing w:line="105" w:lineRule="exact" w:before="13"/>
              <w:ind w:left="189"/>
              <w:rPr>
                <w:b/>
                <w:sz w:val="10"/>
              </w:rPr>
            </w:pPr>
            <w:r>
              <w:rPr>
                <w:b/>
                <w:w w:val="105"/>
                <w:sz w:val="10"/>
              </w:rPr>
              <w:t>Target</w:t>
            </w:r>
          </w:p>
        </w:tc>
        <w:tc>
          <w:tcPr>
            <w:tcW w:w="811" w:type="dxa"/>
          </w:tcPr>
          <w:p>
            <w:pPr>
              <w:pStyle w:val="TableParagraph"/>
              <w:spacing w:before="70"/>
              <w:ind w:left="77" w:right="38"/>
              <w:jc w:val="center"/>
              <w:rPr>
                <w:b/>
                <w:sz w:val="10"/>
              </w:rPr>
            </w:pPr>
            <w:r>
              <w:rPr>
                <w:b/>
                <w:w w:val="105"/>
                <w:sz w:val="10"/>
              </w:rPr>
              <w:t>2020-21</w:t>
            </w:r>
          </w:p>
          <w:p>
            <w:pPr>
              <w:pStyle w:val="TableParagraph"/>
              <w:spacing w:line="105" w:lineRule="exact" w:before="13"/>
              <w:ind w:left="77" w:right="52"/>
              <w:jc w:val="center"/>
              <w:rPr>
                <w:b/>
                <w:sz w:val="10"/>
              </w:rPr>
            </w:pPr>
            <w:r>
              <w:rPr>
                <w:b/>
                <w:w w:val="105"/>
                <w:sz w:val="10"/>
              </w:rPr>
              <w:t>Performance</w:t>
            </w:r>
          </w:p>
        </w:tc>
      </w:tr>
      <w:tr>
        <w:trPr>
          <w:trHeight w:val="130" w:hRule="atLeast"/>
        </w:trPr>
        <w:tc>
          <w:tcPr>
            <w:tcW w:w="5530" w:type="dxa"/>
          </w:tcPr>
          <w:p>
            <w:pPr>
              <w:pStyle w:val="TableParagraph"/>
              <w:spacing w:line="104" w:lineRule="exact" w:before="7"/>
              <w:ind w:left="27"/>
              <w:rPr>
                <w:sz w:val="10"/>
              </w:rPr>
            </w:pPr>
            <w:r>
              <w:rPr>
                <w:sz w:val="10"/>
              </w:rPr>
              <w:t>Expenditure not to exceed income</w:t>
            </w:r>
          </w:p>
        </w:tc>
        <w:tc>
          <w:tcPr>
            <w:tcW w:w="1057" w:type="dxa"/>
          </w:tcPr>
          <w:p>
            <w:pPr>
              <w:pStyle w:val="TableParagraph"/>
              <w:spacing w:line="104" w:lineRule="exact" w:before="7"/>
              <w:ind w:right="99"/>
              <w:jc w:val="right"/>
              <w:rPr>
                <w:sz w:val="10"/>
              </w:rPr>
            </w:pPr>
            <w:r>
              <w:rPr>
                <w:sz w:val="10"/>
              </w:rPr>
              <w:t>319,903</w:t>
            </w:r>
          </w:p>
        </w:tc>
        <w:tc>
          <w:tcPr>
            <w:tcW w:w="953" w:type="dxa"/>
          </w:tcPr>
          <w:p>
            <w:pPr>
              <w:pStyle w:val="TableParagraph"/>
              <w:spacing w:line="104" w:lineRule="exact" w:before="7"/>
              <w:ind w:right="166"/>
              <w:jc w:val="right"/>
              <w:rPr>
                <w:sz w:val="10"/>
              </w:rPr>
            </w:pPr>
            <w:r>
              <w:rPr>
                <w:sz w:val="10"/>
              </w:rPr>
              <w:t>319,884</w:t>
            </w:r>
          </w:p>
        </w:tc>
        <w:tc>
          <w:tcPr>
            <w:tcW w:w="819" w:type="dxa"/>
          </w:tcPr>
          <w:p>
            <w:pPr>
              <w:pStyle w:val="TableParagraph"/>
              <w:spacing w:line="104" w:lineRule="exact" w:before="7"/>
              <w:ind w:right="99"/>
              <w:jc w:val="right"/>
              <w:rPr>
                <w:sz w:val="10"/>
              </w:rPr>
            </w:pPr>
            <w:r>
              <w:rPr>
                <w:sz w:val="10"/>
              </w:rPr>
              <w:t>298,113</w:t>
            </w:r>
          </w:p>
        </w:tc>
        <w:tc>
          <w:tcPr>
            <w:tcW w:w="811" w:type="dxa"/>
          </w:tcPr>
          <w:p>
            <w:pPr>
              <w:pStyle w:val="TableParagraph"/>
              <w:spacing w:line="104" w:lineRule="exact" w:before="7"/>
              <w:ind w:right="43"/>
              <w:jc w:val="right"/>
              <w:rPr>
                <w:sz w:val="10"/>
              </w:rPr>
            </w:pPr>
            <w:r>
              <w:rPr>
                <w:sz w:val="10"/>
              </w:rPr>
              <w:t>298,082</w:t>
            </w:r>
          </w:p>
        </w:tc>
      </w:tr>
      <w:tr>
        <w:trPr>
          <w:trHeight w:val="129" w:hRule="atLeast"/>
        </w:trPr>
        <w:tc>
          <w:tcPr>
            <w:tcW w:w="5530" w:type="dxa"/>
          </w:tcPr>
          <w:p>
            <w:pPr>
              <w:pStyle w:val="TableParagraph"/>
              <w:spacing w:line="104" w:lineRule="exact" w:before="6"/>
              <w:ind w:left="27"/>
              <w:rPr>
                <w:sz w:val="10"/>
              </w:rPr>
            </w:pPr>
            <w:r>
              <w:rPr>
                <w:sz w:val="10"/>
              </w:rPr>
              <w:t>Capital resource use does not exceed the amount specified in Directions</w:t>
            </w:r>
          </w:p>
        </w:tc>
        <w:tc>
          <w:tcPr>
            <w:tcW w:w="1057" w:type="dxa"/>
          </w:tcPr>
          <w:p>
            <w:pPr>
              <w:pStyle w:val="TableParagraph"/>
              <w:spacing w:line="104" w:lineRule="exact" w:before="6"/>
              <w:ind w:right="100"/>
              <w:jc w:val="right"/>
              <w:rPr>
                <w:sz w:val="10"/>
              </w:rPr>
            </w:pPr>
            <w:r>
              <w:rPr>
                <w:w w:val="100"/>
                <w:sz w:val="10"/>
              </w:rPr>
              <w:t>-</w:t>
            </w:r>
          </w:p>
        </w:tc>
        <w:tc>
          <w:tcPr>
            <w:tcW w:w="953" w:type="dxa"/>
          </w:tcPr>
          <w:p>
            <w:pPr>
              <w:pStyle w:val="TableParagraph"/>
              <w:spacing w:line="104" w:lineRule="exact" w:before="6"/>
              <w:ind w:right="168"/>
              <w:jc w:val="right"/>
              <w:rPr>
                <w:sz w:val="10"/>
              </w:rPr>
            </w:pPr>
            <w:r>
              <w:rPr>
                <w:w w:val="100"/>
                <w:sz w:val="10"/>
              </w:rPr>
              <w:t>-</w:t>
            </w:r>
          </w:p>
        </w:tc>
        <w:tc>
          <w:tcPr>
            <w:tcW w:w="819" w:type="dxa"/>
          </w:tcPr>
          <w:p>
            <w:pPr>
              <w:pStyle w:val="TableParagraph"/>
              <w:spacing w:line="104" w:lineRule="exact" w:before="6"/>
              <w:ind w:right="101"/>
              <w:jc w:val="right"/>
              <w:rPr>
                <w:sz w:val="10"/>
              </w:rPr>
            </w:pPr>
            <w:r>
              <w:rPr>
                <w:w w:val="100"/>
                <w:sz w:val="10"/>
              </w:rPr>
              <w:t>-</w:t>
            </w:r>
          </w:p>
        </w:tc>
        <w:tc>
          <w:tcPr>
            <w:tcW w:w="811" w:type="dxa"/>
          </w:tcPr>
          <w:p>
            <w:pPr>
              <w:pStyle w:val="TableParagraph"/>
              <w:spacing w:line="104" w:lineRule="exact" w:before="6"/>
              <w:ind w:right="27"/>
              <w:jc w:val="right"/>
              <w:rPr>
                <w:sz w:val="10"/>
              </w:rPr>
            </w:pPr>
            <w:r>
              <w:rPr>
                <w:w w:val="100"/>
                <w:sz w:val="10"/>
              </w:rPr>
              <w:t>-</w:t>
            </w:r>
          </w:p>
        </w:tc>
      </w:tr>
      <w:tr>
        <w:trPr>
          <w:trHeight w:val="129" w:hRule="atLeast"/>
        </w:trPr>
        <w:tc>
          <w:tcPr>
            <w:tcW w:w="5530" w:type="dxa"/>
          </w:tcPr>
          <w:p>
            <w:pPr>
              <w:pStyle w:val="TableParagraph"/>
              <w:spacing w:line="104" w:lineRule="exact" w:before="6"/>
              <w:ind w:left="28"/>
              <w:rPr>
                <w:sz w:val="10"/>
              </w:rPr>
            </w:pPr>
            <w:r>
              <w:rPr>
                <w:sz w:val="10"/>
              </w:rPr>
              <w:t>Revenue resource use does not exceed the amount specified in Directions</w:t>
            </w:r>
          </w:p>
        </w:tc>
        <w:tc>
          <w:tcPr>
            <w:tcW w:w="1057" w:type="dxa"/>
          </w:tcPr>
          <w:p>
            <w:pPr>
              <w:pStyle w:val="TableParagraph"/>
              <w:spacing w:line="104" w:lineRule="exact" w:before="6"/>
              <w:ind w:right="98"/>
              <w:jc w:val="right"/>
              <w:rPr>
                <w:sz w:val="10"/>
              </w:rPr>
            </w:pPr>
            <w:r>
              <w:rPr>
                <w:sz w:val="10"/>
              </w:rPr>
              <w:t>319,467</w:t>
            </w:r>
          </w:p>
        </w:tc>
        <w:tc>
          <w:tcPr>
            <w:tcW w:w="953" w:type="dxa"/>
          </w:tcPr>
          <w:p>
            <w:pPr>
              <w:pStyle w:val="TableParagraph"/>
              <w:spacing w:line="104" w:lineRule="exact" w:before="6"/>
              <w:ind w:right="165"/>
              <w:jc w:val="right"/>
              <w:rPr>
                <w:sz w:val="10"/>
              </w:rPr>
            </w:pPr>
            <w:r>
              <w:rPr>
                <w:sz w:val="10"/>
              </w:rPr>
              <w:t>319,448</w:t>
            </w:r>
          </w:p>
        </w:tc>
        <w:tc>
          <w:tcPr>
            <w:tcW w:w="819" w:type="dxa"/>
          </w:tcPr>
          <w:p>
            <w:pPr>
              <w:pStyle w:val="TableParagraph"/>
              <w:spacing w:line="104" w:lineRule="exact" w:before="6"/>
              <w:ind w:right="99"/>
              <w:jc w:val="right"/>
              <w:rPr>
                <w:sz w:val="10"/>
              </w:rPr>
            </w:pPr>
            <w:r>
              <w:rPr>
                <w:sz w:val="10"/>
              </w:rPr>
              <w:t>297,845</w:t>
            </w:r>
          </w:p>
        </w:tc>
        <w:tc>
          <w:tcPr>
            <w:tcW w:w="811" w:type="dxa"/>
          </w:tcPr>
          <w:p>
            <w:pPr>
              <w:pStyle w:val="TableParagraph"/>
              <w:spacing w:line="104" w:lineRule="exact" w:before="6"/>
              <w:ind w:right="43"/>
              <w:jc w:val="right"/>
              <w:rPr>
                <w:sz w:val="10"/>
              </w:rPr>
            </w:pPr>
            <w:r>
              <w:rPr>
                <w:sz w:val="10"/>
              </w:rPr>
              <w:t>297,814</w:t>
            </w:r>
          </w:p>
        </w:tc>
      </w:tr>
      <w:tr>
        <w:trPr>
          <w:trHeight w:val="128" w:hRule="atLeast"/>
        </w:trPr>
        <w:tc>
          <w:tcPr>
            <w:tcW w:w="5530" w:type="dxa"/>
          </w:tcPr>
          <w:p>
            <w:pPr>
              <w:pStyle w:val="TableParagraph"/>
              <w:spacing w:line="102" w:lineRule="exact" w:before="6"/>
              <w:ind w:left="28"/>
              <w:rPr>
                <w:sz w:val="10"/>
              </w:rPr>
            </w:pPr>
            <w:r>
              <w:rPr>
                <w:sz w:val="10"/>
              </w:rPr>
              <w:t>Capital resource use on specified matter(s) does not exceed the amount specified in Directions</w:t>
            </w:r>
          </w:p>
        </w:tc>
        <w:tc>
          <w:tcPr>
            <w:tcW w:w="1057" w:type="dxa"/>
          </w:tcPr>
          <w:p>
            <w:pPr>
              <w:pStyle w:val="TableParagraph"/>
              <w:spacing w:line="102" w:lineRule="exact" w:before="6"/>
              <w:ind w:right="100"/>
              <w:jc w:val="right"/>
              <w:rPr>
                <w:sz w:val="10"/>
              </w:rPr>
            </w:pPr>
            <w:r>
              <w:rPr>
                <w:w w:val="100"/>
                <w:sz w:val="10"/>
              </w:rPr>
              <w:t>-</w:t>
            </w:r>
          </w:p>
        </w:tc>
        <w:tc>
          <w:tcPr>
            <w:tcW w:w="953" w:type="dxa"/>
          </w:tcPr>
          <w:p>
            <w:pPr>
              <w:pStyle w:val="TableParagraph"/>
              <w:spacing w:line="102" w:lineRule="exact" w:before="6"/>
              <w:ind w:right="167"/>
              <w:jc w:val="right"/>
              <w:rPr>
                <w:sz w:val="10"/>
              </w:rPr>
            </w:pPr>
            <w:r>
              <w:rPr>
                <w:w w:val="100"/>
                <w:sz w:val="10"/>
              </w:rPr>
              <w:t>-</w:t>
            </w:r>
          </w:p>
        </w:tc>
        <w:tc>
          <w:tcPr>
            <w:tcW w:w="819" w:type="dxa"/>
          </w:tcPr>
          <w:p>
            <w:pPr>
              <w:pStyle w:val="TableParagraph"/>
              <w:spacing w:line="102" w:lineRule="exact" w:before="6"/>
              <w:ind w:right="101"/>
              <w:jc w:val="right"/>
              <w:rPr>
                <w:sz w:val="10"/>
              </w:rPr>
            </w:pPr>
            <w:r>
              <w:rPr>
                <w:w w:val="100"/>
                <w:sz w:val="10"/>
              </w:rPr>
              <w:t>-</w:t>
            </w:r>
          </w:p>
        </w:tc>
        <w:tc>
          <w:tcPr>
            <w:tcW w:w="811" w:type="dxa"/>
          </w:tcPr>
          <w:p>
            <w:pPr>
              <w:pStyle w:val="TableParagraph"/>
              <w:spacing w:line="102" w:lineRule="exact" w:before="6"/>
              <w:ind w:right="26"/>
              <w:jc w:val="right"/>
              <w:rPr>
                <w:sz w:val="10"/>
              </w:rPr>
            </w:pPr>
            <w:r>
              <w:rPr>
                <w:w w:val="100"/>
                <w:sz w:val="10"/>
              </w:rPr>
              <w:t>-</w:t>
            </w:r>
          </w:p>
        </w:tc>
      </w:tr>
      <w:tr>
        <w:trPr>
          <w:trHeight w:val="129" w:hRule="atLeast"/>
        </w:trPr>
        <w:tc>
          <w:tcPr>
            <w:tcW w:w="5530" w:type="dxa"/>
          </w:tcPr>
          <w:p>
            <w:pPr>
              <w:pStyle w:val="TableParagraph"/>
              <w:spacing w:line="105" w:lineRule="exact" w:before="4"/>
              <w:ind w:left="28"/>
              <w:rPr>
                <w:sz w:val="10"/>
              </w:rPr>
            </w:pPr>
            <w:r>
              <w:rPr>
                <w:sz w:val="10"/>
              </w:rPr>
              <w:t>Revenue resource use on specified matter(s) does not exceed the amount specified in Directions</w:t>
            </w:r>
          </w:p>
        </w:tc>
        <w:tc>
          <w:tcPr>
            <w:tcW w:w="1057" w:type="dxa"/>
          </w:tcPr>
          <w:p>
            <w:pPr>
              <w:pStyle w:val="TableParagraph"/>
              <w:spacing w:line="105" w:lineRule="exact" w:before="4"/>
              <w:ind w:right="99"/>
              <w:jc w:val="right"/>
              <w:rPr>
                <w:sz w:val="10"/>
              </w:rPr>
            </w:pPr>
            <w:r>
              <w:rPr>
                <w:w w:val="100"/>
                <w:sz w:val="10"/>
              </w:rPr>
              <w:t>-</w:t>
            </w:r>
          </w:p>
        </w:tc>
        <w:tc>
          <w:tcPr>
            <w:tcW w:w="953" w:type="dxa"/>
          </w:tcPr>
          <w:p>
            <w:pPr>
              <w:pStyle w:val="TableParagraph"/>
              <w:spacing w:line="105" w:lineRule="exact" w:before="4"/>
              <w:ind w:right="167"/>
              <w:jc w:val="right"/>
              <w:rPr>
                <w:sz w:val="10"/>
              </w:rPr>
            </w:pPr>
            <w:r>
              <w:rPr>
                <w:w w:val="100"/>
                <w:sz w:val="10"/>
              </w:rPr>
              <w:t>-</w:t>
            </w:r>
          </w:p>
        </w:tc>
        <w:tc>
          <w:tcPr>
            <w:tcW w:w="819" w:type="dxa"/>
          </w:tcPr>
          <w:p>
            <w:pPr>
              <w:pStyle w:val="TableParagraph"/>
              <w:spacing w:line="105" w:lineRule="exact" w:before="4"/>
              <w:ind w:right="100"/>
              <w:jc w:val="right"/>
              <w:rPr>
                <w:sz w:val="10"/>
              </w:rPr>
            </w:pPr>
            <w:r>
              <w:rPr>
                <w:w w:val="100"/>
                <w:sz w:val="10"/>
              </w:rPr>
              <w:t>-</w:t>
            </w:r>
          </w:p>
        </w:tc>
        <w:tc>
          <w:tcPr>
            <w:tcW w:w="811" w:type="dxa"/>
          </w:tcPr>
          <w:p>
            <w:pPr>
              <w:pStyle w:val="TableParagraph"/>
              <w:spacing w:line="105" w:lineRule="exact" w:before="4"/>
              <w:ind w:right="26"/>
              <w:jc w:val="right"/>
              <w:rPr>
                <w:sz w:val="10"/>
              </w:rPr>
            </w:pPr>
            <w:r>
              <w:rPr>
                <w:w w:val="100"/>
                <w:sz w:val="10"/>
              </w:rPr>
              <w:t>-</w:t>
            </w:r>
          </w:p>
        </w:tc>
      </w:tr>
      <w:tr>
        <w:trPr>
          <w:trHeight w:val="193" w:hRule="atLeast"/>
        </w:trPr>
        <w:tc>
          <w:tcPr>
            <w:tcW w:w="5530" w:type="dxa"/>
          </w:tcPr>
          <w:p>
            <w:pPr>
              <w:pStyle w:val="TableParagraph"/>
              <w:spacing w:before="7"/>
              <w:ind w:left="29"/>
              <w:rPr>
                <w:sz w:val="10"/>
              </w:rPr>
            </w:pPr>
            <w:r>
              <w:rPr>
                <w:sz w:val="10"/>
              </w:rPr>
              <w:t>Revenue administration resource use does not exceed the amount specified in Directions</w:t>
            </w:r>
          </w:p>
        </w:tc>
        <w:tc>
          <w:tcPr>
            <w:tcW w:w="1057" w:type="dxa"/>
          </w:tcPr>
          <w:p>
            <w:pPr>
              <w:pStyle w:val="TableParagraph"/>
              <w:spacing w:before="7"/>
              <w:ind w:right="99"/>
              <w:jc w:val="right"/>
              <w:rPr>
                <w:sz w:val="10"/>
              </w:rPr>
            </w:pPr>
            <w:r>
              <w:rPr>
                <w:sz w:val="10"/>
              </w:rPr>
              <w:t>3,447</w:t>
            </w:r>
          </w:p>
        </w:tc>
        <w:tc>
          <w:tcPr>
            <w:tcW w:w="953" w:type="dxa"/>
          </w:tcPr>
          <w:p>
            <w:pPr>
              <w:pStyle w:val="TableParagraph"/>
              <w:spacing w:before="7"/>
              <w:ind w:right="167"/>
              <w:jc w:val="right"/>
              <w:rPr>
                <w:sz w:val="10"/>
              </w:rPr>
            </w:pPr>
            <w:r>
              <w:rPr>
                <w:sz w:val="10"/>
              </w:rPr>
              <w:t>3,215</w:t>
            </w:r>
          </w:p>
        </w:tc>
        <w:tc>
          <w:tcPr>
            <w:tcW w:w="819" w:type="dxa"/>
          </w:tcPr>
          <w:p>
            <w:pPr>
              <w:pStyle w:val="TableParagraph"/>
              <w:spacing w:before="7"/>
              <w:ind w:right="100"/>
              <w:jc w:val="right"/>
              <w:rPr>
                <w:sz w:val="10"/>
              </w:rPr>
            </w:pPr>
            <w:r>
              <w:rPr>
                <w:sz w:val="10"/>
              </w:rPr>
              <w:t>3,599</w:t>
            </w:r>
          </w:p>
        </w:tc>
        <w:tc>
          <w:tcPr>
            <w:tcW w:w="811" w:type="dxa"/>
          </w:tcPr>
          <w:p>
            <w:pPr>
              <w:pStyle w:val="TableParagraph"/>
              <w:spacing w:before="7"/>
              <w:ind w:right="26"/>
              <w:jc w:val="right"/>
              <w:rPr>
                <w:sz w:val="10"/>
              </w:rPr>
            </w:pPr>
            <w:r>
              <w:rPr>
                <w:sz w:val="10"/>
              </w:rPr>
              <w:t>2,957</w:t>
            </w:r>
          </w:p>
        </w:tc>
      </w:tr>
      <w:tr>
        <w:trPr>
          <w:trHeight w:val="257" w:hRule="atLeast"/>
        </w:trPr>
        <w:tc>
          <w:tcPr>
            <w:tcW w:w="5530" w:type="dxa"/>
          </w:tcPr>
          <w:p>
            <w:pPr>
              <w:pStyle w:val="TableParagraph"/>
              <w:spacing w:before="68"/>
              <w:ind w:left="27"/>
              <w:rPr>
                <w:b/>
                <w:sz w:val="10"/>
              </w:rPr>
            </w:pPr>
            <w:r>
              <w:rPr>
                <w:b/>
                <w:w w:val="105"/>
                <w:sz w:val="10"/>
              </w:rPr>
              <w:t>North Lincolnshire CCG has achieved its financial performance targets in 2021-22.</w:t>
            </w:r>
          </w:p>
        </w:tc>
        <w:tc>
          <w:tcPr>
            <w:tcW w:w="1057" w:type="dxa"/>
          </w:tcPr>
          <w:p>
            <w:pPr>
              <w:pStyle w:val="TableParagraph"/>
              <w:rPr>
                <w:rFonts w:ascii="Times New Roman"/>
                <w:sz w:val="10"/>
              </w:rPr>
            </w:pPr>
          </w:p>
        </w:tc>
        <w:tc>
          <w:tcPr>
            <w:tcW w:w="953" w:type="dxa"/>
          </w:tcPr>
          <w:p>
            <w:pPr>
              <w:pStyle w:val="TableParagraph"/>
              <w:rPr>
                <w:rFonts w:ascii="Times New Roman"/>
                <w:sz w:val="10"/>
              </w:rPr>
            </w:pPr>
          </w:p>
        </w:tc>
        <w:tc>
          <w:tcPr>
            <w:tcW w:w="819" w:type="dxa"/>
          </w:tcPr>
          <w:p>
            <w:pPr>
              <w:pStyle w:val="TableParagraph"/>
              <w:rPr>
                <w:rFonts w:ascii="Times New Roman"/>
                <w:sz w:val="10"/>
              </w:rPr>
            </w:pPr>
          </w:p>
        </w:tc>
        <w:tc>
          <w:tcPr>
            <w:tcW w:w="811" w:type="dxa"/>
          </w:tcPr>
          <w:p>
            <w:pPr>
              <w:pStyle w:val="TableParagraph"/>
              <w:rPr>
                <w:rFonts w:ascii="Times New Roman"/>
                <w:sz w:val="10"/>
              </w:rPr>
            </w:pPr>
          </w:p>
        </w:tc>
      </w:tr>
      <w:tr>
        <w:trPr>
          <w:trHeight w:val="187" w:hRule="atLeast"/>
        </w:trPr>
        <w:tc>
          <w:tcPr>
            <w:tcW w:w="5530" w:type="dxa"/>
          </w:tcPr>
          <w:p>
            <w:pPr>
              <w:pStyle w:val="TableParagraph"/>
              <w:spacing w:line="95" w:lineRule="exact" w:before="72"/>
              <w:ind w:left="27"/>
              <w:rPr>
                <w:b/>
                <w:sz w:val="10"/>
              </w:rPr>
            </w:pPr>
            <w:r>
              <w:rPr>
                <w:b/>
                <w:w w:val="105"/>
                <w:sz w:val="10"/>
              </w:rPr>
              <w:t>18 Losses and special payments</w:t>
            </w:r>
          </w:p>
        </w:tc>
        <w:tc>
          <w:tcPr>
            <w:tcW w:w="1057" w:type="dxa"/>
          </w:tcPr>
          <w:p>
            <w:pPr>
              <w:pStyle w:val="TableParagraph"/>
              <w:rPr>
                <w:rFonts w:ascii="Times New Roman"/>
                <w:sz w:val="10"/>
              </w:rPr>
            </w:pPr>
          </w:p>
        </w:tc>
        <w:tc>
          <w:tcPr>
            <w:tcW w:w="953" w:type="dxa"/>
          </w:tcPr>
          <w:p>
            <w:pPr>
              <w:pStyle w:val="TableParagraph"/>
              <w:rPr>
                <w:rFonts w:ascii="Times New Roman"/>
                <w:sz w:val="10"/>
              </w:rPr>
            </w:pPr>
          </w:p>
        </w:tc>
        <w:tc>
          <w:tcPr>
            <w:tcW w:w="819" w:type="dxa"/>
          </w:tcPr>
          <w:p>
            <w:pPr>
              <w:pStyle w:val="TableParagraph"/>
              <w:rPr>
                <w:rFonts w:ascii="Times New Roman"/>
                <w:sz w:val="10"/>
              </w:rPr>
            </w:pPr>
          </w:p>
        </w:tc>
        <w:tc>
          <w:tcPr>
            <w:tcW w:w="811" w:type="dxa"/>
          </w:tcPr>
          <w:p>
            <w:pPr>
              <w:pStyle w:val="TableParagraph"/>
              <w:rPr>
                <w:rFonts w:ascii="Times New Roman"/>
                <w:sz w:val="10"/>
              </w:rPr>
            </w:pPr>
          </w:p>
        </w:tc>
      </w:tr>
    </w:tbl>
    <w:p>
      <w:pPr>
        <w:pStyle w:val="BodyText"/>
        <w:spacing w:before="6"/>
        <w:rPr>
          <w:sz w:val="12"/>
        </w:rPr>
      </w:pPr>
    </w:p>
    <w:p>
      <w:pPr>
        <w:spacing w:before="0"/>
        <w:ind w:left="313" w:right="0" w:firstLine="0"/>
        <w:jc w:val="left"/>
        <w:rPr>
          <w:sz w:val="10"/>
        </w:rPr>
      </w:pPr>
      <w:r>
        <w:rPr>
          <w:sz w:val="10"/>
        </w:rPr>
        <w:t>The total number of NHS clinical commissioning group losses and special payments cases, and their total value, was as follows:</w:t>
      </w:r>
    </w:p>
    <w:p>
      <w:pPr>
        <w:pStyle w:val="BodyText"/>
        <w:spacing w:before="1"/>
        <w:rPr>
          <w:sz w:val="12"/>
        </w:rPr>
      </w:pPr>
    </w:p>
    <w:tbl>
      <w:tblPr>
        <w:tblW w:w="0" w:type="auto"/>
        <w:jc w:val="left"/>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55"/>
        <w:gridCol w:w="3115"/>
        <w:gridCol w:w="869"/>
        <w:gridCol w:w="912"/>
        <w:gridCol w:w="813"/>
      </w:tblGrid>
      <w:tr>
        <w:trPr>
          <w:trHeight w:val="380" w:hRule="atLeast"/>
        </w:trPr>
        <w:tc>
          <w:tcPr>
            <w:tcW w:w="3455" w:type="dxa"/>
            <w:vMerge w:val="restart"/>
          </w:tcPr>
          <w:p>
            <w:pPr>
              <w:pStyle w:val="TableParagraph"/>
              <w:rPr>
                <w:rFonts w:ascii="Times New Roman"/>
                <w:sz w:val="10"/>
              </w:rPr>
            </w:pPr>
          </w:p>
        </w:tc>
        <w:tc>
          <w:tcPr>
            <w:tcW w:w="3115" w:type="dxa"/>
          </w:tcPr>
          <w:p>
            <w:pPr>
              <w:pStyle w:val="TableParagraph"/>
              <w:spacing w:line="276" w:lineRule="auto"/>
              <w:ind w:left="2443" w:right="34" w:hanging="118"/>
              <w:rPr>
                <w:b/>
                <w:sz w:val="10"/>
              </w:rPr>
            </w:pPr>
            <w:r>
              <w:rPr>
                <w:b/>
                <w:w w:val="105"/>
                <w:sz w:val="10"/>
              </w:rPr>
              <w:t>Total Number of Cases</w:t>
            </w:r>
          </w:p>
        </w:tc>
        <w:tc>
          <w:tcPr>
            <w:tcW w:w="869" w:type="dxa"/>
          </w:tcPr>
          <w:p>
            <w:pPr>
              <w:pStyle w:val="TableParagraph"/>
              <w:spacing w:line="276" w:lineRule="auto"/>
              <w:ind w:left="276" w:hanging="188"/>
              <w:rPr>
                <w:b/>
                <w:sz w:val="10"/>
              </w:rPr>
            </w:pPr>
            <w:r>
              <w:rPr>
                <w:b/>
                <w:w w:val="105"/>
                <w:sz w:val="10"/>
              </w:rPr>
              <w:t>Total Value of Cases</w:t>
            </w:r>
          </w:p>
        </w:tc>
        <w:tc>
          <w:tcPr>
            <w:tcW w:w="912" w:type="dxa"/>
          </w:tcPr>
          <w:p>
            <w:pPr>
              <w:pStyle w:val="TableParagraph"/>
              <w:spacing w:line="271" w:lineRule="auto"/>
              <w:ind w:left="297" w:right="104" w:hanging="226"/>
              <w:rPr>
                <w:sz w:val="10"/>
              </w:rPr>
            </w:pPr>
            <w:r>
              <w:rPr>
                <w:sz w:val="10"/>
              </w:rPr>
              <w:t>Total Number of Cases</w:t>
            </w:r>
          </w:p>
        </w:tc>
        <w:tc>
          <w:tcPr>
            <w:tcW w:w="813" w:type="dxa"/>
          </w:tcPr>
          <w:p>
            <w:pPr>
              <w:pStyle w:val="TableParagraph"/>
              <w:spacing w:line="271" w:lineRule="auto"/>
              <w:ind w:left="273" w:hanging="176"/>
              <w:rPr>
                <w:sz w:val="10"/>
              </w:rPr>
            </w:pPr>
            <w:r>
              <w:rPr>
                <w:sz w:val="10"/>
              </w:rPr>
              <w:t>Total Value of Cases</w:t>
            </w:r>
          </w:p>
        </w:tc>
      </w:tr>
      <w:tr>
        <w:trPr>
          <w:trHeight w:val="451" w:hRule="atLeast"/>
        </w:trPr>
        <w:tc>
          <w:tcPr>
            <w:tcW w:w="3455" w:type="dxa"/>
            <w:vMerge/>
            <w:tcBorders>
              <w:top w:val="nil"/>
            </w:tcBorders>
          </w:tcPr>
          <w:p>
            <w:pPr>
              <w:rPr>
                <w:sz w:val="2"/>
                <w:szCs w:val="2"/>
              </w:rPr>
            </w:pPr>
          </w:p>
        </w:tc>
        <w:tc>
          <w:tcPr>
            <w:tcW w:w="3115" w:type="dxa"/>
          </w:tcPr>
          <w:p>
            <w:pPr>
              <w:pStyle w:val="TableParagraph"/>
              <w:spacing w:before="6"/>
              <w:rPr>
                <w:sz w:val="11"/>
              </w:rPr>
            </w:pPr>
          </w:p>
          <w:p>
            <w:pPr>
              <w:pStyle w:val="TableParagraph"/>
              <w:ind w:right="249"/>
              <w:jc w:val="right"/>
              <w:rPr>
                <w:b/>
                <w:sz w:val="10"/>
              </w:rPr>
            </w:pPr>
            <w:r>
              <w:rPr>
                <w:b/>
                <w:spacing w:val="-1"/>
                <w:w w:val="105"/>
                <w:sz w:val="10"/>
              </w:rPr>
              <w:t>2021-22</w:t>
            </w:r>
          </w:p>
          <w:p>
            <w:pPr>
              <w:pStyle w:val="TableParagraph"/>
              <w:spacing w:before="15"/>
              <w:ind w:right="244"/>
              <w:jc w:val="right"/>
              <w:rPr>
                <w:b/>
                <w:sz w:val="10"/>
              </w:rPr>
            </w:pPr>
            <w:r>
              <w:rPr>
                <w:b/>
                <w:spacing w:val="-2"/>
                <w:w w:val="105"/>
                <w:sz w:val="10"/>
              </w:rPr>
              <w:t>Number</w:t>
            </w:r>
          </w:p>
        </w:tc>
        <w:tc>
          <w:tcPr>
            <w:tcW w:w="869" w:type="dxa"/>
          </w:tcPr>
          <w:p>
            <w:pPr>
              <w:pStyle w:val="TableParagraph"/>
              <w:spacing w:before="6"/>
              <w:rPr>
                <w:sz w:val="11"/>
              </w:rPr>
            </w:pPr>
          </w:p>
          <w:p>
            <w:pPr>
              <w:pStyle w:val="TableParagraph"/>
              <w:ind w:left="227" w:right="215"/>
              <w:jc w:val="center"/>
              <w:rPr>
                <w:b/>
                <w:sz w:val="10"/>
              </w:rPr>
            </w:pPr>
            <w:r>
              <w:rPr>
                <w:b/>
                <w:w w:val="105"/>
                <w:sz w:val="10"/>
              </w:rPr>
              <w:t>2021-22</w:t>
            </w:r>
          </w:p>
          <w:p>
            <w:pPr>
              <w:pStyle w:val="TableParagraph"/>
              <w:spacing w:before="15"/>
              <w:ind w:left="222" w:right="215"/>
              <w:jc w:val="center"/>
              <w:rPr>
                <w:b/>
                <w:sz w:val="10"/>
              </w:rPr>
            </w:pPr>
            <w:r>
              <w:rPr>
                <w:b/>
                <w:w w:val="105"/>
                <w:sz w:val="10"/>
              </w:rPr>
              <w:t>£'000</w:t>
            </w:r>
          </w:p>
        </w:tc>
        <w:tc>
          <w:tcPr>
            <w:tcW w:w="912" w:type="dxa"/>
          </w:tcPr>
          <w:p>
            <w:pPr>
              <w:pStyle w:val="TableParagraph"/>
              <w:spacing w:before="6"/>
              <w:rPr>
                <w:sz w:val="11"/>
              </w:rPr>
            </w:pPr>
          </w:p>
          <w:p>
            <w:pPr>
              <w:pStyle w:val="TableParagraph"/>
              <w:ind w:left="264"/>
              <w:rPr>
                <w:sz w:val="10"/>
              </w:rPr>
            </w:pPr>
            <w:r>
              <w:rPr>
                <w:sz w:val="10"/>
              </w:rPr>
              <w:t>2020-21</w:t>
            </w:r>
          </w:p>
          <w:p>
            <w:pPr>
              <w:pStyle w:val="TableParagraph"/>
              <w:spacing w:before="15"/>
              <w:ind w:left="268"/>
              <w:rPr>
                <w:sz w:val="10"/>
              </w:rPr>
            </w:pPr>
            <w:r>
              <w:rPr>
                <w:sz w:val="10"/>
              </w:rPr>
              <w:t>Number</w:t>
            </w:r>
          </w:p>
        </w:tc>
        <w:tc>
          <w:tcPr>
            <w:tcW w:w="813" w:type="dxa"/>
          </w:tcPr>
          <w:p>
            <w:pPr>
              <w:pStyle w:val="TableParagraph"/>
              <w:spacing w:before="6"/>
              <w:rPr>
                <w:sz w:val="11"/>
              </w:rPr>
            </w:pPr>
          </w:p>
          <w:p>
            <w:pPr>
              <w:pStyle w:val="TableParagraph"/>
              <w:ind w:left="237"/>
              <w:rPr>
                <w:sz w:val="10"/>
              </w:rPr>
            </w:pPr>
            <w:r>
              <w:rPr>
                <w:sz w:val="10"/>
              </w:rPr>
              <w:t>2020-21</w:t>
            </w:r>
          </w:p>
          <w:p>
            <w:pPr>
              <w:pStyle w:val="TableParagraph"/>
              <w:spacing w:before="15"/>
              <w:ind w:left="302"/>
              <w:rPr>
                <w:sz w:val="10"/>
              </w:rPr>
            </w:pPr>
            <w:r>
              <w:rPr>
                <w:sz w:val="10"/>
              </w:rPr>
              <w:t>£'000</w:t>
            </w:r>
          </w:p>
        </w:tc>
      </w:tr>
      <w:tr>
        <w:trPr>
          <w:trHeight w:val="194" w:hRule="atLeast"/>
        </w:trPr>
        <w:tc>
          <w:tcPr>
            <w:tcW w:w="3455" w:type="dxa"/>
          </w:tcPr>
          <w:p>
            <w:pPr>
              <w:pStyle w:val="TableParagraph"/>
              <w:spacing w:line="104" w:lineRule="exact" w:before="70"/>
              <w:ind w:left="25"/>
              <w:rPr>
                <w:sz w:val="10"/>
              </w:rPr>
            </w:pPr>
            <w:r>
              <w:rPr>
                <w:sz w:val="10"/>
              </w:rPr>
              <w:t>Administrative write-offs</w:t>
            </w:r>
          </w:p>
        </w:tc>
        <w:tc>
          <w:tcPr>
            <w:tcW w:w="3115" w:type="dxa"/>
          </w:tcPr>
          <w:p>
            <w:pPr>
              <w:pStyle w:val="TableParagraph"/>
              <w:spacing w:line="104" w:lineRule="exact" w:before="70"/>
              <w:ind w:right="86"/>
              <w:jc w:val="right"/>
              <w:rPr>
                <w:sz w:val="10"/>
              </w:rPr>
            </w:pPr>
            <w:r>
              <w:rPr>
                <w:w w:val="100"/>
                <w:sz w:val="10"/>
              </w:rPr>
              <w:t>-</w:t>
            </w:r>
          </w:p>
        </w:tc>
        <w:tc>
          <w:tcPr>
            <w:tcW w:w="869" w:type="dxa"/>
          </w:tcPr>
          <w:p>
            <w:pPr>
              <w:pStyle w:val="TableParagraph"/>
              <w:spacing w:line="104" w:lineRule="exact" w:before="70"/>
              <w:ind w:right="69"/>
              <w:jc w:val="right"/>
              <w:rPr>
                <w:sz w:val="10"/>
              </w:rPr>
            </w:pPr>
            <w:r>
              <w:rPr>
                <w:w w:val="100"/>
                <w:sz w:val="10"/>
              </w:rPr>
              <w:t>-</w:t>
            </w:r>
          </w:p>
        </w:tc>
        <w:tc>
          <w:tcPr>
            <w:tcW w:w="912" w:type="dxa"/>
          </w:tcPr>
          <w:p>
            <w:pPr>
              <w:pStyle w:val="TableParagraph"/>
              <w:spacing w:line="104" w:lineRule="exact" w:before="70"/>
              <w:ind w:right="96"/>
              <w:jc w:val="right"/>
              <w:rPr>
                <w:sz w:val="10"/>
              </w:rPr>
            </w:pPr>
            <w:r>
              <w:rPr>
                <w:w w:val="100"/>
                <w:sz w:val="10"/>
              </w:rPr>
              <w:t>-</w:t>
            </w:r>
          </w:p>
        </w:tc>
        <w:tc>
          <w:tcPr>
            <w:tcW w:w="813" w:type="dxa"/>
          </w:tcPr>
          <w:p>
            <w:pPr>
              <w:pStyle w:val="TableParagraph"/>
              <w:spacing w:line="104" w:lineRule="exact" w:before="70"/>
              <w:ind w:right="23"/>
              <w:jc w:val="right"/>
              <w:rPr>
                <w:sz w:val="10"/>
              </w:rPr>
            </w:pPr>
            <w:r>
              <w:rPr>
                <w:w w:val="100"/>
                <w:sz w:val="10"/>
              </w:rPr>
              <w:t>-</w:t>
            </w:r>
          </w:p>
        </w:tc>
      </w:tr>
      <w:tr>
        <w:trPr>
          <w:trHeight w:val="129" w:hRule="atLeast"/>
        </w:trPr>
        <w:tc>
          <w:tcPr>
            <w:tcW w:w="3455" w:type="dxa"/>
          </w:tcPr>
          <w:p>
            <w:pPr>
              <w:pStyle w:val="TableParagraph"/>
              <w:spacing w:line="104" w:lineRule="exact" w:before="6"/>
              <w:ind w:left="25"/>
              <w:rPr>
                <w:sz w:val="10"/>
              </w:rPr>
            </w:pPr>
            <w:r>
              <w:rPr>
                <w:sz w:val="10"/>
              </w:rPr>
              <w:t>Fruitless payments</w:t>
            </w:r>
          </w:p>
        </w:tc>
        <w:tc>
          <w:tcPr>
            <w:tcW w:w="3115" w:type="dxa"/>
          </w:tcPr>
          <w:p>
            <w:pPr>
              <w:pStyle w:val="TableParagraph"/>
              <w:spacing w:line="104" w:lineRule="exact" w:before="6"/>
              <w:ind w:right="88"/>
              <w:jc w:val="right"/>
              <w:rPr>
                <w:sz w:val="10"/>
              </w:rPr>
            </w:pPr>
            <w:r>
              <w:rPr>
                <w:w w:val="100"/>
                <w:sz w:val="10"/>
              </w:rPr>
              <w:t>1</w:t>
            </w:r>
          </w:p>
        </w:tc>
        <w:tc>
          <w:tcPr>
            <w:tcW w:w="869" w:type="dxa"/>
          </w:tcPr>
          <w:p>
            <w:pPr>
              <w:pStyle w:val="TableParagraph"/>
              <w:spacing w:line="104" w:lineRule="exact" w:before="6"/>
              <w:ind w:right="69"/>
              <w:jc w:val="right"/>
              <w:rPr>
                <w:sz w:val="10"/>
              </w:rPr>
            </w:pPr>
            <w:r>
              <w:rPr>
                <w:sz w:val="10"/>
              </w:rPr>
              <w:t>20</w:t>
            </w:r>
          </w:p>
        </w:tc>
        <w:tc>
          <w:tcPr>
            <w:tcW w:w="912" w:type="dxa"/>
          </w:tcPr>
          <w:p>
            <w:pPr>
              <w:pStyle w:val="TableParagraph"/>
              <w:spacing w:line="104" w:lineRule="exact" w:before="6"/>
              <w:ind w:right="96"/>
              <w:jc w:val="right"/>
              <w:rPr>
                <w:sz w:val="10"/>
              </w:rPr>
            </w:pPr>
            <w:r>
              <w:rPr>
                <w:w w:val="100"/>
                <w:sz w:val="10"/>
              </w:rPr>
              <w:t>-</w:t>
            </w:r>
          </w:p>
        </w:tc>
        <w:tc>
          <w:tcPr>
            <w:tcW w:w="813" w:type="dxa"/>
          </w:tcPr>
          <w:p>
            <w:pPr>
              <w:pStyle w:val="TableParagraph"/>
              <w:spacing w:line="104" w:lineRule="exact" w:before="6"/>
              <w:ind w:right="23"/>
              <w:jc w:val="right"/>
              <w:rPr>
                <w:sz w:val="10"/>
              </w:rPr>
            </w:pPr>
            <w:r>
              <w:rPr>
                <w:w w:val="100"/>
                <w:sz w:val="10"/>
              </w:rPr>
              <w:t>-</w:t>
            </w:r>
          </w:p>
        </w:tc>
      </w:tr>
      <w:tr>
        <w:trPr>
          <w:trHeight w:val="129" w:hRule="atLeast"/>
        </w:trPr>
        <w:tc>
          <w:tcPr>
            <w:tcW w:w="3455" w:type="dxa"/>
          </w:tcPr>
          <w:p>
            <w:pPr>
              <w:pStyle w:val="TableParagraph"/>
              <w:spacing w:line="104" w:lineRule="exact" w:before="6"/>
              <w:ind w:left="25"/>
              <w:rPr>
                <w:sz w:val="10"/>
              </w:rPr>
            </w:pPr>
            <w:r>
              <w:rPr>
                <w:sz w:val="10"/>
              </w:rPr>
              <w:t>Store losses</w:t>
            </w:r>
          </w:p>
        </w:tc>
        <w:tc>
          <w:tcPr>
            <w:tcW w:w="3115" w:type="dxa"/>
          </w:tcPr>
          <w:p>
            <w:pPr>
              <w:pStyle w:val="TableParagraph"/>
              <w:spacing w:line="104" w:lineRule="exact" w:before="6"/>
              <w:ind w:right="86"/>
              <w:jc w:val="right"/>
              <w:rPr>
                <w:sz w:val="10"/>
              </w:rPr>
            </w:pPr>
            <w:r>
              <w:rPr>
                <w:w w:val="100"/>
                <w:sz w:val="10"/>
              </w:rPr>
              <w:t>-</w:t>
            </w:r>
          </w:p>
        </w:tc>
        <w:tc>
          <w:tcPr>
            <w:tcW w:w="869" w:type="dxa"/>
          </w:tcPr>
          <w:p>
            <w:pPr>
              <w:pStyle w:val="TableParagraph"/>
              <w:spacing w:line="104" w:lineRule="exact" w:before="6"/>
              <w:ind w:right="69"/>
              <w:jc w:val="right"/>
              <w:rPr>
                <w:sz w:val="10"/>
              </w:rPr>
            </w:pPr>
            <w:r>
              <w:rPr>
                <w:w w:val="100"/>
                <w:sz w:val="10"/>
              </w:rPr>
              <w:t>-</w:t>
            </w:r>
          </w:p>
        </w:tc>
        <w:tc>
          <w:tcPr>
            <w:tcW w:w="912" w:type="dxa"/>
          </w:tcPr>
          <w:p>
            <w:pPr>
              <w:pStyle w:val="TableParagraph"/>
              <w:spacing w:line="104" w:lineRule="exact" w:before="6"/>
              <w:ind w:right="96"/>
              <w:jc w:val="right"/>
              <w:rPr>
                <w:sz w:val="10"/>
              </w:rPr>
            </w:pPr>
            <w:r>
              <w:rPr>
                <w:w w:val="100"/>
                <w:sz w:val="10"/>
              </w:rPr>
              <w:t>-</w:t>
            </w:r>
          </w:p>
        </w:tc>
        <w:tc>
          <w:tcPr>
            <w:tcW w:w="813" w:type="dxa"/>
          </w:tcPr>
          <w:p>
            <w:pPr>
              <w:pStyle w:val="TableParagraph"/>
              <w:spacing w:line="104" w:lineRule="exact" w:before="6"/>
              <w:ind w:right="23"/>
              <w:jc w:val="right"/>
              <w:rPr>
                <w:sz w:val="10"/>
              </w:rPr>
            </w:pPr>
            <w:r>
              <w:rPr>
                <w:w w:val="100"/>
                <w:sz w:val="10"/>
              </w:rPr>
              <w:t>-</w:t>
            </w:r>
          </w:p>
        </w:tc>
      </w:tr>
      <w:tr>
        <w:trPr>
          <w:trHeight w:val="388" w:hRule="atLeast"/>
        </w:trPr>
        <w:tc>
          <w:tcPr>
            <w:tcW w:w="3455" w:type="dxa"/>
          </w:tcPr>
          <w:p>
            <w:pPr>
              <w:pStyle w:val="TableParagraph"/>
              <w:spacing w:before="6"/>
              <w:ind w:left="25"/>
              <w:rPr>
                <w:sz w:val="10"/>
              </w:rPr>
            </w:pPr>
            <w:r>
              <w:rPr>
                <w:sz w:val="10"/>
              </w:rPr>
              <w:t>Book Keeping Losses</w:t>
            </w:r>
          </w:p>
          <w:p>
            <w:pPr>
              <w:pStyle w:val="TableParagraph"/>
              <w:spacing w:before="6"/>
              <w:rPr>
                <w:sz w:val="12"/>
              </w:rPr>
            </w:pPr>
          </w:p>
          <w:p>
            <w:pPr>
              <w:pStyle w:val="TableParagraph"/>
              <w:spacing w:line="104" w:lineRule="exact"/>
              <w:ind w:left="25"/>
              <w:rPr>
                <w:sz w:val="10"/>
              </w:rPr>
            </w:pPr>
            <w:r>
              <w:rPr>
                <w:sz w:val="10"/>
              </w:rPr>
              <w:t>Constructive loss</w:t>
            </w:r>
          </w:p>
        </w:tc>
        <w:tc>
          <w:tcPr>
            <w:tcW w:w="3115" w:type="dxa"/>
          </w:tcPr>
          <w:p>
            <w:pPr>
              <w:pStyle w:val="TableParagraph"/>
              <w:spacing w:before="6"/>
              <w:ind w:left="2992"/>
              <w:rPr>
                <w:sz w:val="10"/>
              </w:rPr>
            </w:pPr>
            <w:r>
              <w:rPr>
                <w:w w:val="100"/>
                <w:sz w:val="10"/>
              </w:rPr>
              <w:t>-</w:t>
            </w:r>
          </w:p>
          <w:p>
            <w:pPr>
              <w:pStyle w:val="TableParagraph"/>
              <w:spacing w:before="6"/>
              <w:rPr>
                <w:sz w:val="12"/>
              </w:rPr>
            </w:pPr>
          </w:p>
          <w:p>
            <w:pPr>
              <w:pStyle w:val="TableParagraph"/>
              <w:spacing w:line="104" w:lineRule="exact"/>
              <w:ind w:left="2992"/>
              <w:rPr>
                <w:sz w:val="10"/>
              </w:rPr>
            </w:pPr>
            <w:r>
              <w:rPr>
                <w:w w:val="100"/>
                <w:sz w:val="10"/>
              </w:rPr>
              <w:t>-</w:t>
            </w:r>
          </w:p>
        </w:tc>
        <w:tc>
          <w:tcPr>
            <w:tcW w:w="869" w:type="dxa"/>
          </w:tcPr>
          <w:p>
            <w:pPr>
              <w:pStyle w:val="TableParagraph"/>
              <w:spacing w:before="6"/>
              <w:ind w:left="763"/>
              <w:rPr>
                <w:sz w:val="10"/>
              </w:rPr>
            </w:pPr>
            <w:r>
              <w:rPr>
                <w:w w:val="100"/>
                <w:sz w:val="10"/>
              </w:rPr>
              <w:t>-</w:t>
            </w:r>
          </w:p>
          <w:p>
            <w:pPr>
              <w:pStyle w:val="TableParagraph"/>
              <w:spacing w:before="6"/>
              <w:rPr>
                <w:sz w:val="12"/>
              </w:rPr>
            </w:pPr>
          </w:p>
          <w:p>
            <w:pPr>
              <w:pStyle w:val="TableParagraph"/>
              <w:spacing w:line="104" w:lineRule="exact"/>
              <w:ind w:left="763"/>
              <w:rPr>
                <w:sz w:val="10"/>
              </w:rPr>
            </w:pPr>
            <w:r>
              <w:rPr>
                <w:w w:val="100"/>
                <w:sz w:val="10"/>
              </w:rPr>
              <w:t>-</w:t>
            </w:r>
          </w:p>
        </w:tc>
        <w:tc>
          <w:tcPr>
            <w:tcW w:w="912" w:type="dxa"/>
          </w:tcPr>
          <w:p>
            <w:pPr>
              <w:pStyle w:val="TableParagraph"/>
              <w:spacing w:before="6"/>
              <w:ind w:right="96"/>
              <w:jc w:val="right"/>
              <w:rPr>
                <w:sz w:val="10"/>
              </w:rPr>
            </w:pPr>
            <w:r>
              <w:rPr>
                <w:w w:val="100"/>
                <w:sz w:val="10"/>
              </w:rPr>
              <w:t>-</w:t>
            </w:r>
          </w:p>
          <w:p>
            <w:pPr>
              <w:pStyle w:val="TableParagraph"/>
              <w:spacing w:before="14"/>
              <w:ind w:right="96"/>
              <w:jc w:val="right"/>
              <w:rPr>
                <w:sz w:val="10"/>
              </w:rPr>
            </w:pPr>
            <w:r>
              <w:rPr>
                <w:w w:val="100"/>
                <w:sz w:val="10"/>
              </w:rPr>
              <w:t>-</w:t>
            </w:r>
          </w:p>
          <w:p>
            <w:pPr>
              <w:pStyle w:val="TableParagraph"/>
              <w:spacing w:line="104" w:lineRule="exact" w:before="15"/>
              <w:ind w:right="96"/>
              <w:jc w:val="right"/>
              <w:rPr>
                <w:sz w:val="10"/>
              </w:rPr>
            </w:pPr>
            <w:r>
              <w:rPr>
                <w:w w:val="100"/>
                <w:sz w:val="10"/>
              </w:rPr>
              <w:t>-</w:t>
            </w:r>
          </w:p>
        </w:tc>
        <w:tc>
          <w:tcPr>
            <w:tcW w:w="813" w:type="dxa"/>
          </w:tcPr>
          <w:p>
            <w:pPr>
              <w:pStyle w:val="TableParagraph"/>
              <w:spacing w:before="6"/>
              <w:ind w:right="23"/>
              <w:jc w:val="right"/>
              <w:rPr>
                <w:sz w:val="10"/>
              </w:rPr>
            </w:pPr>
            <w:r>
              <w:rPr>
                <w:w w:val="100"/>
                <w:sz w:val="10"/>
              </w:rPr>
              <w:t>-</w:t>
            </w:r>
          </w:p>
          <w:p>
            <w:pPr>
              <w:pStyle w:val="TableParagraph"/>
              <w:spacing w:before="14"/>
              <w:ind w:right="23"/>
              <w:jc w:val="right"/>
              <w:rPr>
                <w:sz w:val="10"/>
              </w:rPr>
            </w:pPr>
            <w:r>
              <w:rPr>
                <w:w w:val="100"/>
                <w:sz w:val="10"/>
              </w:rPr>
              <w:t>-</w:t>
            </w:r>
          </w:p>
          <w:p>
            <w:pPr>
              <w:pStyle w:val="TableParagraph"/>
              <w:spacing w:line="104" w:lineRule="exact" w:before="15"/>
              <w:ind w:right="23"/>
              <w:jc w:val="right"/>
              <w:rPr>
                <w:sz w:val="10"/>
              </w:rPr>
            </w:pPr>
            <w:r>
              <w:rPr>
                <w:w w:val="100"/>
                <w:sz w:val="10"/>
              </w:rPr>
              <w:t>-</w:t>
            </w:r>
          </w:p>
        </w:tc>
      </w:tr>
      <w:tr>
        <w:trPr>
          <w:trHeight w:val="121" w:hRule="atLeast"/>
        </w:trPr>
        <w:tc>
          <w:tcPr>
            <w:tcW w:w="3455" w:type="dxa"/>
          </w:tcPr>
          <w:p>
            <w:pPr>
              <w:pStyle w:val="TableParagraph"/>
              <w:spacing w:line="95" w:lineRule="exact" w:before="6"/>
              <w:ind w:left="25"/>
              <w:rPr>
                <w:sz w:val="10"/>
              </w:rPr>
            </w:pPr>
            <w:r>
              <w:rPr>
                <w:sz w:val="10"/>
              </w:rPr>
              <w:t>Cash losses</w:t>
            </w:r>
          </w:p>
        </w:tc>
        <w:tc>
          <w:tcPr>
            <w:tcW w:w="3115" w:type="dxa"/>
          </w:tcPr>
          <w:p>
            <w:pPr>
              <w:pStyle w:val="TableParagraph"/>
              <w:spacing w:line="95" w:lineRule="exact" w:before="6"/>
              <w:ind w:right="86"/>
              <w:jc w:val="right"/>
              <w:rPr>
                <w:sz w:val="10"/>
              </w:rPr>
            </w:pPr>
            <w:r>
              <w:rPr>
                <w:w w:val="100"/>
                <w:sz w:val="10"/>
              </w:rPr>
              <w:t>-</w:t>
            </w:r>
          </w:p>
        </w:tc>
        <w:tc>
          <w:tcPr>
            <w:tcW w:w="869" w:type="dxa"/>
          </w:tcPr>
          <w:p>
            <w:pPr>
              <w:pStyle w:val="TableParagraph"/>
              <w:spacing w:line="95" w:lineRule="exact" w:before="6"/>
              <w:ind w:right="69"/>
              <w:jc w:val="right"/>
              <w:rPr>
                <w:sz w:val="10"/>
              </w:rPr>
            </w:pPr>
            <w:r>
              <w:rPr>
                <w:w w:val="100"/>
                <w:sz w:val="10"/>
              </w:rPr>
              <w:t>-</w:t>
            </w:r>
          </w:p>
        </w:tc>
        <w:tc>
          <w:tcPr>
            <w:tcW w:w="912" w:type="dxa"/>
          </w:tcPr>
          <w:p>
            <w:pPr>
              <w:pStyle w:val="TableParagraph"/>
              <w:spacing w:line="95" w:lineRule="exact" w:before="6"/>
              <w:ind w:right="96"/>
              <w:jc w:val="right"/>
              <w:rPr>
                <w:sz w:val="10"/>
              </w:rPr>
            </w:pPr>
            <w:r>
              <w:rPr>
                <w:w w:val="100"/>
                <w:sz w:val="10"/>
              </w:rPr>
              <w:t>-</w:t>
            </w:r>
          </w:p>
        </w:tc>
        <w:tc>
          <w:tcPr>
            <w:tcW w:w="813" w:type="dxa"/>
          </w:tcPr>
          <w:p>
            <w:pPr>
              <w:pStyle w:val="TableParagraph"/>
              <w:spacing w:line="95" w:lineRule="exact" w:before="6"/>
              <w:ind w:right="23"/>
              <w:jc w:val="right"/>
              <w:rPr>
                <w:sz w:val="10"/>
              </w:rPr>
            </w:pPr>
            <w:r>
              <w:rPr>
                <w:w w:val="100"/>
                <w:sz w:val="10"/>
              </w:rPr>
              <w:t>-</w:t>
            </w:r>
          </w:p>
        </w:tc>
      </w:tr>
    </w:tbl>
    <w:p>
      <w:pPr>
        <w:tabs>
          <w:tab w:pos="6006" w:val="left" w:leader="none"/>
          <w:tab w:pos="6735" w:val="left" w:leader="none"/>
          <w:tab w:pos="7621" w:val="left" w:leader="none"/>
          <w:tab w:pos="8507" w:val="left" w:leader="none"/>
          <w:tab w:pos="9392" w:val="left" w:leader="none"/>
        </w:tabs>
        <w:spacing w:before="14"/>
        <w:ind w:left="313" w:right="0" w:firstLine="0"/>
        <w:jc w:val="left"/>
        <w:rPr>
          <w:sz w:val="10"/>
        </w:rPr>
      </w:pPr>
      <w:r>
        <w:rPr>
          <w:sz w:val="10"/>
        </w:rPr>
        <w:t>Claims</w:t>
      </w:r>
      <w:r>
        <w:rPr>
          <w:spacing w:val="9"/>
          <w:sz w:val="10"/>
        </w:rPr>
        <w:t> </w:t>
      </w:r>
      <w:r>
        <w:rPr>
          <w:sz w:val="10"/>
        </w:rPr>
        <w:t>abandoned</w:t>
        <w:tab/>
      </w:r>
      <w:r>
        <w:rPr>
          <w:sz w:val="10"/>
          <w:u w:val="single"/>
        </w:rPr>
        <w:t> </w:t>
        <w:tab/>
        <w:t>-</w:t>
        <w:tab/>
        <w:t>-</w:t>
        <w:tab/>
        <w:t>-</w:t>
        <w:tab/>
        <w:t>-</w:t>
      </w:r>
      <w:r>
        <w:rPr>
          <w:spacing w:val="-2"/>
          <w:sz w:val="10"/>
          <w:u w:val="single"/>
        </w:rPr>
        <w:t> </w:t>
      </w:r>
    </w:p>
    <w:p>
      <w:pPr>
        <w:tabs>
          <w:tab w:pos="6006" w:val="left" w:leader="none"/>
          <w:tab w:pos="6711" w:val="left" w:leader="none"/>
          <w:tab w:pos="7539" w:val="left" w:leader="none"/>
          <w:tab w:pos="8507" w:val="left" w:leader="none"/>
          <w:tab w:pos="9392" w:val="left" w:leader="none"/>
        </w:tabs>
        <w:spacing w:before="15"/>
        <w:ind w:left="313" w:right="0" w:firstLine="0"/>
        <w:jc w:val="left"/>
        <w:rPr>
          <w:b/>
          <w:sz w:val="10"/>
        </w:rPr>
      </w:pPr>
      <w:r>
        <w:rPr>
          <w:b/>
          <w:w w:val="105"/>
          <w:sz w:val="10"/>
        </w:rPr>
        <w:t>Total</w:t>
        <w:tab/>
      </w:r>
      <w:r>
        <w:rPr>
          <w:b/>
          <w:w w:val="105"/>
          <w:sz w:val="10"/>
          <w:u w:val="single"/>
        </w:rPr>
        <w:t> </w:t>
        <w:tab/>
        <w:t>1</w:t>
        <w:tab/>
        <w:t>20</w:t>
        <w:tab/>
        <w:t>-</w:t>
        <w:tab/>
        <w:t>-</w:t>
      </w:r>
    </w:p>
    <w:p>
      <w:pPr>
        <w:pStyle w:val="BodyText"/>
        <w:spacing w:before="6"/>
        <w:rPr>
          <w:b/>
          <w:sz w:val="12"/>
        </w:rPr>
      </w:pPr>
    </w:p>
    <w:p>
      <w:pPr>
        <w:spacing w:before="0"/>
        <w:ind w:left="313" w:right="0" w:firstLine="0"/>
        <w:jc w:val="left"/>
        <w:rPr>
          <w:b/>
          <w:sz w:val="10"/>
        </w:rPr>
      </w:pPr>
      <w:r>
        <w:rPr>
          <w:b/>
          <w:w w:val="105"/>
          <w:sz w:val="10"/>
        </w:rPr>
        <w:t>Explanatory Note</w:t>
      </w:r>
    </w:p>
    <w:p>
      <w:pPr>
        <w:pStyle w:val="BodyText"/>
        <w:spacing w:before="6"/>
        <w:rPr>
          <w:b/>
          <w:sz w:val="12"/>
        </w:rPr>
      </w:pPr>
    </w:p>
    <w:p>
      <w:pPr>
        <w:spacing w:line="276" w:lineRule="auto" w:before="0"/>
        <w:ind w:left="313" w:right="902" w:firstLine="0"/>
        <w:jc w:val="left"/>
        <w:rPr>
          <w:sz w:val="10"/>
        </w:rPr>
      </w:pPr>
      <w:r>
        <w:rPr>
          <w:sz w:val="10"/>
        </w:rPr>
        <w:t>The fruitless payment  disclosed in 2021-22 relates to a one off payment for variation in rate between  Continuing Health Care Standard Rate and Private Provider Health Care Rate.   These amounts are reported     on an accruals basis but excluding provisions for future</w:t>
      </w:r>
      <w:r>
        <w:rPr>
          <w:spacing w:val="27"/>
          <w:sz w:val="10"/>
        </w:rPr>
        <w:t> </w:t>
      </w:r>
      <w:r>
        <w:rPr>
          <w:sz w:val="10"/>
        </w:rPr>
        <w:t>losses.</w:t>
      </w:r>
    </w:p>
    <w:p>
      <w:pPr>
        <w:pStyle w:val="BodyText"/>
        <w:spacing w:before="9" w:after="1"/>
        <w:rPr>
          <w:sz w:val="10"/>
        </w:rPr>
      </w:pPr>
    </w:p>
    <w:tbl>
      <w:tblPr>
        <w:tblW w:w="0" w:type="auto"/>
        <w:jc w:val="left"/>
        <w:tblInd w:w="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21"/>
        <w:gridCol w:w="466"/>
        <w:gridCol w:w="552"/>
        <w:gridCol w:w="884"/>
        <w:gridCol w:w="899"/>
      </w:tblGrid>
      <w:tr>
        <w:trPr>
          <w:trHeight w:val="182" w:hRule="atLeast"/>
        </w:trPr>
        <w:tc>
          <w:tcPr>
            <w:tcW w:w="6521" w:type="dxa"/>
          </w:tcPr>
          <w:p>
            <w:pPr>
              <w:pStyle w:val="TableParagraph"/>
              <w:spacing w:line="112" w:lineRule="exact"/>
              <w:ind w:left="101"/>
              <w:rPr>
                <w:b/>
                <w:sz w:val="10"/>
              </w:rPr>
            </w:pPr>
            <w:r>
              <w:rPr>
                <w:b/>
                <w:w w:val="105"/>
                <w:sz w:val="10"/>
              </w:rPr>
              <w:t>Special payments</w:t>
            </w:r>
          </w:p>
        </w:tc>
        <w:tc>
          <w:tcPr>
            <w:tcW w:w="1018" w:type="dxa"/>
            <w:gridSpan w:val="2"/>
          </w:tcPr>
          <w:p>
            <w:pPr>
              <w:pStyle w:val="TableParagraph"/>
              <w:rPr>
                <w:rFonts w:ascii="Times New Roman"/>
                <w:sz w:val="10"/>
              </w:rPr>
            </w:pPr>
          </w:p>
        </w:tc>
        <w:tc>
          <w:tcPr>
            <w:tcW w:w="884" w:type="dxa"/>
          </w:tcPr>
          <w:p>
            <w:pPr>
              <w:pStyle w:val="TableParagraph"/>
              <w:rPr>
                <w:rFonts w:ascii="Times New Roman"/>
                <w:sz w:val="10"/>
              </w:rPr>
            </w:pPr>
          </w:p>
        </w:tc>
        <w:tc>
          <w:tcPr>
            <w:tcW w:w="899" w:type="dxa"/>
          </w:tcPr>
          <w:p>
            <w:pPr>
              <w:pStyle w:val="TableParagraph"/>
              <w:rPr>
                <w:rFonts w:ascii="Times New Roman"/>
                <w:sz w:val="10"/>
              </w:rPr>
            </w:pPr>
          </w:p>
        </w:tc>
      </w:tr>
      <w:tr>
        <w:trPr>
          <w:trHeight w:val="323" w:hRule="atLeast"/>
        </w:trPr>
        <w:tc>
          <w:tcPr>
            <w:tcW w:w="6521" w:type="dxa"/>
          </w:tcPr>
          <w:p>
            <w:pPr>
              <w:pStyle w:val="TableParagraph"/>
              <w:spacing w:line="130" w:lineRule="atLeast" w:before="52"/>
              <w:ind w:left="5977" w:hanging="118"/>
              <w:rPr>
                <w:b/>
                <w:sz w:val="10"/>
              </w:rPr>
            </w:pPr>
            <w:r>
              <w:rPr>
                <w:b/>
                <w:w w:val="105"/>
                <w:sz w:val="10"/>
              </w:rPr>
              <w:t>Total </w:t>
            </w:r>
            <w:r>
              <w:rPr>
                <w:b/>
                <w:spacing w:val="-7"/>
                <w:w w:val="105"/>
                <w:sz w:val="10"/>
              </w:rPr>
              <w:t>Number </w:t>
            </w:r>
            <w:r>
              <w:rPr>
                <w:b/>
                <w:w w:val="105"/>
                <w:sz w:val="10"/>
              </w:rPr>
              <w:t>of </w:t>
            </w:r>
            <w:r>
              <w:rPr>
                <w:b/>
                <w:spacing w:val="-3"/>
                <w:w w:val="105"/>
                <w:sz w:val="10"/>
              </w:rPr>
              <w:t>Cases</w:t>
            </w:r>
          </w:p>
        </w:tc>
        <w:tc>
          <w:tcPr>
            <w:tcW w:w="1018" w:type="dxa"/>
            <w:gridSpan w:val="2"/>
          </w:tcPr>
          <w:p>
            <w:pPr>
              <w:pStyle w:val="TableParagraph"/>
              <w:spacing w:line="130" w:lineRule="atLeast" w:before="52"/>
              <w:ind w:left="408" w:right="91" w:hanging="190"/>
              <w:rPr>
                <w:b/>
                <w:sz w:val="10"/>
              </w:rPr>
            </w:pPr>
            <w:r>
              <w:rPr>
                <w:b/>
                <w:w w:val="105"/>
                <w:sz w:val="10"/>
              </w:rPr>
              <w:t>Total Value of Cases</w:t>
            </w:r>
          </w:p>
        </w:tc>
        <w:tc>
          <w:tcPr>
            <w:tcW w:w="884" w:type="dxa"/>
          </w:tcPr>
          <w:p>
            <w:pPr>
              <w:pStyle w:val="TableParagraph"/>
              <w:spacing w:line="130" w:lineRule="atLeast" w:before="52"/>
              <w:ind w:left="209" w:right="96" w:hanging="118"/>
              <w:rPr>
                <w:b/>
                <w:sz w:val="10"/>
              </w:rPr>
            </w:pPr>
            <w:r>
              <w:rPr>
                <w:b/>
                <w:w w:val="105"/>
                <w:sz w:val="10"/>
              </w:rPr>
              <w:t>Total Number of Cases</w:t>
            </w:r>
          </w:p>
        </w:tc>
        <w:tc>
          <w:tcPr>
            <w:tcW w:w="899" w:type="dxa"/>
          </w:tcPr>
          <w:p>
            <w:pPr>
              <w:pStyle w:val="TableParagraph"/>
              <w:spacing w:line="130" w:lineRule="atLeast" w:before="52"/>
              <w:ind w:left="275" w:right="103" w:hanging="188"/>
              <w:rPr>
                <w:b/>
                <w:sz w:val="10"/>
              </w:rPr>
            </w:pPr>
            <w:r>
              <w:rPr>
                <w:b/>
                <w:w w:val="105"/>
                <w:sz w:val="10"/>
              </w:rPr>
              <w:t>Total Value of Cases</w:t>
            </w:r>
          </w:p>
        </w:tc>
      </w:tr>
      <w:tr>
        <w:trPr>
          <w:trHeight w:val="133" w:hRule="atLeast"/>
        </w:trPr>
        <w:tc>
          <w:tcPr>
            <w:tcW w:w="6521" w:type="dxa"/>
          </w:tcPr>
          <w:p>
            <w:pPr>
              <w:pStyle w:val="TableParagraph"/>
              <w:spacing w:line="104" w:lineRule="exact" w:before="9"/>
              <w:ind w:right="124"/>
              <w:jc w:val="right"/>
              <w:rPr>
                <w:b/>
                <w:sz w:val="10"/>
              </w:rPr>
            </w:pPr>
            <w:r>
              <w:rPr>
                <w:b/>
                <w:w w:val="105"/>
                <w:sz w:val="10"/>
              </w:rPr>
              <w:t>2021-22</w:t>
            </w:r>
          </w:p>
        </w:tc>
        <w:tc>
          <w:tcPr>
            <w:tcW w:w="1018" w:type="dxa"/>
            <w:gridSpan w:val="2"/>
          </w:tcPr>
          <w:p>
            <w:pPr>
              <w:pStyle w:val="TableParagraph"/>
              <w:spacing w:line="104" w:lineRule="exact" w:before="9"/>
              <w:ind w:left="375"/>
              <w:rPr>
                <w:b/>
                <w:sz w:val="10"/>
              </w:rPr>
            </w:pPr>
            <w:r>
              <w:rPr>
                <w:b/>
                <w:w w:val="105"/>
                <w:sz w:val="10"/>
              </w:rPr>
              <w:t>2021-22</w:t>
            </w:r>
          </w:p>
        </w:tc>
        <w:tc>
          <w:tcPr>
            <w:tcW w:w="884" w:type="dxa"/>
          </w:tcPr>
          <w:p>
            <w:pPr>
              <w:pStyle w:val="TableParagraph"/>
              <w:spacing w:line="104" w:lineRule="exact" w:before="9"/>
              <w:ind w:left="242"/>
              <w:rPr>
                <w:b/>
                <w:sz w:val="10"/>
              </w:rPr>
            </w:pPr>
            <w:r>
              <w:rPr>
                <w:b/>
                <w:w w:val="105"/>
                <w:sz w:val="10"/>
              </w:rPr>
              <w:t>2020-21</w:t>
            </w:r>
          </w:p>
        </w:tc>
        <w:tc>
          <w:tcPr>
            <w:tcW w:w="899" w:type="dxa"/>
          </w:tcPr>
          <w:p>
            <w:pPr>
              <w:pStyle w:val="TableParagraph"/>
              <w:spacing w:line="104" w:lineRule="exact" w:before="9"/>
              <w:ind w:left="244"/>
              <w:rPr>
                <w:b/>
                <w:sz w:val="10"/>
              </w:rPr>
            </w:pPr>
            <w:r>
              <w:rPr>
                <w:b/>
                <w:w w:val="105"/>
                <w:sz w:val="10"/>
              </w:rPr>
              <w:t>2020-21</w:t>
            </w:r>
          </w:p>
        </w:tc>
      </w:tr>
      <w:tr>
        <w:trPr>
          <w:trHeight w:val="193" w:hRule="atLeast"/>
        </w:trPr>
        <w:tc>
          <w:tcPr>
            <w:tcW w:w="6521" w:type="dxa"/>
          </w:tcPr>
          <w:p>
            <w:pPr>
              <w:pStyle w:val="TableParagraph"/>
              <w:spacing w:before="6"/>
              <w:ind w:right="119"/>
              <w:jc w:val="right"/>
              <w:rPr>
                <w:b/>
                <w:sz w:val="10"/>
              </w:rPr>
            </w:pPr>
            <w:r>
              <w:rPr>
                <w:b/>
                <w:sz w:val="10"/>
              </w:rPr>
              <w:t>Number</w:t>
            </w:r>
          </w:p>
        </w:tc>
        <w:tc>
          <w:tcPr>
            <w:tcW w:w="1018" w:type="dxa"/>
            <w:gridSpan w:val="2"/>
          </w:tcPr>
          <w:p>
            <w:pPr>
              <w:pStyle w:val="TableParagraph"/>
              <w:spacing w:before="6"/>
              <w:ind w:left="437"/>
              <w:rPr>
                <w:b/>
                <w:sz w:val="10"/>
              </w:rPr>
            </w:pPr>
            <w:r>
              <w:rPr>
                <w:b/>
                <w:w w:val="105"/>
                <w:sz w:val="10"/>
              </w:rPr>
              <w:t>£'000</w:t>
            </w:r>
          </w:p>
        </w:tc>
        <w:tc>
          <w:tcPr>
            <w:tcW w:w="884" w:type="dxa"/>
          </w:tcPr>
          <w:p>
            <w:pPr>
              <w:pStyle w:val="TableParagraph"/>
              <w:spacing w:before="6"/>
              <w:ind w:left="238"/>
              <w:rPr>
                <w:b/>
                <w:sz w:val="10"/>
              </w:rPr>
            </w:pPr>
            <w:r>
              <w:rPr>
                <w:b/>
                <w:w w:val="105"/>
                <w:sz w:val="10"/>
              </w:rPr>
              <w:t>Number</w:t>
            </w:r>
          </w:p>
        </w:tc>
        <w:tc>
          <w:tcPr>
            <w:tcW w:w="899" w:type="dxa"/>
          </w:tcPr>
          <w:p>
            <w:pPr>
              <w:pStyle w:val="TableParagraph"/>
              <w:spacing w:before="6"/>
              <w:ind w:left="287" w:right="313"/>
              <w:jc w:val="center"/>
              <w:rPr>
                <w:b/>
                <w:sz w:val="10"/>
              </w:rPr>
            </w:pPr>
            <w:r>
              <w:rPr>
                <w:b/>
                <w:w w:val="105"/>
                <w:sz w:val="10"/>
              </w:rPr>
              <w:t>£'000</w:t>
            </w:r>
          </w:p>
        </w:tc>
      </w:tr>
      <w:tr>
        <w:trPr>
          <w:trHeight w:val="194" w:hRule="atLeast"/>
        </w:trPr>
        <w:tc>
          <w:tcPr>
            <w:tcW w:w="6521" w:type="dxa"/>
          </w:tcPr>
          <w:p>
            <w:pPr>
              <w:pStyle w:val="TableParagraph"/>
              <w:spacing w:line="105" w:lineRule="exact" w:before="69"/>
              <w:ind w:left="101"/>
              <w:rPr>
                <w:sz w:val="10"/>
              </w:rPr>
            </w:pPr>
            <w:r>
              <w:rPr>
                <w:sz w:val="10"/>
              </w:rPr>
              <w:t>Compensation payments</w:t>
            </w:r>
          </w:p>
        </w:tc>
        <w:tc>
          <w:tcPr>
            <w:tcW w:w="466" w:type="dxa"/>
          </w:tcPr>
          <w:p>
            <w:pPr>
              <w:pStyle w:val="TableParagraph"/>
              <w:spacing w:line="105" w:lineRule="exact" w:before="69"/>
              <w:ind w:left="5"/>
              <w:rPr>
                <w:sz w:val="10"/>
              </w:rPr>
            </w:pPr>
            <w:r>
              <w:rPr>
                <w:w w:val="100"/>
                <w:sz w:val="10"/>
              </w:rPr>
              <w:t>-</w:t>
            </w:r>
          </w:p>
        </w:tc>
        <w:tc>
          <w:tcPr>
            <w:tcW w:w="552" w:type="dxa"/>
          </w:tcPr>
          <w:p>
            <w:pPr>
              <w:pStyle w:val="TableParagraph"/>
              <w:spacing w:line="105" w:lineRule="exact" w:before="69"/>
              <w:ind w:right="91"/>
              <w:jc w:val="right"/>
              <w:rPr>
                <w:sz w:val="10"/>
              </w:rPr>
            </w:pPr>
            <w:r>
              <w:rPr>
                <w:w w:val="100"/>
                <w:sz w:val="10"/>
              </w:rPr>
              <w:t>-</w:t>
            </w:r>
          </w:p>
        </w:tc>
        <w:tc>
          <w:tcPr>
            <w:tcW w:w="884" w:type="dxa"/>
          </w:tcPr>
          <w:p>
            <w:pPr>
              <w:pStyle w:val="TableParagraph"/>
              <w:spacing w:line="105" w:lineRule="exact" w:before="69"/>
              <w:ind w:right="87"/>
              <w:jc w:val="right"/>
              <w:rPr>
                <w:sz w:val="10"/>
              </w:rPr>
            </w:pPr>
            <w:r>
              <w:rPr>
                <w:w w:val="100"/>
                <w:sz w:val="10"/>
              </w:rPr>
              <w:t>-</w:t>
            </w:r>
          </w:p>
        </w:tc>
        <w:tc>
          <w:tcPr>
            <w:tcW w:w="899" w:type="dxa"/>
          </w:tcPr>
          <w:p>
            <w:pPr>
              <w:pStyle w:val="TableParagraph"/>
              <w:spacing w:line="105" w:lineRule="exact" w:before="69"/>
              <w:ind w:right="100"/>
              <w:jc w:val="right"/>
              <w:rPr>
                <w:sz w:val="10"/>
              </w:rPr>
            </w:pPr>
            <w:r>
              <w:rPr>
                <w:w w:val="100"/>
                <w:sz w:val="10"/>
              </w:rPr>
              <w:t>-</w:t>
            </w:r>
          </w:p>
        </w:tc>
      </w:tr>
      <w:tr>
        <w:trPr>
          <w:trHeight w:val="130" w:hRule="atLeast"/>
        </w:trPr>
        <w:tc>
          <w:tcPr>
            <w:tcW w:w="6521" w:type="dxa"/>
          </w:tcPr>
          <w:p>
            <w:pPr>
              <w:pStyle w:val="TableParagraph"/>
              <w:spacing w:line="104" w:lineRule="exact" w:before="7"/>
              <w:ind w:left="101"/>
              <w:rPr>
                <w:sz w:val="10"/>
              </w:rPr>
            </w:pPr>
            <w:r>
              <w:rPr>
                <w:sz w:val="10"/>
              </w:rPr>
              <w:t>Compensation payments Treasury Approved</w:t>
            </w:r>
          </w:p>
        </w:tc>
        <w:tc>
          <w:tcPr>
            <w:tcW w:w="466" w:type="dxa"/>
          </w:tcPr>
          <w:p>
            <w:pPr>
              <w:pStyle w:val="TableParagraph"/>
              <w:spacing w:line="104" w:lineRule="exact" w:before="7"/>
              <w:ind w:left="5"/>
              <w:rPr>
                <w:sz w:val="10"/>
              </w:rPr>
            </w:pPr>
            <w:r>
              <w:rPr>
                <w:w w:val="100"/>
                <w:sz w:val="10"/>
              </w:rPr>
              <w:t>-</w:t>
            </w:r>
          </w:p>
        </w:tc>
        <w:tc>
          <w:tcPr>
            <w:tcW w:w="552" w:type="dxa"/>
          </w:tcPr>
          <w:p>
            <w:pPr>
              <w:pStyle w:val="TableParagraph"/>
              <w:spacing w:line="104" w:lineRule="exact" w:before="7"/>
              <w:ind w:right="91"/>
              <w:jc w:val="right"/>
              <w:rPr>
                <w:sz w:val="10"/>
              </w:rPr>
            </w:pPr>
            <w:r>
              <w:rPr>
                <w:w w:val="100"/>
                <w:sz w:val="10"/>
              </w:rPr>
              <w:t>-</w:t>
            </w:r>
          </w:p>
        </w:tc>
        <w:tc>
          <w:tcPr>
            <w:tcW w:w="884" w:type="dxa"/>
          </w:tcPr>
          <w:p>
            <w:pPr>
              <w:pStyle w:val="TableParagraph"/>
              <w:spacing w:line="104" w:lineRule="exact" w:before="7"/>
              <w:ind w:right="87"/>
              <w:jc w:val="right"/>
              <w:rPr>
                <w:sz w:val="10"/>
              </w:rPr>
            </w:pPr>
            <w:r>
              <w:rPr>
                <w:w w:val="100"/>
                <w:sz w:val="10"/>
              </w:rPr>
              <w:t>-</w:t>
            </w:r>
          </w:p>
        </w:tc>
        <w:tc>
          <w:tcPr>
            <w:tcW w:w="899" w:type="dxa"/>
          </w:tcPr>
          <w:p>
            <w:pPr>
              <w:pStyle w:val="TableParagraph"/>
              <w:spacing w:line="104" w:lineRule="exact" w:before="7"/>
              <w:ind w:right="98"/>
              <w:jc w:val="right"/>
              <w:rPr>
                <w:sz w:val="10"/>
              </w:rPr>
            </w:pPr>
            <w:r>
              <w:rPr>
                <w:w w:val="100"/>
                <w:sz w:val="10"/>
              </w:rPr>
              <w:t>-</w:t>
            </w:r>
          </w:p>
        </w:tc>
      </w:tr>
      <w:tr>
        <w:trPr>
          <w:trHeight w:val="128" w:hRule="atLeast"/>
        </w:trPr>
        <w:tc>
          <w:tcPr>
            <w:tcW w:w="6521" w:type="dxa"/>
          </w:tcPr>
          <w:p>
            <w:pPr>
              <w:pStyle w:val="TableParagraph"/>
              <w:spacing w:line="102" w:lineRule="exact" w:before="6"/>
              <w:ind w:left="101"/>
              <w:rPr>
                <w:sz w:val="10"/>
              </w:rPr>
            </w:pPr>
            <w:r>
              <w:rPr>
                <w:sz w:val="10"/>
              </w:rPr>
              <w:t>Extra Contractual Payments</w:t>
            </w:r>
          </w:p>
        </w:tc>
        <w:tc>
          <w:tcPr>
            <w:tcW w:w="466" w:type="dxa"/>
          </w:tcPr>
          <w:p>
            <w:pPr>
              <w:pStyle w:val="TableParagraph"/>
              <w:spacing w:line="103" w:lineRule="exact" w:before="6"/>
              <w:ind w:left="5"/>
              <w:rPr>
                <w:b/>
                <w:sz w:val="10"/>
              </w:rPr>
            </w:pPr>
            <w:r>
              <w:rPr>
                <w:b/>
                <w:w w:val="105"/>
                <w:sz w:val="10"/>
              </w:rPr>
              <w:t>-</w:t>
            </w:r>
          </w:p>
        </w:tc>
        <w:tc>
          <w:tcPr>
            <w:tcW w:w="552" w:type="dxa"/>
          </w:tcPr>
          <w:p>
            <w:pPr>
              <w:pStyle w:val="TableParagraph"/>
              <w:spacing w:line="103" w:lineRule="exact" w:before="6"/>
              <w:ind w:right="89"/>
              <w:jc w:val="right"/>
              <w:rPr>
                <w:b/>
                <w:sz w:val="10"/>
              </w:rPr>
            </w:pPr>
            <w:r>
              <w:rPr>
                <w:b/>
                <w:w w:val="105"/>
                <w:sz w:val="10"/>
              </w:rPr>
              <w:t>-</w:t>
            </w:r>
          </w:p>
        </w:tc>
        <w:tc>
          <w:tcPr>
            <w:tcW w:w="884" w:type="dxa"/>
          </w:tcPr>
          <w:p>
            <w:pPr>
              <w:pStyle w:val="TableParagraph"/>
              <w:spacing w:line="102" w:lineRule="exact" w:before="6"/>
              <w:ind w:right="86"/>
              <w:jc w:val="right"/>
              <w:rPr>
                <w:sz w:val="10"/>
              </w:rPr>
            </w:pPr>
            <w:r>
              <w:rPr>
                <w:w w:val="100"/>
                <w:sz w:val="10"/>
              </w:rPr>
              <w:t>2</w:t>
            </w:r>
          </w:p>
        </w:tc>
        <w:tc>
          <w:tcPr>
            <w:tcW w:w="899" w:type="dxa"/>
          </w:tcPr>
          <w:p>
            <w:pPr>
              <w:pStyle w:val="TableParagraph"/>
              <w:spacing w:line="103" w:lineRule="exact" w:before="6"/>
              <w:ind w:right="100"/>
              <w:jc w:val="right"/>
              <w:rPr>
                <w:sz w:val="10"/>
              </w:rPr>
            </w:pPr>
            <w:r>
              <w:rPr>
                <w:sz w:val="10"/>
              </w:rPr>
              <w:t>110</w:t>
            </w:r>
          </w:p>
        </w:tc>
      </w:tr>
      <w:tr>
        <w:trPr>
          <w:trHeight w:val="129" w:hRule="atLeast"/>
        </w:trPr>
        <w:tc>
          <w:tcPr>
            <w:tcW w:w="6521" w:type="dxa"/>
          </w:tcPr>
          <w:p>
            <w:pPr>
              <w:pStyle w:val="TableParagraph"/>
              <w:spacing w:line="102" w:lineRule="exact" w:before="7"/>
              <w:ind w:left="101"/>
              <w:rPr>
                <w:sz w:val="10"/>
              </w:rPr>
            </w:pPr>
            <w:r>
              <w:rPr>
                <w:sz w:val="10"/>
              </w:rPr>
              <w:t>Extra Contractual Payments Treasury Approved</w:t>
            </w:r>
          </w:p>
        </w:tc>
        <w:tc>
          <w:tcPr>
            <w:tcW w:w="466" w:type="dxa"/>
          </w:tcPr>
          <w:p>
            <w:pPr>
              <w:pStyle w:val="TableParagraph"/>
              <w:spacing w:line="103" w:lineRule="exact" w:before="7"/>
              <w:ind w:left="5"/>
              <w:rPr>
                <w:sz w:val="10"/>
              </w:rPr>
            </w:pPr>
            <w:r>
              <w:rPr>
                <w:w w:val="100"/>
                <w:sz w:val="10"/>
              </w:rPr>
              <w:t>-</w:t>
            </w:r>
          </w:p>
        </w:tc>
        <w:tc>
          <w:tcPr>
            <w:tcW w:w="552" w:type="dxa"/>
          </w:tcPr>
          <w:p>
            <w:pPr>
              <w:pStyle w:val="TableParagraph"/>
              <w:spacing w:line="103" w:lineRule="exact" w:before="7"/>
              <w:ind w:right="91"/>
              <w:jc w:val="right"/>
              <w:rPr>
                <w:sz w:val="10"/>
              </w:rPr>
            </w:pPr>
            <w:r>
              <w:rPr>
                <w:w w:val="100"/>
                <w:sz w:val="10"/>
              </w:rPr>
              <w:t>-</w:t>
            </w:r>
          </w:p>
        </w:tc>
        <w:tc>
          <w:tcPr>
            <w:tcW w:w="884" w:type="dxa"/>
          </w:tcPr>
          <w:p>
            <w:pPr>
              <w:pStyle w:val="TableParagraph"/>
              <w:spacing w:line="105" w:lineRule="exact" w:before="4"/>
              <w:ind w:right="84"/>
              <w:jc w:val="right"/>
              <w:rPr>
                <w:sz w:val="10"/>
              </w:rPr>
            </w:pPr>
            <w:r>
              <w:rPr>
                <w:w w:val="100"/>
                <w:sz w:val="10"/>
              </w:rPr>
              <w:t>-</w:t>
            </w:r>
          </w:p>
        </w:tc>
        <w:tc>
          <w:tcPr>
            <w:tcW w:w="899" w:type="dxa"/>
          </w:tcPr>
          <w:p>
            <w:pPr>
              <w:pStyle w:val="TableParagraph"/>
              <w:spacing w:line="105" w:lineRule="exact" w:before="4"/>
              <w:ind w:right="98"/>
              <w:jc w:val="right"/>
              <w:rPr>
                <w:sz w:val="10"/>
              </w:rPr>
            </w:pPr>
            <w:r>
              <w:rPr>
                <w:w w:val="100"/>
                <w:sz w:val="10"/>
              </w:rPr>
              <w:t>-</w:t>
            </w:r>
          </w:p>
        </w:tc>
      </w:tr>
      <w:tr>
        <w:trPr>
          <w:trHeight w:val="129" w:hRule="atLeast"/>
        </w:trPr>
        <w:tc>
          <w:tcPr>
            <w:tcW w:w="6521" w:type="dxa"/>
          </w:tcPr>
          <w:p>
            <w:pPr>
              <w:pStyle w:val="TableParagraph"/>
              <w:spacing w:line="102" w:lineRule="exact" w:before="7"/>
              <w:ind w:left="101"/>
              <w:rPr>
                <w:sz w:val="10"/>
              </w:rPr>
            </w:pPr>
            <w:r>
              <w:rPr>
                <w:sz w:val="10"/>
              </w:rPr>
              <w:t>Ex Gratia Payments</w:t>
            </w:r>
          </w:p>
        </w:tc>
        <w:tc>
          <w:tcPr>
            <w:tcW w:w="466" w:type="dxa"/>
          </w:tcPr>
          <w:p>
            <w:pPr>
              <w:pStyle w:val="TableParagraph"/>
              <w:spacing w:line="103" w:lineRule="exact" w:before="7"/>
              <w:ind w:left="5"/>
              <w:rPr>
                <w:sz w:val="10"/>
              </w:rPr>
            </w:pPr>
            <w:r>
              <w:rPr>
                <w:w w:val="100"/>
                <w:sz w:val="10"/>
              </w:rPr>
              <w:t>-</w:t>
            </w:r>
          </w:p>
        </w:tc>
        <w:tc>
          <w:tcPr>
            <w:tcW w:w="552" w:type="dxa"/>
          </w:tcPr>
          <w:p>
            <w:pPr>
              <w:pStyle w:val="TableParagraph"/>
              <w:spacing w:line="103" w:lineRule="exact" w:before="7"/>
              <w:ind w:right="91"/>
              <w:jc w:val="right"/>
              <w:rPr>
                <w:sz w:val="10"/>
              </w:rPr>
            </w:pPr>
            <w:r>
              <w:rPr>
                <w:w w:val="100"/>
                <w:sz w:val="10"/>
              </w:rPr>
              <w:t>-</w:t>
            </w:r>
          </w:p>
        </w:tc>
        <w:tc>
          <w:tcPr>
            <w:tcW w:w="884" w:type="dxa"/>
          </w:tcPr>
          <w:p>
            <w:pPr>
              <w:pStyle w:val="TableParagraph"/>
              <w:spacing w:line="105" w:lineRule="exact" w:before="4"/>
              <w:ind w:right="87"/>
              <w:jc w:val="right"/>
              <w:rPr>
                <w:sz w:val="10"/>
              </w:rPr>
            </w:pPr>
            <w:r>
              <w:rPr>
                <w:w w:val="100"/>
                <w:sz w:val="10"/>
              </w:rPr>
              <w:t>-</w:t>
            </w:r>
          </w:p>
        </w:tc>
        <w:tc>
          <w:tcPr>
            <w:tcW w:w="899" w:type="dxa"/>
          </w:tcPr>
          <w:p>
            <w:pPr>
              <w:pStyle w:val="TableParagraph"/>
              <w:spacing w:line="105" w:lineRule="exact" w:before="4"/>
              <w:ind w:right="98"/>
              <w:jc w:val="right"/>
              <w:rPr>
                <w:sz w:val="10"/>
              </w:rPr>
            </w:pPr>
            <w:r>
              <w:rPr>
                <w:w w:val="100"/>
                <w:sz w:val="10"/>
              </w:rPr>
              <w:t>-</w:t>
            </w:r>
          </w:p>
        </w:tc>
      </w:tr>
      <w:tr>
        <w:trPr>
          <w:trHeight w:val="130" w:hRule="atLeast"/>
        </w:trPr>
        <w:tc>
          <w:tcPr>
            <w:tcW w:w="6521" w:type="dxa"/>
          </w:tcPr>
          <w:p>
            <w:pPr>
              <w:pStyle w:val="TableParagraph"/>
              <w:spacing w:line="104" w:lineRule="exact" w:before="7"/>
              <w:ind w:left="101"/>
              <w:rPr>
                <w:sz w:val="10"/>
              </w:rPr>
            </w:pPr>
            <w:r>
              <w:rPr>
                <w:sz w:val="10"/>
              </w:rPr>
              <w:t>Ex Gratia Payments Treasury Approved</w:t>
            </w:r>
          </w:p>
        </w:tc>
        <w:tc>
          <w:tcPr>
            <w:tcW w:w="466" w:type="dxa"/>
          </w:tcPr>
          <w:p>
            <w:pPr>
              <w:pStyle w:val="TableParagraph"/>
              <w:spacing w:line="104" w:lineRule="exact" w:before="7"/>
              <w:ind w:left="5"/>
              <w:rPr>
                <w:sz w:val="10"/>
              </w:rPr>
            </w:pPr>
            <w:r>
              <w:rPr>
                <w:w w:val="100"/>
                <w:sz w:val="10"/>
              </w:rPr>
              <w:t>-</w:t>
            </w:r>
          </w:p>
        </w:tc>
        <w:tc>
          <w:tcPr>
            <w:tcW w:w="552" w:type="dxa"/>
          </w:tcPr>
          <w:p>
            <w:pPr>
              <w:pStyle w:val="TableParagraph"/>
              <w:spacing w:line="104" w:lineRule="exact" w:before="7"/>
              <w:ind w:right="88"/>
              <w:jc w:val="right"/>
              <w:rPr>
                <w:sz w:val="10"/>
              </w:rPr>
            </w:pPr>
            <w:r>
              <w:rPr>
                <w:w w:val="100"/>
                <w:sz w:val="10"/>
              </w:rPr>
              <w:t>-</w:t>
            </w:r>
          </w:p>
        </w:tc>
        <w:tc>
          <w:tcPr>
            <w:tcW w:w="884" w:type="dxa"/>
          </w:tcPr>
          <w:p>
            <w:pPr>
              <w:pStyle w:val="TableParagraph"/>
              <w:spacing w:line="106" w:lineRule="exact" w:before="5"/>
              <w:ind w:right="84"/>
              <w:jc w:val="right"/>
              <w:rPr>
                <w:sz w:val="10"/>
              </w:rPr>
            </w:pPr>
            <w:r>
              <w:rPr>
                <w:w w:val="100"/>
                <w:sz w:val="10"/>
              </w:rPr>
              <w:t>-</w:t>
            </w:r>
          </w:p>
        </w:tc>
        <w:tc>
          <w:tcPr>
            <w:tcW w:w="899" w:type="dxa"/>
          </w:tcPr>
          <w:p>
            <w:pPr>
              <w:pStyle w:val="TableParagraph"/>
              <w:spacing w:line="106" w:lineRule="exact" w:before="4"/>
              <w:ind w:right="98"/>
              <w:jc w:val="right"/>
              <w:rPr>
                <w:sz w:val="10"/>
              </w:rPr>
            </w:pPr>
            <w:r>
              <w:rPr>
                <w:w w:val="100"/>
                <w:sz w:val="10"/>
              </w:rPr>
              <w:t>-</w:t>
            </w:r>
          </w:p>
        </w:tc>
      </w:tr>
      <w:tr>
        <w:trPr>
          <w:trHeight w:val="121" w:hRule="atLeast"/>
        </w:trPr>
        <w:tc>
          <w:tcPr>
            <w:tcW w:w="6521" w:type="dxa"/>
          </w:tcPr>
          <w:p>
            <w:pPr>
              <w:pStyle w:val="TableParagraph"/>
              <w:spacing w:line="95" w:lineRule="exact" w:before="6"/>
              <w:ind w:left="101"/>
              <w:rPr>
                <w:sz w:val="10"/>
              </w:rPr>
            </w:pPr>
            <w:r>
              <w:rPr>
                <w:sz w:val="10"/>
              </w:rPr>
              <w:t>Extra Statutory Extra Regulatory Payments</w:t>
            </w:r>
          </w:p>
        </w:tc>
        <w:tc>
          <w:tcPr>
            <w:tcW w:w="466" w:type="dxa"/>
          </w:tcPr>
          <w:p>
            <w:pPr>
              <w:pStyle w:val="TableParagraph"/>
              <w:spacing w:line="95" w:lineRule="exact" w:before="6"/>
              <w:ind w:left="5"/>
              <w:rPr>
                <w:sz w:val="10"/>
              </w:rPr>
            </w:pPr>
            <w:r>
              <w:rPr>
                <w:w w:val="100"/>
                <w:sz w:val="10"/>
              </w:rPr>
              <w:t>-</w:t>
            </w:r>
          </w:p>
        </w:tc>
        <w:tc>
          <w:tcPr>
            <w:tcW w:w="552" w:type="dxa"/>
          </w:tcPr>
          <w:p>
            <w:pPr>
              <w:pStyle w:val="TableParagraph"/>
              <w:spacing w:line="95" w:lineRule="exact" w:before="6"/>
              <w:ind w:right="91"/>
              <w:jc w:val="right"/>
              <w:rPr>
                <w:sz w:val="10"/>
              </w:rPr>
            </w:pPr>
            <w:r>
              <w:rPr>
                <w:w w:val="100"/>
                <w:sz w:val="10"/>
              </w:rPr>
              <w:t>-</w:t>
            </w:r>
          </w:p>
        </w:tc>
        <w:tc>
          <w:tcPr>
            <w:tcW w:w="884" w:type="dxa"/>
          </w:tcPr>
          <w:p>
            <w:pPr>
              <w:pStyle w:val="TableParagraph"/>
              <w:spacing w:line="95" w:lineRule="exact" w:before="6"/>
              <w:ind w:right="87"/>
              <w:jc w:val="right"/>
              <w:rPr>
                <w:sz w:val="10"/>
              </w:rPr>
            </w:pPr>
            <w:r>
              <w:rPr>
                <w:w w:val="100"/>
                <w:sz w:val="10"/>
              </w:rPr>
              <w:t>-</w:t>
            </w:r>
          </w:p>
        </w:tc>
        <w:tc>
          <w:tcPr>
            <w:tcW w:w="899" w:type="dxa"/>
          </w:tcPr>
          <w:p>
            <w:pPr>
              <w:pStyle w:val="TableParagraph"/>
              <w:spacing w:line="95" w:lineRule="exact" w:before="6"/>
              <w:ind w:right="98"/>
              <w:jc w:val="right"/>
              <w:rPr>
                <w:sz w:val="10"/>
              </w:rPr>
            </w:pPr>
            <w:r>
              <w:rPr>
                <w:w w:val="100"/>
                <w:sz w:val="10"/>
              </w:rPr>
              <w:t>-</w:t>
            </w:r>
          </w:p>
        </w:tc>
      </w:tr>
      <w:tr>
        <w:trPr>
          <w:trHeight w:val="112" w:hRule="atLeast"/>
        </w:trPr>
        <w:tc>
          <w:tcPr>
            <w:tcW w:w="6521" w:type="dxa"/>
          </w:tcPr>
          <w:p>
            <w:pPr>
              <w:pStyle w:val="TableParagraph"/>
              <w:spacing w:line="93" w:lineRule="exact"/>
              <w:ind w:left="101"/>
              <w:rPr>
                <w:sz w:val="10"/>
              </w:rPr>
            </w:pPr>
            <w:r>
              <w:rPr>
                <w:sz w:val="10"/>
              </w:rPr>
              <w:t>Extra Statutory Extra Regulatory Payments Treasury Approved</w:t>
            </w:r>
          </w:p>
        </w:tc>
        <w:tc>
          <w:tcPr>
            <w:tcW w:w="466" w:type="dxa"/>
          </w:tcPr>
          <w:p>
            <w:pPr>
              <w:pStyle w:val="TableParagraph"/>
              <w:spacing w:line="93" w:lineRule="exact"/>
              <w:ind w:left="5"/>
              <w:rPr>
                <w:sz w:val="10"/>
              </w:rPr>
            </w:pPr>
            <w:r>
              <w:rPr>
                <w:w w:val="100"/>
                <w:sz w:val="10"/>
              </w:rPr>
              <w:t>-</w:t>
            </w:r>
          </w:p>
        </w:tc>
        <w:tc>
          <w:tcPr>
            <w:tcW w:w="552" w:type="dxa"/>
          </w:tcPr>
          <w:p>
            <w:pPr>
              <w:pStyle w:val="TableParagraph"/>
              <w:spacing w:line="93" w:lineRule="exact"/>
              <w:ind w:right="91"/>
              <w:jc w:val="right"/>
              <w:rPr>
                <w:sz w:val="10"/>
              </w:rPr>
            </w:pPr>
            <w:r>
              <w:rPr>
                <w:w w:val="100"/>
                <w:sz w:val="10"/>
              </w:rPr>
              <w:t>-</w:t>
            </w:r>
          </w:p>
        </w:tc>
        <w:tc>
          <w:tcPr>
            <w:tcW w:w="884" w:type="dxa"/>
          </w:tcPr>
          <w:p>
            <w:pPr>
              <w:pStyle w:val="TableParagraph"/>
              <w:spacing w:line="93" w:lineRule="exact"/>
              <w:ind w:right="87"/>
              <w:jc w:val="right"/>
              <w:rPr>
                <w:sz w:val="10"/>
              </w:rPr>
            </w:pPr>
            <w:r>
              <w:rPr>
                <w:w w:val="100"/>
                <w:sz w:val="10"/>
              </w:rPr>
              <w:t>-</w:t>
            </w:r>
          </w:p>
        </w:tc>
        <w:tc>
          <w:tcPr>
            <w:tcW w:w="899" w:type="dxa"/>
          </w:tcPr>
          <w:p>
            <w:pPr>
              <w:pStyle w:val="TableParagraph"/>
              <w:spacing w:line="93" w:lineRule="exact"/>
              <w:ind w:right="98"/>
              <w:jc w:val="right"/>
              <w:rPr>
                <w:sz w:val="10"/>
              </w:rPr>
            </w:pPr>
            <w:r>
              <w:rPr>
                <w:w w:val="100"/>
                <w:sz w:val="10"/>
              </w:rPr>
              <w:t>-</w:t>
            </w:r>
          </w:p>
        </w:tc>
      </w:tr>
    </w:tbl>
    <w:p>
      <w:pPr>
        <w:tabs>
          <w:tab w:pos="6006" w:val="left" w:leader="none"/>
          <w:tab w:pos="6735" w:val="left" w:leader="none"/>
          <w:tab w:pos="7621" w:val="left" w:leader="none"/>
          <w:tab w:pos="8507" w:val="left" w:leader="none"/>
          <w:tab w:pos="9392" w:val="left" w:leader="none"/>
        </w:tabs>
        <w:spacing w:before="31"/>
        <w:ind w:left="313" w:right="0" w:firstLine="0"/>
        <w:jc w:val="left"/>
        <w:rPr>
          <w:sz w:val="10"/>
        </w:rPr>
      </w:pPr>
      <w:r>
        <w:rPr>
          <w:sz w:val="10"/>
        </w:rPr>
        <w:t>Special  Severance Payments</w:t>
      </w:r>
      <w:r>
        <w:rPr>
          <w:spacing w:val="5"/>
          <w:sz w:val="10"/>
        </w:rPr>
        <w:t> </w:t>
      </w:r>
      <w:r>
        <w:rPr>
          <w:sz w:val="10"/>
        </w:rPr>
        <w:t>Treasury</w:t>
      </w:r>
      <w:r>
        <w:rPr>
          <w:spacing w:val="6"/>
          <w:sz w:val="10"/>
        </w:rPr>
        <w:t> </w:t>
      </w:r>
      <w:r>
        <w:rPr>
          <w:sz w:val="10"/>
        </w:rPr>
        <w:t>Approved</w:t>
        <w:tab/>
      </w:r>
      <w:r>
        <w:rPr>
          <w:sz w:val="10"/>
          <w:u w:val="single"/>
        </w:rPr>
        <w:t> </w:t>
        <w:tab/>
        <w:t>-</w:t>
        <w:tab/>
        <w:t>-</w:t>
        <w:tab/>
        <w:t>-</w:t>
        <w:tab/>
        <w:t>-</w:t>
      </w:r>
      <w:r>
        <w:rPr>
          <w:spacing w:val="-2"/>
          <w:sz w:val="10"/>
          <w:u w:val="single"/>
        </w:rPr>
        <w:t> </w:t>
      </w:r>
    </w:p>
    <w:p>
      <w:pPr>
        <w:tabs>
          <w:tab w:pos="9253" w:val="left" w:leader="none"/>
          <w:tab w:pos="9455" w:val="right" w:leader="hyphen"/>
        </w:tabs>
        <w:spacing w:before="15"/>
        <w:ind w:left="313" w:right="0" w:firstLine="0"/>
        <w:jc w:val="left"/>
        <w:rPr>
          <w:b/>
          <w:sz w:val="10"/>
        </w:rPr>
      </w:pPr>
      <w:r>
        <w:rPr>
          <w:b/>
          <w:w w:val="105"/>
          <w:sz w:val="10"/>
        </w:rPr>
        <w:t>Total</w:t>
        <w:tab/>
        <w:tab/>
      </w:r>
      <w:r>
        <w:rPr>
          <w:b/>
          <w:w w:val="105"/>
          <w:sz w:val="10"/>
          <w:u w:val="single"/>
        </w:rPr>
        <w:t>2</w:t>
      </w:r>
      <w:r>
        <w:rPr>
          <w:b/>
          <w:sz w:val="10"/>
          <w:u w:val="single"/>
        </w:rPr>
        <w:tab/>
        <w:t> </w:t>
      </w:r>
      <w:r>
        <w:rPr>
          <w:b/>
          <w:w w:val="105"/>
          <w:sz w:val="10"/>
          <w:u w:val="single"/>
        </w:rPr>
        <w:t>110</w:t>
      </w:r>
      <w:r>
        <w:rPr>
          <w:b/>
          <w:spacing w:val="-1"/>
          <w:sz w:val="10"/>
          <w:u w:val="single"/>
        </w:rPr>
        <w:t> </w:t>
      </w:r>
    </w:p>
    <w:p>
      <w:pPr>
        <w:pStyle w:val="BodyText"/>
        <w:spacing w:before="3"/>
        <w:rPr>
          <w:b/>
          <w:sz w:val="12"/>
        </w:rPr>
      </w:pPr>
    </w:p>
    <w:p>
      <w:pPr>
        <w:spacing w:before="0"/>
        <w:ind w:left="313" w:right="0" w:firstLine="0"/>
        <w:jc w:val="left"/>
        <w:rPr>
          <w:b/>
          <w:sz w:val="10"/>
        </w:rPr>
      </w:pPr>
      <w:r>
        <w:rPr>
          <w:b/>
          <w:w w:val="105"/>
          <w:sz w:val="10"/>
        </w:rPr>
        <w:t>Explanatory Note</w:t>
      </w:r>
    </w:p>
    <w:p>
      <w:pPr>
        <w:pStyle w:val="BodyText"/>
        <w:rPr>
          <w:b/>
          <w:sz w:val="10"/>
        </w:rPr>
      </w:pPr>
    </w:p>
    <w:p>
      <w:pPr>
        <w:pStyle w:val="BodyText"/>
        <w:rPr>
          <w:b/>
          <w:sz w:val="14"/>
        </w:rPr>
      </w:pPr>
    </w:p>
    <w:p>
      <w:pPr>
        <w:spacing w:line="271" w:lineRule="auto" w:before="1"/>
        <w:ind w:left="313" w:right="1905" w:hanging="1"/>
        <w:jc w:val="left"/>
        <w:rPr>
          <w:sz w:val="10"/>
        </w:rPr>
      </w:pPr>
      <w:r>
        <w:rPr>
          <w:sz w:val="10"/>
        </w:rPr>
        <w:t>The two special payments disclosed in 2020-21 were in relation to  support payments made to providers during the  Covid-19  pandemic. The payments have been  made  in accordance with the</w:t>
      </w:r>
      <w:r>
        <w:rPr>
          <w:spacing w:val="5"/>
          <w:sz w:val="10"/>
        </w:rPr>
        <w:t> </w:t>
      </w:r>
      <w:r>
        <w:rPr>
          <w:sz w:val="10"/>
        </w:rPr>
        <w:t>principles</w:t>
      </w:r>
      <w:r>
        <w:rPr>
          <w:spacing w:val="4"/>
          <w:sz w:val="10"/>
        </w:rPr>
        <w:t> </w:t>
      </w:r>
      <w:r>
        <w:rPr>
          <w:sz w:val="10"/>
        </w:rPr>
        <w:t>of</w:t>
      </w:r>
      <w:r>
        <w:rPr>
          <w:spacing w:val="5"/>
          <w:sz w:val="10"/>
        </w:rPr>
        <w:t> </w:t>
      </w:r>
      <w:r>
        <w:rPr>
          <w:sz w:val="10"/>
        </w:rPr>
        <w:t>the</w:t>
      </w:r>
      <w:r>
        <w:rPr>
          <w:spacing w:val="5"/>
          <w:sz w:val="10"/>
        </w:rPr>
        <w:t> </w:t>
      </w:r>
      <w:r>
        <w:rPr>
          <w:sz w:val="10"/>
        </w:rPr>
        <w:t>Procurement</w:t>
      </w:r>
      <w:r>
        <w:rPr>
          <w:spacing w:val="5"/>
          <w:sz w:val="10"/>
        </w:rPr>
        <w:t> </w:t>
      </w:r>
      <w:r>
        <w:rPr>
          <w:sz w:val="10"/>
        </w:rPr>
        <w:t>Cabinet</w:t>
      </w:r>
      <w:r>
        <w:rPr>
          <w:spacing w:val="5"/>
          <w:sz w:val="10"/>
        </w:rPr>
        <w:t> </w:t>
      </w:r>
      <w:r>
        <w:rPr>
          <w:sz w:val="10"/>
        </w:rPr>
        <w:t>Policy</w:t>
      </w:r>
      <w:r>
        <w:rPr>
          <w:spacing w:val="5"/>
          <w:sz w:val="10"/>
        </w:rPr>
        <w:t> </w:t>
      </w:r>
      <w:r>
        <w:rPr>
          <w:sz w:val="10"/>
        </w:rPr>
        <w:t>Notice</w:t>
      </w:r>
      <w:r>
        <w:rPr>
          <w:spacing w:val="3"/>
          <w:sz w:val="10"/>
        </w:rPr>
        <w:t> </w:t>
      </w:r>
      <w:r>
        <w:rPr>
          <w:sz w:val="10"/>
        </w:rPr>
        <w:t>04</w:t>
      </w:r>
      <w:r>
        <w:rPr>
          <w:spacing w:val="3"/>
          <w:sz w:val="10"/>
        </w:rPr>
        <w:t> </w:t>
      </w:r>
      <w:r>
        <w:rPr>
          <w:sz w:val="10"/>
        </w:rPr>
        <w:t>(PPN04).</w:t>
      </w:r>
      <w:r>
        <w:rPr>
          <w:spacing w:val="5"/>
          <w:sz w:val="10"/>
        </w:rPr>
        <w:t> </w:t>
      </w:r>
      <w:r>
        <w:rPr>
          <w:sz w:val="10"/>
        </w:rPr>
        <w:t>There</w:t>
      </w:r>
      <w:r>
        <w:rPr>
          <w:spacing w:val="3"/>
          <w:sz w:val="10"/>
        </w:rPr>
        <w:t> </w:t>
      </w:r>
      <w:r>
        <w:rPr>
          <w:sz w:val="10"/>
        </w:rPr>
        <w:t>were</w:t>
      </w:r>
      <w:r>
        <w:rPr>
          <w:spacing w:val="6"/>
          <w:sz w:val="10"/>
        </w:rPr>
        <w:t> </w:t>
      </w:r>
      <w:r>
        <w:rPr>
          <w:sz w:val="10"/>
        </w:rPr>
        <w:t>no</w:t>
      </w:r>
      <w:r>
        <w:rPr>
          <w:spacing w:val="5"/>
          <w:sz w:val="10"/>
        </w:rPr>
        <w:t> </w:t>
      </w:r>
      <w:r>
        <w:rPr>
          <w:sz w:val="10"/>
        </w:rPr>
        <w:t>such</w:t>
      </w:r>
      <w:r>
        <w:rPr>
          <w:spacing w:val="6"/>
          <w:sz w:val="10"/>
        </w:rPr>
        <w:t> </w:t>
      </w:r>
      <w:r>
        <w:rPr>
          <w:sz w:val="10"/>
        </w:rPr>
        <w:t>payments</w:t>
      </w:r>
      <w:r>
        <w:rPr>
          <w:spacing w:val="4"/>
          <w:sz w:val="10"/>
        </w:rPr>
        <w:t> </w:t>
      </w:r>
      <w:r>
        <w:rPr>
          <w:sz w:val="10"/>
        </w:rPr>
        <w:t>in</w:t>
      </w:r>
      <w:r>
        <w:rPr>
          <w:spacing w:val="-14"/>
          <w:sz w:val="10"/>
        </w:rPr>
        <w:t> </w:t>
      </w:r>
      <w:r>
        <w:rPr>
          <w:sz w:val="10"/>
        </w:rPr>
        <w:t>2021-22.</w:t>
      </w:r>
    </w:p>
    <w:p>
      <w:pPr>
        <w:pStyle w:val="BodyText"/>
        <w:spacing w:before="11"/>
        <w:rPr>
          <w:sz w:val="10"/>
        </w:rPr>
      </w:pPr>
    </w:p>
    <w:p>
      <w:pPr>
        <w:pStyle w:val="ListParagraph"/>
        <w:numPr>
          <w:ilvl w:val="0"/>
          <w:numId w:val="39"/>
        </w:numPr>
        <w:tabs>
          <w:tab w:pos="458" w:val="left" w:leader="none"/>
        </w:tabs>
        <w:spacing w:line="240" w:lineRule="auto" w:before="0" w:after="0"/>
        <w:ind w:left="457" w:right="0" w:hanging="147"/>
        <w:jc w:val="left"/>
        <w:rPr>
          <w:b/>
          <w:sz w:val="10"/>
        </w:rPr>
      </w:pPr>
      <w:r>
        <w:rPr>
          <w:b/>
          <w:w w:val="105"/>
          <w:sz w:val="10"/>
        </w:rPr>
        <w:t>Continuing Healthcare Retrospective Claims Accounting</w:t>
      </w:r>
      <w:r>
        <w:rPr>
          <w:b/>
          <w:spacing w:val="-16"/>
          <w:w w:val="105"/>
          <w:sz w:val="10"/>
        </w:rPr>
        <w:t> </w:t>
      </w:r>
      <w:r>
        <w:rPr>
          <w:b/>
          <w:w w:val="105"/>
          <w:sz w:val="10"/>
        </w:rPr>
        <w:t>Treatment</w:t>
      </w:r>
    </w:p>
    <w:p>
      <w:pPr>
        <w:pStyle w:val="BodyText"/>
        <w:spacing w:before="6"/>
        <w:rPr>
          <w:b/>
          <w:sz w:val="12"/>
        </w:rPr>
      </w:pPr>
    </w:p>
    <w:p>
      <w:pPr>
        <w:spacing w:line="273" w:lineRule="auto" w:before="0"/>
        <w:ind w:left="313" w:right="1905" w:hanging="1"/>
        <w:jc w:val="left"/>
        <w:rPr>
          <w:sz w:val="10"/>
        </w:rPr>
      </w:pPr>
      <w:r>
        <w:rPr>
          <w:sz w:val="10"/>
        </w:rPr>
        <w:t>Under the Accounts Direction issued by NHS England on 12 February 2014, NHS England is responsible for accounting for liabilities relating to NHS Continuing Healthcare claims relating to periods of care before establishment of the clinical commissioning group. However, the legal liability remains with the CCG. The total value of legacy NHS  Continuing  Healthcare claims accounted for by NHS England on behalf of the CCG is as</w:t>
      </w:r>
      <w:r>
        <w:rPr>
          <w:spacing w:val="17"/>
          <w:sz w:val="10"/>
        </w:rPr>
        <w:t> </w:t>
      </w:r>
      <w:r>
        <w:rPr>
          <w:sz w:val="10"/>
        </w:rPr>
        <w:t>follows:</w:t>
      </w:r>
    </w:p>
    <w:p>
      <w:pPr>
        <w:pStyle w:val="BodyText"/>
        <w:spacing w:before="10"/>
        <w:rPr>
          <w:sz w:val="10"/>
        </w:rPr>
      </w:pPr>
    </w:p>
    <w:p>
      <w:pPr>
        <w:tabs>
          <w:tab w:pos="7105" w:val="left" w:leader="none"/>
        </w:tabs>
        <w:spacing w:before="1"/>
        <w:ind w:left="6220" w:right="0" w:firstLine="0"/>
        <w:jc w:val="left"/>
        <w:rPr>
          <w:b/>
          <w:sz w:val="10"/>
        </w:rPr>
      </w:pPr>
      <w:r>
        <w:rPr>
          <w:b/>
          <w:w w:val="105"/>
          <w:sz w:val="10"/>
        </w:rPr>
        <w:t>2021-22</w:t>
        <w:tab/>
        <w:t>2020-21</w:t>
      </w:r>
    </w:p>
    <w:p>
      <w:pPr>
        <w:tabs>
          <w:tab w:pos="7139" w:val="left" w:leader="none"/>
        </w:tabs>
        <w:spacing w:before="14"/>
        <w:ind w:left="6253" w:right="0" w:firstLine="0"/>
        <w:jc w:val="left"/>
        <w:rPr>
          <w:b/>
          <w:sz w:val="10"/>
        </w:rPr>
      </w:pPr>
      <w:r>
        <w:rPr>
          <w:b/>
          <w:w w:val="105"/>
          <w:sz w:val="10"/>
        </w:rPr>
        <w:t>£000's</w:t>
        <w:tab/>
        <w:t>£000's</w:t>
      </w:r>
    </w:p>
    <w:p>
      <w:pPr>
        <w:tabs>
          <w:tab w:pos="6711" w:val="left" w:leader="none"/>
          <w:tab w:pos="7597" w:val="left" w:leader="none"/>
        </w:tabs>
        <w:spacing w:before="15"/>
        <w:ind w:left="313" w:right="0" w:firstLine="0"/>
        <w:jc w:val="left"/>
        <w:rPr>
          <w:sz w:val="10"/>
        </w:rPr>
      </w:pPr>
      <w:r>
        <w:rPr>
          <w:sz w:val="10"/>
        </w:rPr>
        <w:t>Accrual</w:t>
        <w:tab/>
      </w:r>
      <w:r>
        <w:rPr>
          <w:b/>
          <w:sz w:val="10"/>
        </w:rPr>
        <w:t>0</w:t>
        <w:tab/>
      </w:r>
      <w:r>
        <w:rPr>
          <w:sz w:val="10"/>
        </w:rPr>
        <w:t>0</w:t>
      </w:r>
    </w:p>
    <w:p>
      <w:pPr>
        <w:tabs>
          <w:tab w:pos="6711" w:val="left" w:leader="none"/>
          <w:tab w:pos="7597" w:val="left" w:leader="none"/>
        </w:tabs>
        <w:spacing w:before="14"/>
        <w:ind w:left="313" w:right="0" w:firstLine="0"/>
        <w:jc w:val="left"/>
        <w:rPr>
          <w:sz w:val="10"/>
        </w:rPr>
      </w:pPr>
      <w:r>
        <w:rPr>
          <w:sz w:val="10"/>
        </w:rPr>
        <w:t>Provision</w:t>
        <w:tab/>
      </w:r>
      <w:r>
        <w:rPr>
          <w:b/>
          <w:sz w:val="10"/>
        </w:rPr>
        <w:t>0</w:t>
        <w:tab/>
      </w:r>
      <w:r>
        <w:rPr>
          <w:sz w:val="10"/>
        </w:rPr>
        <w:t>0</w:t>
      </w:r>
    </w:p>
    <w:p>
      <w:pPr>
        <w:tabs>
          <w:tab w:pos="6006" w:val="left" w:leader="none"/>
          <w:tab w:pos="6596" w:val="left" w:leader="none"/>
          <w:tab w:pos="7597" w:val="left" w:leader="none"/>
        </w:tabs>
        <w:spacing w:before="15"/>
        <w:ind w:left="313" w:right="0" w:firstLine="0"/>
        <w:jc w:val="left"/>
        <w:rPr>
          <w:sz w:val="10"/>
        </w:rPr>
      </w:pPr>
      <w:r>
        <w:rPr>
          <w:sz w:val="10"/>
        </w:rPr>
        <w:t>Contingent</w:t>
      </w:r>
      <w:r>
        <w:rPr>
          <w:spacing w:val="6"/>
          <w:sz w:val="10"/>
        </w:rPr>
        <w:t> </w:t>
      </w:r>
      <w:r>
        <w:rPr>
          <w:sz w:val="10"/>
        </w:rPr>
        <w:t>Liability</w:t>
        <w:tab/>
      </w:r>
      <w:r>
        <w:rPr>
          <w:sz w:val="10"/>
          <w:u w:val="single"/>
        </w:rPr>
        <w:t> </w:t>
        <w:tab/>
      </w:r>
      <w:r>
        <w:rPr>
          <w:b/>
          <w:sz w:val="10"/>
          <w:u w:val="single"/>
        </w:rPr>
        <w:t>171</w:t>
        <w:tab/>
      </w:r>
      <w:r>
        <w:rPr>
          <w:sz w:val="10"/>
          <w:u w:val="single"/>
        </w:rPr>
        <w:t>0 </w:t>
      </w:r>
    </w:p>
    <w:p>
      <w:pPr>
        <w:tabs>
          <w:tab w:pos="6596" w:val="left" w:leader="none"/>
          <w:tab w:pos="7597" w:val="left" w:leader="none"/>
        </w:tabs>
        <w:spacing w:before="15"/>
        <w:ind w:left="6006" w:right="0" w:firstLine="0"/>
        <w:jc w:val="left"/>
        <w:rPr>
          <w:sz w:val="10"/>
        </w:rPr>
      </w:pPr>
      <w:r>
        <w:rPr>
          <w:b/>
          <w:w w:val="105"/>
          <w:sz w:val="10"/>
          <w:u w:val="single"/>
        </w:rPr>
        <w:t> </w:t>
      </w:r>
      <w:r>
        <w:rPr>
          <w:b/>
          <w:sz w:val="10"/>
          <w:u w:val="single"/>
        </w:rPr>
        <w:tab/>
      </w:r>
      <w:r>
        <w:rPr>
          <w:b/>
          <w:w w:val="105"/>
          <w:sz w:val="10"/>
          <w:u w:val="single"/>
        </w:rPr>
        <w:t>171</w:t>
        <w:tab/>
      </w:r>
      <w:r>
        <w:rPr>
          <w:w w:val="105"/>
          <w:sz w:val="10"/>
          <w:u w:val="single"/>
        </w:rPr>
        <w:t>0</w:t>
      </w:r>
      <w:r>
        <w:rPr>
          <w:sz w:val="10"/>
          <w:u w:val="single"/>
        </w:rPr>
        <w:t> </w:t>
      </w:r>
    </w:p>
    <w:p>
      <w:pPr>
        <w:pStyle w:val="BodyText"/>
        <w:spacing w:before="3"/>
        <w:rPr>
          <w:sz w:val="15"/>
        </w:rPr>
      </w:pPr>
    </w:p>
    <w:p>
      <w:pPr>
        <w:pStyle w:val="BodyText"/>
        <w:spacing w:before="6"/>
        <w:rPr>
          <w:sz w:val="8"/>
        </w:rPr>
      </w:pPr>
    </w:p>
    <w:p>
      <w:pPr>
        <w:pStyle w:val="ListParagraph"/>
        <w:numPr>
          <w:ilvl w:val="0"/>
          <w:numId w:val="39"/>
        </w:numPr>
        <w:tabs>
          <w:tab w:pos="458" w:val="left" w:leader="none"/>
        </w:tabs>
        <w:spacing w:line="240" w:lineRule="auto" w:before="0" w:after="0"/>
        <w:ind w:left="457" w:right="0" w:hanging="147"/>
        <w:jc w:val="left"/>
        <w:rPr>
          <w:b/>
          <w:sz w:val="10"/>
        </w:rPr>
      </w:pPr>
      <w:r>
        <w:rPr>
          <w:b/>
          <w:w w:val="105"/>
          <w:sz w:val="10"/>
        </w:rPr>
        <w:t>Clinical Negligence Balances Accounting</w:t>
      </w:r>
      <w:r>
        <w:rPr>
          <w:b/>
          <w:spacing w:val="-1"/>
          <w:w w:val="105"/>
          <w:sz w:val="10"/>
        </w:rPr>
        <w:t> </w:t>
      </w:r>
      <w:r>
        <w:rPr>
          <w:b/>
          <w:w w:val="105"/>
          <w:sz w:val="10"/>
        </w:rPr>
        <w:t>Treatment</w:t>
      </w:r>
    </w:p>
    <w:p>
      <w:pPr>
        <w:pStyle w:val="BodyText"/>
        <w:spacing w:before="6"/>
        <w:rPr>
          <w:b/>
          <w:sz w:val="12"/>
        </w:rPr>
      </w:pPr>
    </w:p>
    <w:p>
      <w:pPr>
        <w:spacing w:before="0"/>
        <w:ind w:left="313" w:right="0" w:firstLine="0"/>
        <w:jc w:val="left"/>
        <w:rPr>
          <w:sz w:val="10"/>
        </w:rPr>
      </w:pPr>
      <w:r>
        <w:rPr>
          <w:sz w:val="10"/>
        </w:rPr>
        <w:t>NHS Resolution is no longer holding a provision in regards of clinical negligence claims as at 31 March 2022 (31 March 2021: £120K)</w:t>
      </w:r>
    </w:p>
    <w:p>
      <w:pPr>
        <w:spacing w:after="0"/>
        <w:jc w:val="left"/>
        <w:rPr>
          <w:sz w:val="10"/>
        </w:rPr>
        <w:sectPr>
          <w:pgSz w:w="11920" w:h="16850"/>
          <w:pgMar w:header="0" w:footer="531" w:top="1000" w:bottom="820" w:left="740" w:right="520"/>
        </w:sectPr>
      </w:pPr>
    </w:p>
    <w:p>
      <w:pPr>
        <w:spacing w:before="80"/>
        <w:ind w:left="7648" w:right="0" w:firstLine="0"/>
        <w:jc w:val="left"/>
        <w:rPr>
          <w:rFonts w:ascii="Cambria"/>
          <w:sz w:val="16"/>
        </w:rPr>
      </w:pPr>
      <w:r>
        <w:rPr/>
        <w:drawing>
          <wp:anchor distT="0" distB="0" distL="0" distR="0" allowOverlap="1" layoutInCell="1" locked="0" behindDoc="0" simplePos="0" relativeHeight="251697152">
            <wp:simplePos x="0" y="0"/>
            <wp:positionH relativeFrom="page">
              <wp:posOffset>914400</wp:posOffset>
            </wp:positionH>
            <wp:positionV relativeFrom="paragraph">
              <wp:posOffset>63659</wp:posOffset>
            </wp:positionV>
            <wp:extent cx="1184274" cy="186601"/>
            <wp:effectExtent l="0" t="0" r="0" b="0"/>
            <wp:wrapNone/>
            <wp:docPr id="29" name="image13.png"/>
            <wp:cNvGraphicFramePr>
              <a:graphicFrameLocks noChangeAspect="1"/>
            </wp:cNvGraphicFramePr>
            <a:graphic>
              <a:graphicData uri="http://schemas.openxmlformats.org/drawingml/2006/picture">
                <pic:pic>
                  <pic:nvPicPr>
                    <pic:cNvPr id="30" name="image13.png"/>
                    <pic:cNvPicPr/>
                  </pic:nvPicPr>
                  <pic:blipFill>
                    <a:blip r:embed="rId64" cstate="print"/>
                    <a:stretch>
                      <a:fillRect/>
                    </a:stretch>
                  </pic:blipFill>
                  <pic:spPr>
                    <a:xfrm>
                      <a:off x="0" y="0"/>
                      <a:ext cx="1184274" cy="186601"/>
                    </a:xfrm>
                    <a:prstGeom prst="rect">
                      <a:avLst/>
                    </a:prstGeom>
                  </pic:spPr>
                </pic:pic>
              </a:graphicData>
            </a:graphic>
          </wp:anchor>
        </w:drawing>
      </w:r>
      <w:bookmarkStart w:name="NL CCG updated ACR letter - signed" w:id="178"/>
      <w:bookmarkEnd w:id="178"/>
      <w:r>
        <w:rPr/>
      </w:r>
      <w:r>
        <w:rPr>
          <w:rFonts w:ascii="Cambria"/>
          <w:color w:val="2C2C33"/>
          <w:sz w:val="16"/>
        </w:rPr>
        <w:t>5</w:t>
      </w:r>
      <w:r>
        <w:rPr>
          <w:rFonts w:ascii="Cambria"/>
          <w:color w:val="2C2C33"/>
          <w:position w:val="4"/>
          <w:sz w:val="10"/>
        </w:rPr>
        <w:t>th </w:t>
      </w:r>
      <w:r>
        <w:rPr>
          <w:rFonts w:ascii="Cambria"/>
          <w:color w:val="2C2C33"/>
          <w:sz w:val="16"/>
        </w:rPr>
        <w:t>Floor</w:t>
      </w:r>
    </w:p>
    <w:p>
      <w:pPr>
        <w:spacing w:line="235" w:lineRule="auto" w:before="26"/>
        <w:ind w:left="7648" w:right="1718" w:firstLine="0"/>
        <w:jc w:val="left"/>
        <w:rPr>
          <w:rFonts w:ascii="Cambria"/>
          <w:sz w:val="16"/>
        </w:rPr>
      </w:pPr>
      <w:r>
        <w:rPr>
          <w:rFonts w:ascii="Cambria"/>
          <w:color w:val="2C2C33"/>
          <w:sz w:val="16"/>
        </w:rPr>
        <w:t>3 Wellington Place Leeds</w:t>
      </w:r>
    </w:p>
    <w:p>
      <w:pPr>
        <w:spacing w:line="177" w:lineRule="exact" w:before="0"/>
        <w:ind w:left="7648" w:right="0" w:firstLine="0"/>
        <w:jc w:val="left"/>
        <w:rPr>
          <w:rFonts w:ascii="Cambria"/>
          <w:sz w:val="16"/>
        </w:rPr>
      </w:pPr>
      <w:r>
        <w:rPr>
          <w:rFonts w:ascii="Cambria"/>
          <w:color w:val="2C2C33"/>
          <w:sz w:val="16"/>
        </w:rPr>
        <w:t>LS1 4AP</w:t>
      </w:r>
    </w:p>
    <w:p>
      <w:pPr>
        <w:pStyle w:val="BodyText"/>
        <w:spacing w:before="6"/>
        <w:rPr>
          <w:rFonts w:ascii="Cambria"/>
          <w:sz w:val="16"/>
        </w:rPr>
      </w:pPr>
    </w:p>
    <w:p>
      <w:pPr>
        <w:spacing w:before="1"/>
        <w:ind w:left="7648" w:right="0" w:firstLine="0"/>
        <w:jc w:val="left"/>
        <w:rPr>
          <w:rFonts w:ascii="Cambria"/>
          <w:sz w:val="16"/>
        </w:rPr>
      </w:pPr>
      <w:r>
        <w:rPr>
          <w:rFonts w:ascii="Cambria"/>
          <w:color w:val="2C2C33"/>
          <w:sz w:val="16"/>
        </w:rPr>
        <w:t>Tel: +44 (0)113 394 2000</w:t>
      </w:r>
    </w:p>
    <w:p>
      <w:pPr>
        <w:spacing w:before="23"/>
        <w:ind w:left="7648" w:right="0" w:firstLine="0"/>
        <w:jc w:val="left"/>
        <w:rPr>
          <w:rFonts w:ascii="Cambria"/>
          <w:sz w:val="16"/>
        </w:rPr>
      </w:pPr>
      <w:hyperlink r:id="rId65">
        <w:r>
          <w:rPr>
            <w:rFonts w:ascii="Cambria"/>
            <w:color w:val="2C2C33"/>
            <w:sz w:val="16"/>
          </w:rPr>
          <w:t>www.mazars.co.uk</w:t>
        </w:r>
      </w:hyperlink>
    </w:p>
    <w:p>
      <w:pPr>
        <w:pStyle w:val="BodyText"/>
        <w:rPr>
          <w:rFonts w:ascii="Cambria"/>
          <w:sz w:val="20"/>
        </w:rPr>
      </w:pPr>
    </w:p>
    <w:p>
      <w:pPr>
        <w:pStyle w:val="BodyText"/>
        <w:rPr>
          <w:rFonts w:ascii="Cambria"/>
          <w:sz w:val="21"/>
        </w:rPr>
      </w:pPr>
    </w:p>
    <w:tbl>
      <w:tblPr>
        <w:tblW w:w="0" w:type="auto"/>
        <w:jc w:val="left"/>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02"/>
        <w:gridCol w:w="1770"/>
        <w:gridCol w:w="2958"/>
      </w:tblGrid>
      <w:tr>
        <w:trPr>
          <w:trHeight w:val="233" w:hRule="atLeast"/>
        </w:trPr>
        <w:tc>
          <w:tcPr>
            <w:tcW w:w="5202" w:type="dxa"/>
          </w:tcPr>
          <w:p>
            <w:pPr>
              <w:pStyle w:val="TableParagraph"/>
              <w:spacing w:line="214" w:lineRule="exact"/>
              <w:ind w:left="200"/>
              <w:rPr>
                <w:b/>
                <w:sz w:val="20"/>
              </w:rPr>
            </w:pPr>
            <w:r>
              <w:rPr>
                <w:b/>
                <w:color w:val="5A5A5A"/>
                <w:sz w:val="20"/>
              </w:rPr>
              <w:t>Private &amp; Confidential</w:t>
            </w:r>
          </w:p>
        </w:tc>
        <w:tc>
          <w:tcPr>
            <w:tcW w:w="1770" w:type="dxa"/>
          </w:tcPr>
          <w:p>
            <w:pPr>
              <w:pStyle w:val="TableParagraph"/>
              <w:rPr>
                <w:rFonts w:ascii="Times New Roman"/>
                <w:sz w:val="16"/>
              </w:rPr>
            </w:pPr>
          </w:p>
        </w:tc>
        <w:tc>
          <w:tcPr>
            <w:tcW w:w="2958" w:type="dxa"/>
          </w:tcPr>
          <w:p>
            <w:pPr>
              <w:pStyle w:val="TableParagraph"/>
              <w:rPr>
                <w:rFonts w:ascii="Times New Roman"/>
                <w:sz w:val="16"/>
              </w:rPr>
            </w:pPr>
          </w:p>
        </w:tc>
      </w:tr>
      <w:tr>
        <w:trPr>
          <w:trHeight w:val="1019" w:hRule="atLeast"/>
        </w:trPr>
        <w:tc>
          <w:tcPr>
            <w:tcW w:w="5202" w:type="dxa"/>
            <w:vMerge w:val="restart"/>
          </w:tcPr>
          <w:p>
            <w:pPr>
              <w:pStyle w:val="TableParagraph"/>
              <w:spacing w:before="4"/>
              <w:ind w:left="200" w:right="564"/>
              <w:rPr>
                <w:sz w:val="20"/>
              </w:rPr>
            </w:pPr>
            <w:r>
              <w:rPr>
                <w:color w:val="787878"/>
                <w:sz w:val="20"/>
              </w:rPr>
              <w:t>Integrated Audit and Governance Committee North Lincolnshire Clinical Commissioning Group Health Place</w:t>
            </w:r>
          </w:p>
          <w:p>
            <w:pPr>
              <w:pStyle w:val="TableParagraph"/>
              <w:spacing w:before="1"/>
              <w:ind w:left="200" w:right="3370"/>
              <w:rPr>
                <w:sz w:val="20"/>
              </w:rPr>
            </w:pPr>
            <w:r>
              <w:rPr>
                <w:color w:val="787878"/>
                <w:sz w:val="20"/>
              </w:rPr>
              <w:t>Wrawby Road Brigg</w:t>
            </w:r>
          </w:p>
          <w:p>
            <w:pPr>
              <w:pStyle w:val="TableParagraph"/>
              <w:spacing w:line="230" w:lineRule="exact" w:before="2"/>
              <w:ind w:left="200" w:right="3370"/>
              <w:rPr>
                <w:sz w:val="20"/>
              </w:rPr>
            </w:pPr>
            <w:r>
              <w:rPr>
                <w:color w:val="787878"/>
                <w:sz w:val="20"/>
              </w:rPr>
              <w:t>North Lincolnshire DN20 8GS</w:t>
            </w:r>
          </w:p>
        </w:tc>
        <w:tc>
          <w:tcPr>
            <w:tcW w:w="1770" w:type="dxa"/>
          </w:tcPr>
          <w:p>
            <w:pPr>
              <w:pStyle w:val="TableParagraph"/>
              <w:rPr>
                <w:rFonts w:ascii="Cambria"/>
                <w:sz w:val="22"/>
              </w:rPr>
            </w:pPr>
          </w:p>
          <w:p>
            <w:pPr>
              <w:pStyle w:val="TableParagraph"/>
              <w:rPr>
                <w:rFonts w:ascii="Cambria"/>
                <w:sz w:val="22"/>
              </w:rPr>
            </w:pPr>
          </w:p>
          <w:p>
            <w:pPr>
              <w:pStyle w:val="TableParagraph"/>
              <w:spacing w:before="6"/>
              <w:rPr>
                <w:rFonts w:ascii="Cambria"/>
                <w:sz w:val="17"/>
              </w:rPr>
            </w:pPr>
          </w:p>
          <w:p>
            <w:pPr>
              <w:pStyle w:val="TableParagraph"/>
              <w:ind w:left="659"/>
              <w:rPr>
                <w:sz w:val="20"/>
              </w:rPr>
            </w:pPr>
            <w:r>
              <w:rPr>
                <w:color w:val="5A5A5A"/>
                <w:sz w:val="20"/>
              </w:rPr>
              <w:t>Direct line:</w:t>
            </w:r>
          </w:p>
        </w:tc>
        <w:tc>
          <w:tcPr>
            <w:tcW w:w="2958" w:type="dxa"/>
          </w:tcPr>
          <w:p>
            <w:pPr>
              <w:pStyle w:val="TableParagraph"/>
              <w:rPr>
                <w:rFonts w:ascii="Cambria"/>
                <w:sz w:val="22"/>
              </w:rPr>
            </w:pPr>
          </w:p>
          <w:p>
            <w:pPr>
              <w:pStyle w:val="TableParagraph"/>
              <w:rPr>
                <w:rFonts w:ascii="Cambria"/>
                <w:sz w:val="22"/>
              </w:rPr>
            </w:pPr>
          </w:p>
          <w:p>
            <w:pPr>
              <w:pStyle w:val="TableParagraph"/>
              <w:spacing w:before="6"/>
              <w:rPr>
                <w:rFonts w:ascii="Cambria"/>
                <w:sz w:val="17"/>
              </w:rPr>
            </w:pPr>
          </w:p>
          <w:p>
            <w:pPr>
              <w:pStyle w:val="TableParagraph"/>
              <w:ind w:left="168"/>
              <w:rPr>
                <w:sz w:val="20"/>
              </w:rPr>
            </w:pPr>
            <w:r>
              <w:rPr>
                <w:color w:val="5A5A5A"/>
                <w:sz w:val="20"/>
              </w:rPr>
              <w:t>+44 (0) 113 394 5315</w:t>
            </w:r>
          </w:p>
        </w:tc>
      </w:tr>
      <w:tr>
        <w:trPr>
          <w:trHeight w:val="585" w:hRule="atLeast"/>
        </w:trPr>
        <w:tc>
          <w:tcPr>
            <w:tcW w:w="5202" w:type="dxa"/>
            <w:vMerge/>
            <w:tcBorders>
              <w:top w:val="nil"/>
            </w:tcBorders>
          </w:tcPr>
          <w:p>
            <w:pPr>
              <w:rPr>
                <w:sz w:val="2"/>
                <w:szCs w:val="2"/>
              </w:rPr>
            </w:pPr>
          </w:p>
        </w:tc>
        <w:tc>
          <w:tcPr>
            <w:tcW w:w="1770" w:type="dxa"/>
          </w:tcPr>
          <w:p>
            <w:pPr>
              <w:pStyle w:val="TableParagraph"/>
              <w:spacing w:before="61"/>
              <w:ind w:left="659"/>
              <w:rPr>
                <w:sz w:val="20"/>
              </w:rPr>
            </w:pPr>
            <w:r>
              <w:rPr>
                <w:color w:val="5A5A5A"/>
                <w:sz w:val="20"/>
              </w:rPr>
              <w:t>Email:</w:t>
            </w:r>
          </w:p>
        </w:tc>
        <w:tc>
          <w:tcPr>
            <w:tcW w:w="2958" w:type="dxa"/>
          </w:tcPr>
          <w:p>
            <w:pPr>
              <w:pStyle w:val="TableParagraph"/>
              <w:spacing w:before="61"/>
              <w:ind w:left="168"/>
              <w:rPr>
                <w:sz w:val="20"/>
              </w:rPr>
            </w:pPr>
            <w:hyperlink r:id="rId66">
              <w:r>
                <w:rPr>
                  <w:color w:val="5A5A5A"/>
                  <w:sz w:val="20"/>
                </w:rPr>
                <w:t>mark.kirkham@mazars.co.uk</w:t>
              </w:r>
            </w:hyperlink>
          </w:p>
        </w:tc>
      </w:tr>
      <w:tr>
        <w:trPr>
          <w:trHeight w:val="207" w:hRule="atLeast"/>
        </w:trPr>
        <w:tc>
          <w:tcPr>
            <w:tcW w:w="5202" w:type="dxa"/>
          </w:tcPr>
          <w:p>
            <w:pPr>
              <w:pStyle w:val="TableParagraph"/>
              <w:rPr>
                <w:rFonts w:ascii="Times New Roman"/>
                <w:sz w:val="14"/>
              </w:rPr>
            </w:pPr>
          </w:p>
        </w:tc>
        <w:tc>
          <w:tcPr>
            <w:tcW w:w="1770" w:type="dxa"/>
          </w:tcPr>
          <w:p>
            <w:pPr>
              <w:pStyle w:val="TableParagraph"/>
              <w:spacing w:line="188" w:lineRule="exact"/>
              <w:ind w:left="659"/>
              <w:rPr>
                <w:sz w:val="20"/>
              </w:rPr>
            </w:pPr>
            <w:r>
              <w:rPr>
                <w:color w:val="5A5A5A"/>
                <w:sz w:val="20"/>
              </w:rPr>
              <w:t>Date:</w:t>
            </w:r>
          </w:p>
        </w:tc>
        <w:tc>
          <w:tcPr>
            <w:tcW w:w="2958" w:type="dxa"/>
          </w:tcPr>
          <w:p>
            <w:pPr>
              <w:pStyle w:val="TableParagraph"/>
              <w:spacing w:line="188" w:lineRule="exact"/>
              <w:ind w:left="168"/>
              <w:rPr>
                <w:sz w:val="20"/>
              </w:rPr>
            </w:pPr>
            <w:r>
              <w:rPr>
                <w:color w:val="5A5A5A"/>
                <w:sz w:val="20"/>
              </w:rPr>
              <w:t>June 2022</w:t>
            </w:r>
          </w:p>
        </w:tc>
      </w:tr>
    </w:tbl>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4"/>
        <w:rPr>
          <w:rFonts w:ascii="Cambria"/>
          <w:sz w:val="20"/>
        </w:rPr>
      </w:pPr>
    </w:p>
    <w:p>
      <w:pPr>
        <w:spacing w:before="0"/>
        <w:ind w:left="700" w:right="0" w:firstLine="0"/>
        <w:jc w:val="left"/>
        <w:rPr>
          <w:sz w:val="20"/>
        </w:rPr>
      </w:pPr>
      <w:r>
        <w:rPr>
          <w:color w:val="5A5A5A"/>
          <w:sz w:val="20"/>
        </w:rPr>
        <w:t>Dear Committee Members</w:t>
      </w:r>
    </w:p>
    <w:p>
      <w:pPr>
        <w:spacing w:before="132"/>
        <w:ind w:left="699" w:right="1563" w:firstLine="0"/>
        <w:jc w:val="left"/>
        <w:rPr>
          <w:b/>
          <w:sz w:val="20"/>
        </w:rPr>
      </w:pPr>
      <w:bookmarkStart w:name="Conclusion of pending matters – Audit Co" w:id="179"/>
      <w:bookmarkEnd w:id="179"/>
      <w:r>
        <w:rPr/>
      </w:r>
      <w:r>
        <w:rPr>
          <w:b/>
          <w:color w:val="5A5A5A"/>
          <w:sz w:val="20"/>
        </w:rPr>
        <w:t>Conclusion of pending matters – Audit Completion Report to North Lincolnshire Clinical Commissioning Group 2021/22</w:t>
      </w:r>
    </w:p>
    <w:p>
      <w:pPr>
        <w:pStyle w:val="BodyText"/>
        <w:spacing w:before="6"/>
        <w:rPr>
          <w:b/>
          <w:sz w:val="30"/>
        </w:rPr>
      </w:pPr>
    </w:p>
    <w:p>
      <w:pPr>
        <w:spacing w:before="1"/>
        <w:ind w:left="700" w:right="1212" w:firstLine="0"/>
        <w:jc w:val="left"/>
        <w:rPr>
          <w:sz w:val="20"/>
        </w:rPr>
      </w:pPr>
      <w:r>
        <w:rPr>
          <w:color w:val="5A5A5A"/>
          <w:sz w:val="20"/>
        </w:rPr>
        <w:t>I am writing to communicate the conclusion of those matters marked as outstanding in our Audit Completion Report issued to the Committee on the 8</w:t>
      </w:r>
      <w:r>
        <w:rPr>
          <w:color w:val="5A5A5A"/>
          <w:position w:val="6"/>
          <w:sz w:val="13"/>
        </w:rPr>
        <w:t>th </w:t>
      </w:r>
      <w:r>
        <w:rPr>
          <w:color w:val="5A5A5A"/>
          <w:sz w:val="20"/>
        </w:rPr>
        <w:t>June 2022. The outstanding matters and the conclusions reached are detailed in the table below.</w:t>
      </w:r>
    </w:p>
    <w:p>
      <w:pPr>
        <w:pStyle w:val="BodyText"/>
        <w:spacing w:before="4"/>
        <w:rPr>
          <w:sz w:val="24"/>
        </w:rPr>
      </w:pPr>
    </w:p>
    <w:tbl>
      <w:tblPr>
        <w:tblW w:w="0" w:type="auto"/>
        <w:jc w:val="left"/>
        <w:tblInd w:w="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8"/>
        <w:gridCol w:w="6198"/>
      </w:tblGrid>
      <w:tr>
        <w:trPr>
          <w:trHeight w:val="585" w:hRule="atLeast"/>
        </w:trPr>
        <w:tc>
          <w:tcPr>
            <w:tcW w:w="2588" w:type="dxa"/>
            <w:shd w:val="clear" w:color="auto" w:fill="3B4675"/>
          </w:tcPr>
          <w:p>
            <w:pPr>
              <w:pStyle w:val="TableParagraph"/>
              <w:spacing w:before="136"/>
              <w:ind w:left="117"/>
              <w:rPr>
                <w:b/>
                <w:sz w:val="20"/>
              </w:rPr>
            </w:pPr>
            <w:r>
              <w:rPr>
                <w:b/>
                <w:color w:val="FFFFFF"/>
                <w:sz w:val="20"/>
              </w:rPr>
              <w:t>Area outstanding</w:t>
            </w:r>
          </w:p>
        </w:tc>
        <w:tc>
          <w:tcPr>
            <w:tcW w:w="6198" w:type="dxa"/>
            <w:shd w:val="clear" w:color="auto" w:fill="3B4675"/>
          </w:tcPr>
          <w:p>
            <w:pPr>
              <w:pStyle w:val="TableParagraph"/>
              <w:spacing w:before="136"/>
              <w:ind w:left="2175" w:right="2070"/>
              <w:jc w:val="center"/>
              <w:rPr>
                <w:b/>
                <w:sz w:val="20"/>
              </w:rPr>
            </w:pPr>
            <w:r>
              <w:rPr>
                <w:b/>
                <w:color w:val="FFFFFF"/>
                <w:sz w:val="20"/>
              </w:rPr>
              <w:t>Conclusion reached</w:t>
            </w:r>
          </w:p>
        </w:tc>
      </w:tr>
      <w:tr>
        <w:trPr>
          <w:trHeight w:val="2301" w:hRule="atLeast"/>
        </w:trPr>
        <w:tc>
          <w:tcPr>
            <w:tcW w:w="2588" w:type="dxa"/>
            <w:tcBorders>
              <w:left w:val="single" w:sz="4" w:space="0" w:color="7A85B8"/>
              <w:bottom w:val="single" w:sz="4" w:space="0" w:color="7A85B8"/>
            </w:tcBorders>
            <w:shd w:val="clear" w:color="auto" w:fill="D2D4E8"/>
          </w:tcPr>
          <w:p>
            <w:pPr>
              <w:pStyle w:val="TableParagraph"/>
              <w:spacing w:before="1"/>
              <w:rPr>
                <w:sz w:val="19"/>
              </w:rPr>
            </w:pPr>
          </w:p>
          <w:p>
            <w:pPr>
              <w:pStyle w:val="TableParagraph"/>
              <w:ind w:left="112" w:right="189"/>
              <w:rPr>
                <w:sz w:val="18"/>
              </w:rPr>
            </w:pPr>
            <w:r>
              <w:rPr>
                <w:color w:val="787878"/>
                <w:sz w:val="18"/>
              </w:rPr>
              <w:t>Expenditure and journals testing, password controls, consolidation schedules and remuneration report.</w:t>
            </w:r>
          </w:p>
        </w:tc>
        <w:tc>
          <w:tcPr>
            <w:tcW w:w="6198" w:type="dxa"/>
            <w:tcBorders>
              <w:bottom w:val="single" w:sz="4" w:space="0" w:color="7A85B8"/>
              <w:right w:val="single" w:sz="4" w:space="0" w:color="7A85B8"/>
            </w:tcBorders>
            <w:shd w:val="clear" w:color="auto" w:fill="D2D4E8"/>
          </w:tcPr>
          <w:p>
            <w:pPr>
              <w:pStyle w:val="TableParagraph"/>
              <w:spacing w:line="204" w:lineRule="exact"/>
              <w:ind w:left="217"/>
              <w:rPr>
                <w:sz w:val="18"/>
              </w:rPr>
            </w:pPr>
            <w:r>
              <w:rPr>
                <w:color w:val="787878"/>
                <w:sz w:val="18"/>
              </w:rPr>
              <w:t>All testing completed no matters to report, except:</w:t>
            </w:r>
          </w:p>
          <w:p>
            <w:pPr>
              <w:pStyle w:val="TableParagraph"/>
              <w:spacing w:before="3"/>
              <w:rPr>
                <w:sz w:val="18"/>
              </w:rPr>
            </w:pPr>
          </w:p>
          <w:p>
            <w:pPr>
              <w:pStyle w:val="TableParagraph"/>
              <w:numPr>
                <w:ilvl w:val="0"/>
                <w:numId w:val="40"/>
              </w:numPr>
              <w:tabs>
                <w:tab w:pos="937" w:val="left" w:leader="none"/>
                <w:tab w:pos="938" w:val="left" w:leader="none"/>
              </w:tabs>
              <w:spacing w:line="240" w:lineRule="auto" w:before="0" w:after="0"/>
              <w:ind w:left="937" w:right="250" w:hanging="360"/>
              <w:jc w:val="left"/>
              <w:rPr>
                <w:sz w:val="18"/>
              </w:rPr>
            </w:pPr>
            <w:r>
              <w:rPr>
                <w:color w:val="787878"/>
                <w:sz w:val="18"/>
              </w:rPr>
              <w:t>we identified one further misstatement that management has chosen not to amend. We reported this matter verbally at the meeting of the Committee and explained this was in addition to the £0.52m overstatement of expenditure accruals reported in section 6 of the Audit Completion Report;</w:t>
            </w:r>
            <w:r>
              <w:rPr>
                <w:color w:val="787878"/>
                <w:spacing w:val="-16"/>
                <w:sz w:val="18"/>
              </w:rPr>
              <w:t> </w:t>
            </w:r>
            <w:r>
              <w:rPr>
                <w:color w:val="787878"/>
                <w:sz w:val="18"/>
              </w:rPr>
              <w:t>and</w:t>
            </w:r>
          </w:p>
          <w:p>
            <w:pPr>
              <w:pStyle w:val="TableParagraph"/>
              <w:spacing w:before="6"/>
              <w:rPr>
                <w:sz w:val="17"/>
              </w:rPr>
            </w:pPr>
          </w:p>
          <w:p>
            <w:pPr>
              <w:pStyle w:val="TableParagraph"/>
              <w:numPr>
                <w:ilvl w:val="0"/>
                <w:numId w:val="40"/>
              </w:numPr>
              <w:tabs>
                <w:tab w:pos="937" w:val="left" w:leader="none"/>
                <w:tab w:pos="938" w:val="left" w:leader="none"/>
              </w:tabs>
              <w:spacing w:line="240" w:lineRule="auto" w:before="1" w:after="0"/>
              <w:ind w:left="937" w:right="482" w:hanging="360"/>
              <w:jc w:val="left"/>
              <w:rPr>
                <w:sz w:val="18"/>
              </w:rPr>
            </w:pPr>
            <w:r>
              <w:rPr>
                <w:color w:val="787878"/>
                <w:sz w:val="18"/>
              </w:rPr>
              <w:t>in the remuneration report, the pay ratio disclosures were updated</w:t>
            </w:r>
            <w:r>
              <w:rPr>
                <w:color w:val="787878"/>
                <w:spacing w:val="-2"/>
                <w:sz w:val="18"/>
              </w:rPr>
              <w:t> </w:t>
            </w:r>
            <w:r>
              <w:rPr>
                <w:color w:val="787878"/>
                <w:sz w:val="18"/>
              </w:rPr>
              <w:t>to</w:t>
            </w:r>
            <w:r>
              <w:rPr>
                <w:color w:val="787878"/>
                <w:spacing w:val="-5"/>
                <w:sz w:val="18"/>
              </w:rPr>
              <w:t> </w:t>
            </w:r>
            <w:r>
              <w:rPr>
                <w:color w:val="787878"/>
                <w:sz w:val="18"/>
              </w:rPr>
              <w:t>reflect</w:t>
            </w:r>
            <w:r>
              <w:rPr>
                <w:color w:val="787878"/>
                <w:spacing w:val="-4"/>
                <w:sz w:val="18"/>
              </w:rPr>
              <w:t> </w:t>
            </w:r>
            <w:r>
              <w:rPr>
                <w:color w:val="787878"/>
                <w:sz w:val="18"/>
              </w:rPr>
              <w:t>updated</w:t>
            </w:r>
            <w:r>
              <w:rPr>
                <w:color w:val="787878"/>
                <w:spacing w:val="-5"/>
                <w:sz w:val="18"/>
              </w:rPr>
              <w:t> </w:t>
            </w:r>
            <w:r>
              <w:rPr>
                <w:color w:val="787878"/>
                <w:sz w:val="18"/>
              </w:rPr>
              <w:t>guidance</w:t>
            </w:r>
            <w:r>
              <w:rPr>
                <w:color w:val="787878"/>
                <w:spacing w:val="-1"/>
                <w:sz w:val="18"/>
              </w:rPr>
              <w:t> </w:t>
            </w:r>
            <w:r>
              <w:rPr>
                <w:color w:val="787878"/>
                <w:sz w:val="18"/>
              </w:rPr>
              <w:t>including</w:t>
            </w:r>
            <w:r>
              <w:rPr>
                <w:color w:val="787878"/>
                <w:spacing w:val="-2"/>
                <w:sz w:val="18"/>
              </w:rPr>
              <w:t> </w:t>
            </w:r>
            <w:r>
              <w:rPr>
                <w:color w:val="787878"/>
                <w:sz w:val="18"/>
              </w:rPr>
              <w:t>the</w:t>
            </w:r>
            <w:r>
              <w:rPr>
                <w:color w:val="787878"/>
                <w:spacing w:val="-2"/>
                <w:sz w:val="18"/>
              </w:rPr>
              <w:t> </w:t>
            </w:r>
            <w:r>
              <w:rPr>
                <w:color w:val="787878"/>
                <w:sz w:val="18"/>
              </w:rPr>
              <w:t>prior</w:t>
            </w:r>
            <w:r>
              <w:rPr>
                <w:color w:val="787878"/>
                <w:spacing w:val="-27"/>
                <w:sz w:val="18"/>
              </w:rPr>
              <w:t> </w:t>
            </w:r>
            <w:r>
              <w:rPr>
                <w:color w:val="787878"/>
                <w:sz w:val="18"/>
              </w:rPr>
              <w:t>year.</w:t>
            </w:r>
          </w:p>
        </w:tc>
      </w:tr>
    </w:tbl>
    <w:p>
      <w:pPr>
        <w:pStyle w:val="BodyText"/>
      </w:pPr>
    </w:p>
    <w:p>
      <w:pPr>
        <w:pStyle w:val="BodyText"/>
        <w:rPr>
          <w:sz w:val="19"/>
        </w:rPr>
      </w:pPr>
    </w:p>
    <w:p>
      <w:pPr>
        <w:spacing w:before="1"/>
        <w:ind w:left="700" w:right="0" w:firstLine="0"/>
        <w:jc w:val="left"/>
        <w:rPr>
          <w:b/>
          <w:sz w:val="20"/>
        </w:rPr>
      </w:pPr>
      <w:bookmarkStart w:name="Unadjusted misstatement" w:id="180"/>
      <w:bookmarkEnd w:id="180"/>
      <w:r>
        <w:rPr/>
      </w:r>
      <w:r>
        <w:rPr>
          <w:b/>
          <w:color w:val="5A5A5A"/>
          <w:sz w:val="20"/>
        </w:rPr>
        <w:t>Unadjusted misstatement</w:t>
      </w:r>
    </w:p>
    <w:p>
      <w:pPr>
        <w:spacing w:before="134"/>
        <w:ind w:left="700" w:right="1023" w:firstLine="0"/>
        <w:jc w:val="left"/>
        <w:rPr>
          <w:sz w:val="20"/>
        </w:rPr>
      </w:pPr>
      <w:r>
        <w:rPr>
          <w:color w:val="5A5A5A"/>
          <w:sz w:val="20"/>
        </w:rPr>
        <w:t>In our sample testing of payables we identified an accrual for Continuing Healthcare of £0.44m which was duplicated as a result of an administrative error. The impact is that expenditure and accruals were overstated by £0.4m. As we were taking a sample approach in this test, the extrapolated error we are required to report is £1.11m.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31"/>
        </w:rPr>
      </w:pPr>
    </w:p>
    <w:p>
      <w:pPr>
        <w:spacing w:before="1"/>
        <w:ind w:left="700" w:right="0" w:firstLine="0"/>
        <w:jc w:val="left"/>
        <w:rPr>
          <w:rFonts w:ascii="Times New Roman"/>
          <w:sz w:val="12"/>
        </w:rPr>
      </w:pPr>
      <w:r>
        <w:rPr>
          <w:rFonts w:ascii="Times New Roman"/>
          <w:sz w:val="12"/>
        </w:rPr>
        <w:t>Mazars LLP</w:t>
      </w:r>
    </w:p>
    <w:p>
      <w:pPr>
        <w:spacing w:before="1"/>
        <w:ind w:left="700" w:right="1102" w:firstLine="0"/>
        <w:jc w:val="left"/>
        <w:rPr>
          <w:rFonts w:ascii="Times New Roman" w:hAnsi="Times New Roman"/>
          <w:sz w:val="12"/>
        </w:rPr>
      </w:pPr>
      <w:r>
        <w:rPr>
          <w:rFonts w:ascii="Times New Roman" w:hAnsi="Times New Roman"/>
          <w:sz w:val="12"/>
        </w:rPr>
        <w:t>Mazars LLP is the UK firm of Mazars, an integrated international advisory and accountancy organisation. Mazars LLP is a limited liability partnership registered in England and Wales with registered number OC308299 and with its registered office at Tower Bridge House, St Katharine’s Way, London E1W 1DD. Registered to carry on audit work in the UK by the Institute of Chartered Accountants in England and Wales. Details about our audit registration can be viewed at </w:t>
      </w:r>
      <w:hyperlink r:id="rId67">
        <w:r>
          <w:rPr>
            <w:rFonts w:ascii="Times New Roman" w:hAnsi="Times New Roman"/>
            <w:sz w:val="12"/>
          </w:rPr>
          <w:t>www.auditregister.org.uk </w:t>
        </w:r>
      </w:hyperlink>
      <w:r>
        <w:rPr>
          <w:rFonts w:ascii="Times New Roman" w:hAnsi="Times New Roman"/>
          <w:sz w:val="12"/>
        </w:rPr>
        <w:t>under reference number C001139861. VAT number: GB 839 8356 73</w:t>
      </w:r>
    </w:p>
    <w:p>
      <w:pPr>
        <w:spacing w:after="0"/>
        <w:jc w:val="left"/>
        <w:rPr>
          <w:rFonts w:ascii="Times New Roman" w:hAnsi="Times New Roman"/>
          <w:sz w:val="12"/>
        </w:rPr>
        <w:sectPr>
          <w:footerReference w:type="default" r:id="rId63"/>
          <w:pgSz w:w="11920" w:h="16850"/>
          <w:pgMar w:footer="0" w:header="0" w:top="1320" w:bottom="280" w:left="740" w:right="520"/>
        </w:sectPr>
      </w:pPr>
    </w:p>
    <w:p>
      <w:pPr>
        <w:pStyle w:val="BodyText"/>
        <w:spacing w:line="174" w:lineRule="exact"/>
        <w:ind w:left="700"/>
        <w:rPr>
          <w:rFonts w:ascii="Times New Roman"/>
          <w:sz w:val="17"/>
        </w:rPr>
      </w:pPr>
      <w:r>
        <w:rPr>
          <w:rFonts w:ascii="Times New Roman"/>
          <w:position w:val="-2"/>
          <w:sz w:val="17"/>
        </w:rPr>
        <w:drawing>
          <wp:inline distT="0" distB="0" distL="0" distR="0">
            <wp:extent cx="712899" cy="110490"/>
            <wp:effectExtent l="0" t="0" r="0" b="0"/>
            <wp:docPr id="31" name="image13.png"/>
            <wp:cNvGraphicFramePr>
              <a:graphicFrameLocks noChangeAspect="1"/>
            </wp:cNvGraphicFramePr>
            <a:graphic>
              <a:graphicData uri="http://schemas.openxmlformats.org/drawingml/2006/picture">
                <pic:pic>
                  <pic:nvPicPr>
                    <pic:cNvPr id="32" name="image13.png"/>
                    <pic:cNvPicPr/>
                  </pic:nvPicPr>
                  <pic:blipFill>
                    <a:blip r:embed="rId64" cstate="print"/>
                    <a:stretch>
                      <a:fillRect/>
                    </a:stretch>
                  </pic:blipFill>
                  <pic:spPr>
                    <a:xfrm>
                      <a:off x="0" y="0"/>
                      <a:ext cx="712899" cy="110490"/>
                    </a:xfrm>
                    <a:prstGeom prst="rect">
                      <a:avLst/>
                    </a:prstGeom>
                  </pic:spPr>
                </pic:pic>
              </a:graphicData>
            </a:graphic>
          </wp:inline>
        </w:drawing>
      </w:r>
      <w:r>
        <w:rPr>
          <w:rFonts w:ascii="Times New Roman"/>
          <w:position w:val="-2"/>
          <w:sz w:val="17"/>
        </w:rPr>
      </w:r>
    </w:p>
    <w:p>
      <w:pPr>
        <w:pStyle w:val="BodyText"/>
        <w:rPr>
          <w:rFonts w:ascii="Times New Roman"/>
          <w:sz w:val="20"/>
        </w:rPr>
      </w:pPr>
    </w:p>
    <w:p>
      <w:pPr>
        <w:pStyle w:val="BodyText"/>
        <w:spacing w:before="8"/>
        <w:rPr>
          <w:rFonts w:ascii="Times New Roman"/>
          <w:sz w:val="20"/>
        </w:rPr>
      </w:pPr>
    </w:p>
    <w:p>
      <w:pPr>
        <w:spacing w:before="93"/>
        <w:ind w:left="700" w:right="0" w:firstLine="0"/>
        <w:jc w:val="left"/>
        <w:rPr>
          <w:sz w:val="20"/>
        </w:rPr>
      </w:pPr>
      <w:r>
        <w:rPr>
          <w:color w:val="5A5A5A"/>
          <w:sz w:val="20"/>
        </w:rPr>
        <w:t>Taking account of the overstatement of accruals already report in the Audit Completion Report of</w:t>
      </w:r>
    </w:p>
    <w:p>
      <w:pPr>
        <w:spacing w:before="0"/>
        <w:ind w:left="699" w:right="1058" w:firstLine="0"/>
        <w:jc w:val="left"/>
        <w:rPr>
          <w:sz w:val="20"/>
        </w:rPr>
      </w:pPr>
      <w:r>
        <w:rPr>
          <w:color w:val="5A5A5A"/>
          <w:sz w:val="20"/>
        </w:rPr>
        <w:t>£0.52m, the total over-statement is £1.63m. A correction would increase the underspend reported by the CCG but would have no impact on the achievement of the CCG’s statutory duties. The matter does not affect our audit opinion.</w:t>
      </w:r>
    </w:p>
    <w:p>
      <w:pPr>
        <w:pStyle w:val="BodyText"/>
      </w:pPr>
    </w:p>
    <w:p>
      <w:pPr>
        <w:pStyle w:val="BodyText"/>
      </w:pPr>
    </w:p>
    <w:p>
      <w:pPr>
        <w:pStyle w:val="BodyText"/>
      </w:pPr>
    </w:p>
    <w:p>
      <w:pPr>
        <w:spacing w:before="135"/>
        <w:ind w:left="700" w:right="0" w:firstLine="0"/>
        <w:jc w:val="left"/>
        <w:rPr>
          <w:sz w:val="20"/>
        </w:rPr>
      </w:pPr>
      <w:r>
        <w:rPr>
          <w:color w:val="5A5A5A"/>
          <w:sz w:val="20"/>
        </w:rPr>
        <w:t>Yours sincerely</w:t>
      </w:r>
    </w:p>
    <w:p>
      <w:pPr>
        <w:pStyle w:val="BodyText"/>
        <w:spacing w:before="1"/>
        <w:rPr>
          <w:sz w:val="19"/>
        </w:rPr>
      </w:pPr>
      <w:r>
        <w:rPr/>
        <w:drawing>
          <wp:anchor distT="0" distB="0" distL="0" distR="0" allowOverlap="1" layoutInCell="1" locked="0" behindDoc="0" simplePos="0" relativeHeight="39">
            <wp:simplePos x="0" y="0"/>
            <wp:positionH relativeFrom="page">
              <wp:posOffset>891539</wp:posOffset>
            </wp:positionH>
            <wp:positionV relativeFrom="paragraph">
              <wp:posOffset>164719</wp:posOffset>
            </wp:positionV>
            <wp:extent cx="1382516" cy="142875"/>
            <wp:effectExtent l="0" t="0" r="0" b="0"/>
            <wp:wrapTopAndBottom/>
            <wp:docPr id="33" name="image14.png"/>
            <wp:cNvGraphicFramePr>
              <a:graphicFrameLocks noChangeAspect="1"/>
            </wp:cNvGraphicFramePr>
            <a:graphic>
              <a:graphicData uri="http://schemas.openxmlformats.org/drawingml/2006/picture">
                <pic:pic>
                  <pic:nvPicPr>
                    <pic:cNvPr id="34" name="image14.png"/>
                    <pic:cNvPicPr/>
                  </pic:nvPicPr>
                  <pic:blipFill>
                    <a:blip r:embed="rId69" cstate="print"/>
                    <a:stretch>
                      <a:fillRect/>
                    </a:stretch>
                  </pic:blipFill>
                  <pic:spPr>
                    <a:xfrm>
                      <a:off x="0" y="0"/>
                      <a:ext cx="1382516" cy="142875"/>
                    </a:xfrm>
                    <a:prstGeom prst="rect">
                      <a:avLst/>
                    </a:prstGeom>
                  </pic:spPr>
                </pic:pic>
              </a:graphicData>
            </a:graphic>
          </wp:anchor>
        </w:drawing>
      </w:r>
    </w:p>
    <w:p>
      <w:pPr>
        <w:spacing w:before="0"/>
        <w:ind w:left="664" w:right="0" w:firstLine="0"/>
        <w:jc w:val="left"/>
        <w:rPr>
          <w:rFonts w:ascii="Trebuchet MS"/>
          <w:sz w:val="12"/>
        </w:rPr>
      </w:pPr>
      <w:hyperlink r:id="rId70">
        <w:r>
          <w:rPr>
            <w:rFonts w:ascii="Trebuchet MS"/>
            <w:color w:val="1371E4"/>
            <w:sz w:val="12"/>
          </w:rPr>
          <w:t>Mark Kirkham (Jun 14, 2022 13:14 GMT+1)</w:t>
        </w:r>
      </w:hyperlink>
    </w:p>
    <w:p>
      <w:pPr>
        <w:pStyle w:val="BodyText"/>
        <w:rPr>
          <w:rFonts w:ascii="Trebuchet MS"/>
          <w:sz w:val="14"/>
        </w:rPr>
      </w:pPr>
    </w:p>
    <w:p>
      <w:pPr>
        <w:pStyle w:val="BodyText"/>
        <w:rPr>
          <w:rFonts w:ascii="Trebuchet MS"/>
          <w:sz w:val="14"/>
        </w:rPr>
      </w:pPr>
    </w:p>
    <w:p>
      <w:pPr>
        <w:spacing w:before="96"/>
        <w:ind w:left="700" w:right="0" w:firstLine="0"/>
        <w:jc w:val="left"/>
        <w:rPr>
          <w:b/>
          <w:sz w:val="20"/>
        </w:rPr>
      </w:pPr>
      <w:bookmarkStart w:name="Mark Kirkham" w:id="181"/>
      <w:bookmarkEnd w:id="181"/>
      <w:r>
        <w:rPr/>
      </w:r>
      <w:r>
        <w:rPr>
          <w:b/>
          <w:color w:val="5A5A5A"/>
          <w:sz w:val="20"/>
        </w:rPr>
        <w:t>Mark Kirkham</w:t>
      </w:r>
    </w:p>
    <w:p>
      <w:pPr>
        <w:spacing w:before="70"/>
        <w:ind w:left="699" w:right="0" w:firstLine="0"/>
        <w:jc w:val="left"/>
        <w:rPr>
          <w:sz w:val="20"/>
        </w:rPr>
      </w:pPr>
      <w:r>
        <w:rPr>
          <w:color w:val="5A5A5A"/>
          <w:sz w:val="20"/>
        </w:rPr>
        <w:t>Partner</w:t>
      </w:r>
    </w:p>
    <w:p>
      <w:pPr>
        <w:spacing w:before="70"/>
        <w:ind w:left="699" w:right="0" w:firstLine="0"/>
        <w:jc w:val="left"/>
        <w:rPr>
          <w:sz w:val="20"/>
        </w:rPr>
      </w:pPr>
      <w:r>
        <w:rPr>
          <w:color w:val="5A5A5A"/>
          <w:sz w:val="20"/>
        </w:rPr>
        <w:t>For and on behalf of Mazars LLP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spacing w:before="94"/>
        <w:ind w:left="0" w:right="924" w:firstLine="0"/>
        <w:jc w:val="right"/>
        <w:rPr>
          <w:sz w:val="18"/>
        </w:rPr>
      </w:pPr>
      <w:r>
        <w:rPr>
          <w:color w:val="5A5A5A"/>
          <w:w w:val="96"/>
          <w:sz w:val="18"/>
        </w:rPr>
        <w:t>2</w:t>
      </w:r>
    </w:p>
    <w:sectPr>
      <w:footerReference w:type="default" r:id="rId68"/>
      <w:pgSz w:w="11920" w:h="16850"/>
      <w:pgMar w:footer="0" w:header="0" w:top="800" w:bottom="280" w:left="74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Wingdings">
    <w:altName w:val="Wingdings"/>
    <w:charset w:val="2"/>
    <w:family w:val="auto"/>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mbria">
    <w:altName w:val="Cambria"/>
    <w:charset w:val="0"/>
    <w:family w:val="roman"/>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type id="_x0000_t202" o:spt="202" coordsize="21600,21600" path="m,l,21600r21600,l21600,xe">
          <v:stroke joinstyle="miter"/>
          <v:path gradientshapeok="t" o:connecttype="rect"/>
        </v:shapetype>
        <v:shape style="position:absolute;margin-left:287.600006pt;margin-top:808.892517pt;width:37.5pt;height:12.1pt;mso-position-horizontal-relative:page;mso-position-vertical-relative:page;z-index:-269551616" type="#_x0000_t202" filled="false" stroked="false">
          <v:textbox inset="0,0,0,0">
            <w:txbxContent>
              <w:p>
                <w:pPr>
                  <w:spacing w:before="14"/>
                  <w:ind w:left="20" w:right="0" w:firstLine="0"/>
                  <w:jc w:val="left"/>
                  <w:rPr>
                    <w:sz w:val="18"/>
                  </w:rPr>
                </w:pPr>
                <w:r>
                  <w:rPr>
                    <w:sz w:val="18"/>
                  </w:rPr>
                  <w:t>Page </w:t>
                </w:r>
                <w:r>
                  <w:rPr/>
                  <w:fldChar w:fldCharType="begin"/>
                </w:r>
                <w:r>
                  <w:rPr>
                    <w:sz w:val="18"/>
                  </w:rPr>
                  <w:instrText> PAGE </w:instrText>
                </w:r>
                <w:r>
                  <w:rPr/>
                  <w:fldChar w:fldCharType="separate"/>
                </w:r>
                <w:r>
                  <w:rPr/>
                  <w:t>45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2.600006pt;margin-top:562.292542pt;width:35.6pt;height:12.1pt;mso-position-horizontal-relative:page;mso-position-vertical-relative:page;z-index:-269547520" type="#_x0000_t202" filled="false" stroked="false">
          <v:textbox inset="0,0,0,0">
            <w:txbxContent>
              <w:p>
                <w:pPr>
                  <w:spacing w:before="14"/>
                  <w:ind w:left="20" w:right="0" w:firstLine="0"/>
                  <w:jc w:val="left"/>
                  <w:rPr>
                    <w:sz w:val="18"/>
                  </w:rPr>
                </w:pPr>
                <w:r>
                  <w:rPr>
                    <w:sz w:val="18"/>
                  </w:rPr>
                  <w:t>Page 99</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079987pt;margin-top:808.892517pt;width:42.65pt;height:12.1pt;mso-position-horizontal-relative:page;mso-position-vertical-relative:page;z-index:-269546496" type="#_x0000_t202" filled="false" stroked="false">
          <v:textbox inset="0,0,0,0">
            <w:txbxContent>
              <w:p>
                <w:pPr>
                  <w:spacing w:before="14"/>
                  <w:ind w:left="20" w:right="0" w:firstLine="0"/>
                  <w:jc w:val="left"/>
                  <w:rPr>
                    <w:sz w:val="18"/>
                  </w:rPr>
                </w:pPr>
                <w:r>
                  <w:rPr>
                    <w:sz w:val="18"/>
                  </w:rPr>
                  <w:t>Page </w:t>
                </w:r>
                <w:r>
                  <w:rPr/>
                  <w:fldChar w:fldCharType="begin"/>
                </w:r>
                <w:r>
                  <w:rPr>
                    <w:sz w:val="18"/>
                  </w:rPr>
                  <w:instrText> PAGE </w:instrText>
                </w:r>
                <w:r>
                  <w:rPr/>
                  <w:fldChar w:fldCharType="separate"/>
                </w:r>
                <w:r>
                  <w:rPr/>
                  <w:t>100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1.359985pt;margin-top:562.292542pt;width:40.65pt;height:12.1pt;mso-position-horizontal-relative:page;mso-position-vertical-relative:page;z-index:-269545472" type="#_x0000_t202" filled="false" stroked="false">
          <v:textbox inset="0,0,0,0">
            <w:txbxContent>
              <w:p>
                <w:pPr>
                  <w:spacing w:before="14"/>
                  <w:ind w:left="20" w:right="0" w:firstLine="0"/>
                  <w:jc w:val="left"/>
                  <w:rPr>
                    <w:sz w:val="18"/>
                  </w:rPr>
                </w:pPr>
                <w:r>
                  <w:rPr>
                    <w:sz w:val="18"/>
                  </w:rPr>
                  <w:t>Page 102</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0.839996pt;margin-top:705.079956pt;width:73.650pt;height:13.05pt;mso-position-horizontal-relative:page;mso-position-vertical-relative:page;z-index:-269544448" type="#_x0000_t202" filled="false" stroked="false">
          <v:textbox inset="0,0,0,0">
            <w:txbxContent>
              <w:p>
                <w:pPr>
                  <w:spacing w:line="245" w:lineRule="exact" w:before="0"/>
                  <w:ind w:left="20" w:right="0" w:firstLine="0"/>
                  <w:jc w:val="left"/>
                  <w:rPr>
                    <w:rFonts w:ascii="Calibri"/>
                    <w:b/>
                    <w:sz w:val="22"/>
                  </w:rPr>
                </w:pPr>
                <w:r>
                  <w:rPr>
                    <w:rFonts w:ascii="Calibri"/>
                    <w:sz w:val="22"/>
                  </w:rPr>
                  <w:t>Page </w:t>
                </w:r>
                <w:r>
                  <w:rPr/>
                  <w:fldChar w:fldCharType="begin"/>
                </w:r>
                <w:r>
                  <w:rPr>
                    <w:rFonts w:ascii="Calibri"/>
                    <w:b/>
                    <w:sz w:val="22"/>
                  </w:rPr>
                  <w:instrText> PAGE </w:instrText>
                </w:r>
                <w:r>
                  <w:rPr/>
                  <w:fldChar w:fldCharType="separate"/>
                </w:r>
                <w:r>
                  <w:rPr/>
                  <w:t>103</w:t>
                </w:r>
                <w:r>
                  <w:rPr/>
                  <w:fldChar w:fldCharType="end"/>
                </w:r>
                <w:r>
                  <w:rPr>
                    <w:rFonts w:ascii="Calibri"/>
                    <w:b/>
                    <w:sz w:val="22"/>
                  </w:rPr>
                  <w:t> </w:t>
                </w:r>
                <w:r>
                  <w:rPr>
                    <w:rFonts w:ascii="Calibri"/>
                    <w:sz w:val="22"/>
                  </w:rPr>
                  <w:t>of </w:t>
                </w:r>
                <w:r>
                  <w:rPr>
                    <w:rFonts w:ascii="Calibri"/>
                    <w:b/>
                    <w:sz w:val="22"/>
                  </w:rPr>
                  <w:t>105</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839996pt;margin-top:806.687073pt;width:10.75pt;height:11.7pt;mso-position-horizontal-relative:page;mso-position-vertical-relative:page;z-index:-269543424" type="#_x0000_t202" filled="false" stroked="false">
          <v:textbox inset="0,0,0,0">
            <w:txbxContent>
              <w:p>
                <w:pPr>
                  <w:spacing w:before="15"/>
                  <w:ind w:left="60" w:right="0" w:firstLine="0"/>
                  <w:jc w:val="left"/>
                  <w:rPr>
                    <w:sz w:val="17"/>
                  </w:rPr>
                </w:pPr>
                <w:r>
                  <w:rPr/>
                  <w:fldChar w:fldCharType="begin"/>
                </w:r>
                <w:r>
                  <w:rPr>
                    <w:w w:val="100"/>
                    <w:sz w:val="17"/>
                  </w:rPr>
                  <w:instrText> PAGE </w:instrText>
                </w:r>
                <w:r>
                  <w:rPr/>
                  <w:fldChar w:fldCharType="separate"/>
                </w:r>
                <w:r>
                  <w:rPr/>
                  <w:t>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600006pt;margin-top:803.943481pt;width:7.5pt;height:13.15pt;mso-position-horizontal-relative:page;mso-position-vertical-relative:page;z-index:-269542400" type="#_x0000_t202" filled="false" stroked="false">
          <v:textbox inset="0,0,0,0">
            <w:txbxContent>
              <w:p>
                <w:pPr>
                  <w:spacing w:before="12"/>
                  <w:ind w:left="20" w:right="0" w:firstLine="0"/>
                  <w:jc w:val="left"/>
                  <w:rPr>
                    <w:sz w:val="20"/>
                  </w:rPr>
                </w:pPr>
                <w:r>
                  <w:rPr>
                    <w:w w:val="98"/>
                    <w:sz w:val="20"/>
                  </w:rPr>
                  <w:t>9</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pt;margin-top:807.962891pt;width:8.5pt;height:8.2pt;mso-position-horizontal-relative:page;mso-position-vertical-relative:page;z-index:-269541376" type="#_x0000_t202" filled="false" stroked="false">
          <v:textbox inset="0,0,0,0">
            <w:txbxContent>
              <w:p>
                <w:pPr>
                  <w:spacing w:before="16"/>
                  <w:ind w:left="20" w:right="0" w:firstLine="0"/>
                  <w:jc w:val="left"/>
                  <w:rPr>
                    <w:sz w:val="11"/>
                  </w:rPr>
                </w:pPr>
                <w:r>
                  <w:rPr>
                    <w:w w:val="105"/>
                    <w:sz w:val="11"/>
                  </w:rPr>
                  <w:t>12</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799988pt;margin-top:807.481567pt;width:10.9pt;height:11pt;mso-position-horizontal-relative:page;mso-position-vertical-relative:page;z-index:-269540352" type="#_x0000_t202" filled="false" stroked="false">
          <v:textbox inset="0,0,0,0">
            <w:txbxContent>
              <w:p>
                <w:pPr>
                  <w:spacing w:before="15"/>
                  <w:ind w:left="20" w:right="0" w:firstLine="0"/>
                  <w:jc w:val="left"/>
                  <w:rPr>
                    <w:sz w:val="16"/>
                  </w:rPr>
                </w:pPr>
                <w:r>
                  <w:rPr>
                    <w:sz w:val="16"/>
                  </w:rPr>
                  <w:t>13</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60004pt;margin-top:808.579285pt;width:14.2pt;height:9.8pt;mso-position-horizontal-relative:page;mso-position-vertical-relative:page;z-index:-269539328" type="#_x0000_t202" filled="false" stroked="false">
          <v:textbox inset="0,0,0,0">
            <w:txbxContent>
              <w:p>
                <w:pPr>
                  <w:spacing w:before="14"/>
                  <w:ind w:left="60" w:right="0" w:firstLine="0"/>
                  <w:jc w:val="left"/>
                  <w:rPr>
                    <w:sz w:val="14"/>
                  </w:rPr>
                </w:pPr>
                <w:r>
                  <w:rPr/>
                  <w:fldChar w:fldCharType="begin"/>
                </w:r>
                <w:r>
                  <w:rPr>
                    <w:w w:val="105"/>
                    <w:sz w:val="14"/>
                  </w:rPr>
                  <w:instrText> PAGE </w:instrText>
                </w:r>
                <w:r>
                  <w:rPr/>
                  <w:fldChar w:fldCharType="separate"/>
                </w:r>
                <w:r>
                  <w:rPr/>
                  <w:t>15</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359985pt;margin-top:810.677429pt;width:11.8pt;height:7.65pt;mso-position-horizontal-relative:page;mso-position-vertical-relative:page;z-index:-269538304" type="#_x0000_t202" filled="false" stroked="false">
          <v:textbox inset="0,0,0,0">
            <w:txbxContent>
              <w:p>
                <w:pPr>
                  <w:spacing w:before="17"/>
                  <w:ind w:left="60" w:right="0" w:firstLine="0"/>
                  <w:jc w:val="left"/>
                  <w:rPr>
                    <w:sz w:val="10"/>
                  </w:rPr>
                </w:pPr>
                <w:r>
                  <w:rPr/>
                  <w:fldChar w:fldCharType="begin"/>
                </w:r>
                <w:r>
                  <w:rPr>
                    <w:sz w:val="10"/>
                  </w:rPr>
                  <w:instrText> PAGE </w:instrText>
                </w:r>
                <w:r>
                  <w:rPr/>
                  <w:fldChar w:fldCharType="separate"/>
                </w:r>
                <w:r>
                  <w:rPr/>
                  <w:t>16</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89.440002pt;margin-top:806.687073pt;width:15.6pt;height:11.7pt;mso-position-horizontal-relative:page;mso-position-vertical-relative:page;z-index:-269537280" type="#_x0000_t202" filled="false" stroked="false">
          <v:textbox inset="0,0,0,0">
            <w:txbxContent>
              <w:p>
                <w:pPr>
                  <w:spacing w:before="52"/>
                  <w:ind w:left="76" w:right="0" w:firstLine="0"/>
                  <w:jc w:val="left"/>
                  <w:rPr>
                    <w:sz w:val="14"/>
                  </w:rPr>
                </w:pPr>
                <w:r>
                  <w:rPr/>
                  <w:fldChar w:fldCharType="begin"/>
                </w:r>
                <w:r>
                  <w:rPr>
                    <w:w w:val="105"/>
                    <w:sz w:val="14"/>
                  </w:rPr>
                  <w:instrText> PAGE </w:instrText>
                </w:r>
                <w:r>
                  <w:rPr/>
                  <w:fldChar w:fldCharType="separate"/>
                </w:r>
                <w:r>
                  <w:rPr/>
                  <w:t>19</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19995pt;margin-top:810.242859pt;width:12.25pt;height:8.2pt;mso-position-horizontal-relative:page;mso-position-vertical-relative:page;z-index:-269536256" type="#_x0000_t202" filled="false" stroked="false">
          <v:textbox inset="0,0,0,0">
            <w:txbxContent>
              <w:p>
                <w:pPr>
                  <w:spacing w:before="16"/>
                  <w:ind w:left="60" w:right="0" w:firstLine="0"/>
                  <w:jc w:val="left"/>
                  <w:rPr>
                    <w:sz w:val="11"/>
                  </w:rPr>
                </w:pPr>
                <w:r>
                  <w:rPr/>
                  <w:fldChar w:fldCharType="begin"/>
                </w:r>
                <w:r>
                  <w:rPr>
                    <w:sz w:val="11"/>
                  </w:rPr>
                  <w:instrText> PAGE </w:instrText>
                </w:r>
                <w:r>
                  <w:rPr/>
                  <w:fldChar w:fldCharType="separate"/>
                </w:r>
                <w:r>
                  <w:rPr/>
                  <w:t>23</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3"/>
      </w:rPr>
    </w:pPr>
    <w:r>
      <w:rPr/>
      <w:pict>
        <v:shape style="position:absolute;margin-left:288.819pt;margin-top:804.497986pt;width:17.25pt;height:22.3pt;mso-position-horizontal-relative:page;mso-position-vertical-relative:page;z-index:-269535232" type="#_x0000_t202" filled="false" stroked="false">
          <v:textbox inset="0,0,0,0">
            <w:txbxContent>
              <w:p>
                <w:pPr>
                  <w:spacing w:before="195"/>
                  <w:ind w:left="60" w:right="0" w:firstLine="0"/>
                  <w:jc w:val="left"/>
                  <w:rPr>
                    <w:sz w:val="20"/>
                  </w:rPr>
                </w:pPr>
                <w:r>
                  <w:rPr/>
                  <w:fldChar w:fldCharType="begin"/>
                </w:r>
                <w:r>
                  <w:rPr>
                    <w:sz w:val="20"/>
                  </w:rPr>
                  <w:instrText> PAGE </w:instrText>
                </w:r>
                <w:r>
                  <w:rPr/>
                  <w:fldChar w:fldCharType="separate"/>
                </w:r>
                <w:r>
                  <w:rPr/>
                  <w:t>25</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105988pt;margin-top:799.579224pt;width:21.45pt;height:17.55pt;mso-position-horizontal-relative:page;mso-position-vertical-relative:page;z-index:-269534208" type="#_x0000_t202" filled="false" stroked="false">
          <v:textbox inset="0,0,0,0">
            <w:txbxContent>
              <w:p>
                <w:pPr>
                  <w:spacing w:before="13"/>
                  <w:ind w:left="60" w:right="0" w:firstLine="0"/>
                  <w:jc w:val="left"/>
                  <w:rPr>
                    <w:sz w:val="20"/>
                  </w:rPr>
                </w:pPr>
                <w:r>
                  <w:rPr/>
                  <w:fldChar w:fldCharType="begin"/>
                </w:r>
                <w:r>
                  <w:rPr>
                    <w:sz w:val="20"/>
                  </w:rPr>
                  <w:instrText> PAGE </w:instrText>
                </w:r>
                <w:r>
                  <w:rPr/>
                  <w:fldChar w:fldCharType="separate"/>
                </w:r>
                <w:r>
                  <w:rPr/>
                  <w:t>27</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600006pt;margin-top:808.892517pt;width:37.5pt;height:12.1pt;mso-position-horizontal-relative:page;mso-position-vertical-relative:page;z-index:-269550592" type="#_x0000_t202" filled="false" stroked="false">
          <v:textbox inset="0,0,0,0">
            <w:txbxContent>
              <w:p>
                <w:pPr>
                  <w:spacing w:before="14"/>
                  <w:ind w:left="20" w:right="0" w:firstLine="0"/>
                  <w:jc w:val="left"/>
                  <w:rPr>
                    <w:sz w:val="18"/>
                  </w:rPr>
                </w:pPr>
                <w:r>
                  <w:rPr>
                    <w:sz w:val="18"/>
                  </w:rPr>
                  <w:t>Page </w:t>
                </w:r>
                <w:r>
                  <w:rPr/>
                  <w:fldChar w:fldCharType="begin"/>
                </w:r>
                <w:r>
                  <w:rPr>
                    <w:sz w:val="18"/>
                  </w:rPr>
                  <w:instrText> PAGE </w:instrText>
                </w:r>
                <w:r>
                  <w:rPr/>
                  <w:fldChar w:fldCharType="separate"/>
                </w:r>
                <w:r>
                  <w:rPr/>
                  <w:t>87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2.600006pt;margin-top:562.292542pt;width:37.5pt;height:12.1pt;mso-position-horizontal-relative:page;mso-position-vertical-relative:page;z-index:-269549568" type="#_x0000_t202" filled="false" stroked="false">
          <v:textbox inset="0,0,0,0">
            <w:txbxContent>
              <w:p>
                <w:pPr>
                  <w:spacing w:before="14"/>
                  <w:ind w:left="20" w:right="0" w:firstLine="0"/>
                  <w:jc w:val="left"/>
                  <w:rPr>
                    <w:sz w:val="18"/>
                  </w:rPr>
                </w:pPr>
                <w:r>
                  <w:rPr>
                    <w:sz w:val="18"/>
                  </w:rPr>
                  <w:t>Page </w:t>
                </w:r>
                <w:r>
                  <w:rPr/>
                  <w:fldChar w:fldCharType="begin"/>
                </w:r>
                <w:r>
                  <w:rPr>
                    <w:sz w:val="18"/>
                  </w:rPr>
                  <w:instrText> PAGE </w:instrText>
                </w:r>
                <w:r>
                  <w:rPr/>
                  <w:fldChar w:fldCharType="separate"/>
                </w:r>
                <w:r>
                  <w:rPr/>
                  <w:t>89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600006pt;margin-top:808.892517pt;width:37.5pt;height:12.1pt;mso-position-horizontal-relative:page;mso-position-vertical-relative:page;z-index:-269548544" type="#_x0000_t202" filled="false" stroked="false">
          <v:textbox inset="0,0,0,0">
            <w:txbxContent>
              <w:p>
                <w:pPr>
                  <w:spacing w:before="14"/>
                  <w:ind w:left="20" w:right="0" w:firstLine="0"/>
                  <w:jc w:val="left"/>
                  <w:rPr>
                    <w:sz w:val="18"/>
                  </w:rPr>
                </w:pPr>
                <w:r>
                  <w:rPr>
                    <w:sz w:val="18"/>
                  </w:rPr>
                  <w:t>Page </w:t>
                </w:r>
                <w:r>
                  <w:rPr/>
                  <w:fldChar w:fldCharType="begin"/>
                </w:r>
                <w:r>
                  <w:rPr>
                    <w:sz w:val="18"/>
                  </w:rPr>
                  <w:instrText> PAGE </w:instrText>
                </w:r>
                <w:r>
                  <w:rPr/>
                  <w:fldChar w:fldCharType="separate"/>
                </w:r>
                <w:r>
                  <w:rPr/>
                  <w:t>92</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0"/>
      <w:numFmt w:val="bullet"/>
      <w:lvlText w:val=""/>
      <w:lvlJc w:val="left"/>
      <w:pPr>
        <w:ind w:left="1398" w:hanging="361"/>
      </w:pPr>
      <w:rPr>
        <w:rFonts w:hint="default" w:ascii="Symbol" w:hAnsi="Symbol" w:eastAsia="Symbol" w:cs="Symbol"/>
        <w:w w:val="100"/>
        <w:sz w:val="22"/>
        <w:szCs w:val="22"/>
      </w:rPr>
    </w:lvl>
    <w:lvl w:ilvl="1">
      <w:start w:val="0"/>
      <w:numFmt w:val="bullet"/>
      <w:lvlText w:val="•"/>
      <w:lvlJc w:val="left"/>
      <w:pPr>
        <w:ind w:left="2333" w:hanging="361"/>
      </w:pPr>
      <w:rPr>
        <w:rFonts w:hint="default"/>
      </w:rPr>
    </w:lvl>
    <w:lvl w:ilvl="2">
      <w:start w:val="0"/>
      <w:numFmt w:val="bullet"/>
      <w:lvlText w:val="•"/>
      <w:lvlJc w:val="left"/>
      <w:pPr>
        <w:ind w:left="3266" w:hanging="361"/>
      </w:pPr>
      <w:rPr>
        <w:rFonts w:hint="default"/>
      </w:rPr>
    </w:lvl>
    <w:lvl w:ilvl="3">
      <w:start w:val="0"/>
      <w:numFmt w:val="bullet"/>
      <w:lvlText w:val="•"/>
      <w:lvlJc w:val="left"/>
      <w:pPr>
        <w:ind w:left="4199" w:hanging="361"/>
      </w:pPr>
      <w:rPr>
        <w:rFonts w:hint="default"/>
      </w:rPr>
    </w:lvl>
    <w:lvl w:ilvl="4">
      <w:start w:val="0"/>
      <w:numFmt w:val="bullet"/>
      <w:lvlText w:val="•"/>
      <w:lvlJc w:val="left"/>
      <w:pPr>
        <w:ind w:left="5132" w:hanging="361"/>
      </w:pPr>
      <w:rPr>
        <w:rFonts w:hint="default"/>
      </w:rPr>
    </w:lvl>
    <w:lvl w:ilvl="5">
      <w:start w:val="0"/>
      <w:numFmt w:val="bullet"/>
      <w:lvlText w:val="•"/>
      <w:lvlJc w:val="left"/>
      <w:pPr>
        <w:ind w:left="6065" w:hanging="361"/>
      </w:pPr>
      <w:rPr>
        <w:rFonts w:hint="default"/>
      </w:rPr>
    </w:lvl>
    <w:lvl w:ilvl="6">
      <w:start w:val="0"/>
      <w:numFmt w:val="bullet"/>
      <w:lvlText w:val="•"/>
      <w:lvlJc w:val="left"/>
      <w:pPr>
        <w:ind w:left="6998" w:hanging="361"/>
      </w:pPr>
      <w:rPr>
        <w:rFonts w:hint="default"/>
      </w:rPr>
    </w:lvl>
    <w:lvl w:ilvl="7">
      <w:start w:val="0"/>
      <w:numFmt w:val="bullet"/>
      <w:lvlText w:val="•"/>
      <w:lvlJc w:val="left"/>
      <w:pPr>
        <w:ind w:left="7931" w:hanging="361"/>
      </w:pPr>
      <w:rPr>
        <w:rFonts w:hint="default"/>
      </w:rPr>
    </w:lvl>
    <w:lvl w:ilvl="8">
      <w:start w:val="0"/>
      <w:numFmt w:val="bullet"/>
      <w:lvlText w:val="•"/>
      <w:lvlJc w:val="left"/>
      <w:pPr>
        <w:ind w:left="8864" w:hanging="361"/>
      </w:pPr>
      <w:rPr>
        <w:rFonts w:hint="default"/>
      </w:rPr>
    </w:lvl>
  </w:abstractNum>
  <w:abstractNum w:abstractNumId="12">
    <w:multiLevelType w:val="hybridMultilevel"/>
    <w:lvl w:ilvl="0">
      <w:start w:val="0"/>
      <w:numFmt w:val="bullet"/>
      <w:lvlText w:val=""/>
      <w:lvlJc w:val="left"/>
      <w:pPr>
        <w:ind w:left="1395" w:hanging="361"/>
      </w:pPr>
      <w:rPr>
        <w:rFonts w:hint="default" w:ascii="Symbol" w:hAnsi="Symbol" w:eastAsia="Symbol" w:cs="Symbol"/>
        <w:w w:val="100"/>
        <w:sz w:val="22"/>
        <w:szCs w:val="22"/>
      </w:rPr>
    </w:lvl>
    <w:lvl w:ilvl="1">
      <w:start w:val="0"/>
      <w:numFmt w:val="bullet"/>
      <w:lvlText w:val="•"/>
      <w:lvlJc w:val="left"/>
      <w:pPr>
        <w:ind w:left="2333" w:hanging="361"/>
      </w:pPr>
      <w:rPr>
        <w:rFonts w:hint="default"/>
      </w:rPr>
    </w:lvl>
    <w:lvl w:ilvl="2">
      <w:start w:val="0"/>
      <w:numFmt w:val="bullet"/>
      <w:lvlText w:val="•"/>
      <w:lvlJc w:val="left"/>
      <w:pPr>
        <w:ind w:left="3266" w:hanging="361"/>
      </w:pPr>
      <w:rPr>
        <w:rFonts w:hint="default"/>
      </w:rPr>
    </w:lvl>
    <w:lvl w:ilvl="3">
      <w:start w:val="0"/>
      <w:numFmt w:val="bullet"/>
      <w:lvlText w:val="•"/>
      <w:lvlJc w:val="left"/>
      <w:pPr>
        <w:ind w:left="4199" w:hanging="361"/>
      </w:pPr>
      <w:rPr>
        <w:rFonts w:hint="default"/>
      </w:rPr>
    </w:lvl>
    <w:lvl w:ilvl="4">
      <w:start w:val="0"/>
      <w:numFmt w:val="bullet"/>
      <w:lvlText w:val="•"/>
      <w:lvlJc w:val="left"/>
      <w:pPr>
        <w:ind w:left="5132" w:hanging="361"/>
      </w:pPr>
      <w:rPr>
        <w:rFonts w:hint="default"/>
      </w:rPr>
    </w:lvl>
    <w:lvl w:ilvl="5">
      <w:start w:val="0"/>
      <w:numFmt w:val="bullet"/>
      <w:lvlText w:val="•"/>
      <w:lvlJc w:val="left"/>
      <w:pPr>
        <w:ind w:left="6065" w:hanging="361"/>
      </w:pPr>
      <w:rPr>
        <w:rFonts w:hint="default"/>
      </w:rPr>
    </w:lvl>
    <w:lvl w:ilvl="6">
      <w:start w:val="0"/>
      <w:numFmt w:val="bullet"/>
      <w:lvlText w:val="•"/>
      <w:lvlJc w:val="left"/>
      <w:pPr>
        <w:ind w:left="6998" w:hanging="361"/>
      </w:pPr>
      <w:rPr>
        <w:rFonts w:hint="default"/>
      </w:rPr>
    </w:lvl>
    <w:lvl w:ilvl="7">
      <w:start w:val="0"/>
      <w:numFmt w:val="bullet"/>
      <w:lvlText w:val="•"/>
      <w:lvlJc w:val="left"/>
      <w:pPr>
        <w:ind w:left="7931" w:hanging="361"/>
      </w:pPr>
      <w:rPr>
        <w:rFonts w:hint="default"/>
      </w:rPr>
    </w:lvl>
    <w:lvl w:ilvl="8">
      <w:start w:val="0"/>
      <w:numFmt w:val="bullet"/>
      <w:lvlText w:val="•"/>
      <w:lvlJc w:val="left"/>
      <w:pPr>
        <w:ind w:left="8864" w:hanging="361"/>
      </w:pPr>
      <w:rPr>
        <w:rFonts w:hint="default"/>
      </w:rPr>
    </w:lvl>
  </w:abstractNum>
  <w:abstractNum w:abstractNumId="11">
    <w:multiLevelType w:val="hybridMultilevel"/>
    <w:lvl w:ilvl="0">
      <w:start w:val="0"/>
      <w:numFmt w:val="bullet"/>
      <w:lvlText w:val=""/>
      <w:lvlJc w:val="left"/>
      <w:pPr>
        <w:ind w:left="1812" w:hanging="567"/>
      </w:pPr>
      <w:rPr>
        <w:rFonts w:hint="default" w:ascii="Symbol" w:hAnsi="Symbol" w:eastAsia="Symbol" w:cs="Symbol"/>
        <w:w w:val="100"/>
        <w:sz w:val="24"/>
        <w:szCs w:val="24"/>
      </w:rPr>
    </w:lvl>
    <w:lvl w:ilvl="1">
      <w:start w:val="0"/>
      <w:numFmt w:val="bullet"/>
      <w:lvlText w:val="•"/>
      <w:lvlJc w:val="left"/>
      <w:pPr>
        <w:ind w:left="2711" w:hanging="567"/>
      </w:pPr>
      <w:rPr>
        <w:rFonts w:hint="default"/>
      </w:rPr>
    </w:lvl>
    <w:lvl w:ilvl="2">
      <w:start w:val="0"/>
      <w:numFmt w:val="bullet"/>
      <w:lvlText w:val="•"/>
      <w:lvlJc w:val="left"/>
      <w:pPr>
        <w:ind w:left="3602" w:hanging="567"/>
      </w:pPr>
      <w:rPr>
        <w:rFonts w:hint="default"/>
      </w:rPr>
    </w:lvl>
    <w:lvl w:ilvl="3">
      <w:start w:val="0"/>
      <w:numFmt w:val="bullet"/>
      <w:lvlText w:val="•"/>
      <w:lvlJc w:val="left"/>
      <w:pPr>
        <w:ind w:left="4493" w:hanging="567"/>
      </w:pPr>
      <w:rPr>
        <w:rFonts w:hint="default"/>
      </w:rPr>
    </w:lvl>
    <w:lvl w:ilvl="4">
      <w:start w:val="0"/>
      <w:numFmt w:val="bullet"/>
      <w:lvlText w:val="•"/>
      <w:lvlJc w:val="left"/>
      <w:pPr>
        <w:ind w:left="5384" w:hanging="567"/>
      </w:pPr>
      <w:rPr>
        <w:rFonts w:hint="default"/>
      </w:rPr>
    </w:lvl>
    <w:lvl w:ilvl="5">
      <w:start w:val="0"/>
      <w:numFmt w:val="bullet"/>
      <w:lvlText w:val="•"/>
      <w:lvlJc w:val="left"/>
      <w:pPr>
        <w:ind w:left="6275" w:hanging="567"/>
      </w:pPr>
      <w:rPr>
        <w:rFonts w:hint="default"/>
      </w:rPr>
    </w:lvl>
    <w:lvl w:ilvl="6">
      <w:start w:val="0"/>
      <w:numFmt w:val="bullet"/>
      <w:lvlText w:val="•"/>
      <w:lvlJc w:val="left"/>
      <w:pPr>
        <w:ind w:left="7166" w:hanging="567"/>
      </w:pPr>
      <w:rPr>
        <w:rFonts w:hint="default"/>
      </w:rPr>
    </w:lvl>
    <w:lvl w:ilvl="7">
      <w:start w:val="0"/>
      <w:numFmt w:val="bullet"/>
      <w:lvlText w:val="•"/>
      <w:lvlJc w:val="left"/>
      <w:pPr>
        <w:ind w:left="8057" w:hanging="567"/>
      </w:pPr>
      <w:rPr>
        <w:rFonts w:hint="default"/>
      </w:rPr>
    </w:lvl>
    <w:lvl w:ilvl="8">
      <w:start w:val="0"/>
      <w:numFmt w:val="bullet"/>
      <w:lvlText w:val="•"/>
      <w:lvlJc w:val="left"/>
      <w:pPr>
        <w:ind w:left="8948" w:hanging="567"/>
      </w:pPr>
      <w:rPr>
        <w:rFonts w:hint="default"/>
      </w:rPr>
    </w:lvl>
  </w:abstractNum>
  <w:abstractNum w:abstractNumId="39">
    <w:multiLevelType w:val="hybridMultilevel"/>
    <w:lvl w:ilvl="0">
      <w:start w:val="0"/>
      <w:numFmt w:val="bullet"/>
      <w:lvlText w:val=""/>
      <w:lvlJc w:val="left"/>
      <w:pPr>
        <w:ind w:left="937" w:hanging="360"/>
      </w:pPr>
      <w:rPr>
        <w:rFonts w:hint="default" w:ascii="Symbol" w:hAnsi="Symbol" w:eastAsia="Symbol" w:cs="Symbol"/>
        <w:color w:val="787878"/>
        <w:w w:val="100"/>
        <w:sz w:val="18"/>
        <w:szCs w:val="18"/>
      </w:rPr>
    </w:lvl>
    <w:lvl w:ilvl="1">
      <w:start w:val="0"/>
      <w:numFmt w:val="bullet"/>
      <w:lvlText w:val="•"/>
      <w:lvlJc w:val="left"/>
      <w:pPr>
        <w:ind w:left="1465" w:hanging="360"/>
      </w:pPr>
      <w:rPr>
        <w:rFonts w:hint="default"/>
      </w:rPr>
    </w:lvl>
    <w:lvl w:ilvl="2">
      <w:start w:val="0"/>
      <w:numFmt w:val="bullet"/>
      <w:lvlText w:val="•"/>
      <w:lvlJc w:val="left"/>
      <w:pPr>
        <w:ind w:left="1990" w:hanging="360"/>
      </w:pPr>
      <w:rPr>
        <w:rFonts w:hint="default"/>
      </w:rPr>
    </w:lvl>
    <w:lvl w:ilvl="3">
      <w:start w:val="0"/>
      <w:numFmt w:val="bullet"/>
      <w:lvlText w:val="•"/>
      <w:lvlJc w:val="left"/>
      <w:pPr>
        <w:ind w:left="2515" w:hanging="360"/>
      </w:pPr>
      <w:rPr>
        <w:rFonts w:hint="default"/>
      </w:rPr>
    </w:lvl>
    <w:lvl w:ilvl="4">
      <w:start w:val="0"/>
      <w:numFmt w:val="bullet"/>
      <w:lvlText w:val="•"/>
      <w:lvlJc w:val="left"/>
      <w:pPr>
        <w:ind w:left="3041" w:hanging="360"/>
      </w:pPr>
      <w:rPr>
        <w:rFonts w:hint="default"/>
      </w:rPr>
    </w:lvl>
    <w:lvl w:ilvl="5">
      <w:start w:val="0"/>
      <w:numFmt w:val="bullet"/>
      <w:lvlText w:val="•"/>
      <w:lvlJc w:val="left"/>
      <w:pPr>
        <w:ind w:left="3566" w:hanging="360"/>
      </w:pPr>
      <w:rPr>
        <w:rFonts w:hint="default"/>
      </w:rPr>
    </w:lvl>
    <w:lvl w:ilvl="6">
      <w:start w:val="0"/>
      <w:numFmt w:val="bullet"/>
      <w:lvlText w:val="•"/>
      <w:lvlJc w:val="left"/>
      <w:pPr>
        <w:ind w:left="4091" w:hanging="360"/>
      </w:pPr>
      <w:rPr>
        <w:rFonts w:hint="default"/>
      </w:rPr>
    </w:lvl>
    <w:lvl w:ilvl="7">
      <w:start w:val="0"/>
      <w:numFmt w:val="bullet"/>
      <w:lvlText w:val="•"/>
      <w:lvlJc w:val="left"/>
      <w:pPr>
        <w:ind w:left="4617" w:hanging="360"/>
      </w:pPr>
      <w:rPr>
        <w:rFonts w:hint="default"/>
      </w:rPr>
    </w:lvl>
    <w:lvl w:ilvl="8">
      <w:start w:val="0"/>
      <w:numFmt w:val="bullet"/>
      <w:lvlText w:val="•"/>
      <w:lvlJc w:val="left"/>
      <w:pPr>
        <w:ind w:left="5142" w:hanging="360"/>
      </w:pPr>
      <w:rPr>
        <w:rFonts w:hint="default"/>
      </w:rPr>
    </w:lvl>
  </w:abstractNum>
  <w:abstractNum w:abstractNumId="38">
    <w:multiLevelType w:val="hybridMultilevel"/>
    <w:lvl w:ilvl="0">
      <w:start w:val="19"/>
      <w:numFmt w:val="decimal"/>
      <w:lvlText w:val="%1"/>
      <w:lvlJc w:val="left"/>
      <w:pPr>
        <w:ind w:left="457" w:hanging="147"/>
        <w:jc w:val="left"/>
      </w:pPr>
      <w:rPr>
        <w:rFonts w:hint="default" w:ascii="Arial" w:hAnsi="Arial" w:eastAsia="Arial" w:cs="Arial"/>
        <w:b/>
        <w:bCs/>
        <w:spacing w:val="0"/>
        <w:w w:val="100"/>
        <w:sz w:val="10"/>
        <w:szCs w:val="10"/>
      </w:rPr>
    </w:lvl>
    <w:lvl w:ilvl="1">
      <w:start w:val="0"/>
      <w:numFmt w:val="bullet"/>
      <w:lvlText w:val="•"/>
      <w:lvlJc w:val="left"/>
      <w:pPr>
        <w:ind w:left="700" w:hanging="147"/>
      </w:pPr>
      <w:rPr>
        <w:rFonts w:hint="default"/>
      </w:rPr>
    </w:lvl>
    <w:lvl w:ilvl="2">
      <w:start w:val="0"/>
      <w:numFmt w:val="bullet"/>
      <w:lvlText w:val="•"/>
      <w:lvlJc w:val="left"/>
      <w:pPr>
        <w:ind w:left="7640" w:hanging="147"/>
      </w:pPr>
      <w:rPr>
        <w:rFonts w:hint="default"/>
      </w:rPr>
    </w:lvl>
    <w:lvl w:ilvl="3">
      <w:start w:val="0"/>
      <w:numFmt w:val="bullet"/>
      <w:lvlText w:val="•"/>
      <w:lvlJc w:val="left"/>
      <w:pPr>
        <w:ind w:left="8016" w:hanging="147"/>
      </w:pPr>
      <w:rPr>
        <w:rFonts w:hint="default"/>
      </w:rPr>
    </w:lvl>
    <w:lvl w:ilvl="4">
      <w:start w:val="0"/>
      <w:numFmt w:val="bullet"/>
      <w:lvlText w:val="•"/>
      <w:lvlJc w:val="left"/>
      <w:pPr>
        <w:ind w:left="8392" w:hanging="147"/>
      </w:pPr>
      <w:rPr>
        <w:rFonts w:hint="default"/>
      </w:rPr>
    </w:lvl>
    <w:lvl w:ilvl="5">
      <w:start w:val="0"/>
      <w:numFmt w:val="bullet"/>
      <w:lvlText w:val="•"/>
      <w:lvlJc w:val="left"/>
      <w:pPr>
        <w:ind w:left="8769" w:hanging="147"/>
      </w:pPr>
      <w:rPr>
        <w:rFonts w:hint="default"/>
      </w:rPr>
    </w:lvl>
    <w:lvl w:ilvl="6">
      <w:start w:val="0"/>
      <w:numFmt w:val="bullet"/>
      <w:lvlText w:val="•"/>
      <w:lvlJc w:val="left"/>
      <w:pPr>
        <w:ind w:left="9145" w:hanging="147"/>
      </w:pPr>
      <w:rPr>
        <w:rFonts w:hint="default"/>
      </w:rPr>
    </w:lvl>
    <w:lvl w:ilvl="7">
      <w:start w:val="0"/>
      <w:numFmt w:val="bullet"/>
      <w:lvlText w:val="•"/>
      <w:lvlJc w:val="left"/>
      <w:pPr>
        <w:ind w:left="9522" w:hanging="147"/>
      </w:pPr>
      <w:rPr>
        <w:rFonts w:hint="default"/>
      </w:rPr>
    </w:lvl>
    <w:lvl w:ilvl="8">
      <w:start w:val="0"/>
      <w:numFmt w:val="bullet"/>
      <w:lvlText w:val="•"/>
      <w:lvlJc w:val="left"/>
      <w:pPr>
        <w:ind w:left="9898" w:hanging="147"/>
      </w:pPr>
      <w:rPr>
        <w:rFonts w:hint="default"/>
      </w:rPr>
    </w:lvl>
  </w:abstractNum>
  <w:abstractNum w:abstractNumId="37">
    <w:multiLevelType w:val="hybridMultilevel"/>
    <w:lvl w:ilvl="0">
      <w:start w:val="15"/>
      <w:numFmt w:val="decimal"/>
      <w:lvlText w:val="%1"/>
      <w:lvlJc w:val="left"/>
      <w:pPr>
        <w:ind w:left="589" w:hanging="267"/>
        <w:jc w:val="left"/>
      </w:pPr>
      <w:rPr>
        <w:rFonts w:hint="default"/>
        <w:b/>
        <w:bCs/>
        <w:spacing w:val="-1"/>
        <w:w w:val="98"/>
      </w:rPr>
    </w:lvl>
    <w:lvl w:ilvl="1">
      <w:start w:val="0"/>
      <w:numFmt w:val="bullet"/>
      <w:lvlText w:val="•"/>
      <w:lvlJc w:val="left"/>
      <w:pPr>
        <w:ind w:left="1587" w:hanging="267"/>
      </w:pPr>
      <w:rPr>
        <w:rFonts w:hint="default"/>
      </w:rPr>
    </w:lvl>
    <w:lvl w:ilvl="2">
      <w:start w:val="0"/>
      <w:numFmt w:val="bullet"/>
      <w:lvlText w:val="•"/>
      <w:lvlJc w:val="left"/>
      <w:pPr>
        <w:ind w:left="2594" w:hanging="267"/>
      </w:pPr>
      <w:rPr>
        <w:rFonts w:hint="default"/>
      </w:rPr>
    </w:lvl>
    <w:lvl w:ilvl="3">
      <w:start w:val="0"/>
      <w:numFmt w:val="bullet"/>
      <w:lvlText w:val="•"/>
      <w:lvlJc w:val="left"/>
      <w:pPr>
        <w:ind w:left="3601" w:hanging="267"/>
      </w:pPr>
      <w:rPr>
        <w:rFonts w:hint="default"/>
      </w:rPr>
    </w:lvl>
    <w:lvl w:ilvl="4">
      <w:start w:val="0"/>
      <w:numFmt w:val="bullet"/>
      <w:lvlText w:val="•"/>
      <w:lvlJc w:val="left"/>
      <w:pPr>
        <w:ind w:left="4608" w:hanging="267"/>
      </w:pPr>
      <w:rPr>
        <w:rFonts w:hint="default"/>
      </w:rPr>
    </w:lvl>
    <w:lvl w:ilvl="5">
      <w:start w:val="0"/>
      <w:numFmt w:val="bullet"/>
      <w:lvlText w:val="•"/>
      <w:lvlJc w:val="left"/>
      <w:pPr>
        <w:ind w:left="5615" w:hanging="267"/>
      </w:pPr>
      <w:rPr>
        <w:rFonts w:hint="default"/>
      </w:rPr>
    </w:lvl>
    <w:lvl w:ilvl="6">
      <w:start w:val="0"/>
      <w:numFmt w:val="bullet"/>
      <w:lvlText w:val="•"/>
      <w:lvlJc w:val="left"/>
      <w:pPr>
        <w:ind w:left="6622" w:hanging="267"/>
      </w:pPr>
      <w:rPr>
        <w:rFonts w:hint="default"/>
      </w:rPr>
    </w:lvl>
    <w:lvl w:ilvl="7">
      <w:start w:val="0"/>
      <w:numFmt w:val="bullet"/>
      <w:lvlText w:val="•"/>
      <w:lvlJc w:val="left"/>
      <w:pPr>
        <w:ind w:left="7629" w:hanging="267"/>
      </w:pPr>
      <w:rPr>
        <w:rFonts w:hint="default"/>
      </w:rPr>
    </w:lvl>
    <w:lvl w:ilvl="8">
      <w:start w:val="0"/>
      <w:numFmt w:val="bullet"/>
      <w:lvlText w:val="•"/>
      <w:lvlJc w:val="left"/>
      <w:pPr>
        <w:ind w:left="8636" w:hanging="267"/>
      </w:pPr>
      <w:rPr>
        <w:rFonts w:hint="default"/>
      </w:rPr>
    </w:lvl>
  </w:abstractNum>
  <w:abstractNum w:abstractNumId="36">
    <w:multiLevelType w:val="hybridMultilevel"/>
    <w:lvl w:ilvl="0">
      <w:start w:val="0"/>
      <w:numFmt w:val="bullet"/>
      <w:lvlText w:val="·"/>
      <w:lvlJc w:val="left"/>
      <w:pPr>
        <w:ind w:left="851" w:hanging="536"/>
      </w:pPr>
      <w:rPr>
        <w:rFonts w:hint="default" w:ascii="Arial" w:hAnsi="Arial" w:eastAsia="Arial" w:cs="Arial"/>
        <w:w w:val="100"/>
        <w:sz w:val="11"/>
        <w:szCs w:val="11"/>
      </w:rPr>
    </w:lvl>
    <w:lvl w:ilvl="1">
      <w:start w:val="0"/>
      <w:numFmt w:val="bullet"/>
      <w:lvlText w:val="•"/>
      <w:lvlJc w:val="left"/>
      <w:pPr>
        <w:ind w:left="1839" w:hanging="536"/>
      </w:pPr>
      <w:rPr>
        <w:rFonts w:hint="default"/>
      </w:rPr>
    </w:lvl>
    <w:lvl w:ilvl="2">
      <w:start w:val="0"/>
      <w:numFmt w:val="bullet"/>
      <w:lvlText w:val="•"/>
      <w:lvlJc w:val="left"/>
      <w:pPr>
        <w:ind w:left="2818" w:hanging="536"/>
      </w:pPr>
      <w:rPr>
        <w:rFonts w:hint="default"/>
      </w:rPr>
    </w:lvl>
    <w:lvl w:ilvl="3">
      <w:start w:val="0"/>
      <w:numFmt w:val="bullet"/>
      <w:lvlText w:val="•"/>
      <w:lvlJc w:val="left"/>
      <w:pPr>
        <w:ind w:left="3797" w:hanging="536"/>
      </w:pPr>
      <w:rPr>
        <w:rFonts w:hint="default"/>
      </w:rPr>
    </w:lvl>
    <w:lvl w:ilvl="4">
      <w:start w:val="0"/>
      <w:numFmt w:val="bullet"/>
      <w:lvlText w:val="•"/>
      <w:lvlJc w:val="left"/>
      <w:pPr>
        <w:ind w:left="4776" w:hanging="536"/>
      </w:pPr>
      <w:rPr>
        <w:rFonts w:hint="default"/>
      </w:rPr>
    </w:lvl>
    <w:lvl w:ilvl="5">
      <w:start w:val="0"/>
      <w:numFmt w:val="bullet"/>
      <w:lvlText w:val="•"/>
      <w:lvlJc w:val="left"/>
      <w:pPr>
        <w:ind w:left="5755" w:hanging="536"/>
      </w:pPr>
      <w:rPr>
        <w:rFonts w:hint="default"/>
      </w:rPr>
    </w:lvl>
    <w:lvl w:ilvl="6">
      <w:start w:val="0"/>
      <w:numFmt w:val="bullet"/>
      <w:lvlText w:val="•"/>
      <w:lvlJc w:val="left"/>
      <w:pPr>
        <w:ind w:left="6734" w:hanging="536"/>
      </w:pPr>
      <w:rPr>
        <w:rFonts w:hint="default"/>
      </w:rPr>
    </w:lvl>
    <w:lvl w:ilvl="7">
      <w:start w:val="0"/>
      <w:numFmt w:val="bullet"/>
      <w:lvlText w:val="•"/>
      <w:lvlJc w:val="left"/>
      <w:pPr>
        <w:ind w:left="7713" w:hanging="536"/>
      </w:pPr>
      <w:rPr>
        <w:rFonts w:hint="default"/>
      </w:rPr>
    </w:lvl>
    <w:lvl w:ilvl="8">
      <w:start w:val="0"/>
      <w:numFmt w:val="bullet"/>
      <w:lvlText w:val="•"/>
      <w:lvlJc w:val="left"/>
      <w:pPr>
        <w:ind w:left="8692" w:hanging="536"/>
      </w:pPr>
      <w:rPr>
        <w:rFonts w:hint="default"/>
      </w:rPr>
    </w:lvl>
  </w:abstractNum>
  <w:abstractNum w:abstractNumId="35">
    <w:multiLevelType w:val="hybridMultilevel"/>
    <w:lvl w:ilvl="0">
      <w:start w:val="13"/>
      <w:numFmt w:val="decimal"/>
      <w:lvlText w:val="%1"/>
      <w:lvlJc w:val="left"/>
      <w:pPr>
        <w:ind w:left="618" w:hanging="142"/>
        <w:jc w:val="right"/>
      </w:pPr>
      <w:rPr>
        <w:rFonts w:hint="default"/>
        <w:b/>
        <w:bCs/>
        <w:spacing w:val="-1"/>
        <w:w w:val="100"/>
      </w:rPr>
    </w:lvl>
    <w:lvl w:ilvl="1">
      <w:start w:val="0"/>
      <w:numFmt w:val="bullet"/>
      <w:lvlText w:val="•"/>
      <w:lvlJc w:val="left"/>
      <w:pPr>
        <w:ind w:left="1623" w:hanging="142"/>
      </w:pPr>
      <w:rPr>
        <w:rFonts w:hint="default"/>
      </w:rPr>
    </w:lvl>
    <w:lvl w:ilvl="2">
      <w:start w:val="0"/>
      <w:numFmt w:val="bullet"/>
      <w:lvlText w:val="•"/>
      <w:lvlJc w:val="left"/>
      <w:pPr>
        <w:ind w:left="2626" w:hanging="142"/>
      </w:pPr>
      <w:rPr>
        <w:rFonts w:hint="default"/>
      </w:rPr>
    </w:lvl>
    <w:lvl w:ilvl="3">
      <w:start w:val="0"/>
      <w:numFmt w:val="bullet"/>
      <w:lvlText w:val="•"/>
      <w:lvlJc w:val="left"/>
      <w:pPr>
        <w:ind w:left="3629" w:hanging="142"/>
      </w:pPr>
      <w:rPr>
        <w:rFonts w:hint="default"/>
      </w:rPr>
    </w:lvl>
    <w:lvl w:ilvl="4">
      <w:start w:val="0"/>
      <w:numFmt w:val="bullet"/>
      <w:lvlText w:val="•"/>
      <w:lvlJc w:val="left"/>
      <w:pPr>
        <w:ind w:left="4632" w:hanging="142"/>
      </w:pPr>
      <w:rPr>
        <w:rFonts w:hint="default"/>
      </w:rPr>
    </w:lvl>
    <w:lvl w:ilvl="5">
      <w:start w:val="0"/>
      <w:numFmt w:val="bullet"/>
      <w:lvlText w:val="•"/>
      <w:lvlJc w:val="left"/>
      <w:pPr>
        <w:ind w:left="5635" w:hanging="142"/>
      </w:pPr>
      <w:rPr>
        <w:rFonts w:hint="default"/>
      </w:rPr>
    </w:lvl>
    <w:lvl w:ilvl="6">
      <w:start w:val="0"/>
      <w:numFmt w:val="bullet"/>
      <w:lvlText w:val="•"/>
      <w:lvlJc w:val="left"/>
      <w:pPr>
        <w:ind w:left="6638" w:hanging="142"/>
      </w:pPr>
      <w:rPr>
        <w:rFonts w:hint="default"/>
      </w:rPr>
    </w:lvl>
    <w:lvl w:ilvl="7">
      <w:start w:val="0"/>
      <w:numFmt w:val="bullet"/>
      <w:lvlText w:val="•"/>
      <w:lvlJc w:val="left"/>
      <w:pPr>
        <w:ind w:left="7641" w:hanging="142"/>
      </w:pPr>
      <w:rPr>
        <w:rFonts w:hint="default"/>
      </w:rPr>
    </w:lvl>
    <w:lvl w:ilvl="8">
      <w:start w:val="0"/>
      <w:numFmt w:val="bullet"/>
      <w:lvlText w:val="•"/>
      <w:lvlJc w:val="left"/>
      <w:pPr>
        <w:ind w:left="8644" w:hanging="142"/>
      </w:pPr>
      <w:rPr>
        <w:rFonts w:hint="default"/>
      </w:rPr>
    </w:lvl>
  </w:abstractNum>
  <w:abstractNum w:abstractNumId="34">
    <w:multiLevelType w:val="hybridMultilevel"/>
    <w:lvl w:ilvl="0">
      <w:start w:val="11"/>
      <w:numFmt w:val="decimal"/>
      <w:lvlText w:val="%1"/>
      <w:lvlJc w:val="left"/>
      <w:pPr>
        <w:ind w:left="536" w:hanging="219"/>
        <w:jc w:val="left"/>
      </w:pPr>
      <w:rPr>
        <w:rFonts w:hint="default" w:ascii="Arial" w:hAnsi="Arial" w:eastAsia="Arial" w:cs="Arial"/>
        <w:b/>
        <w:bCs/>
        <w:spacing w:val="-1"/>
        <w:w w:val="100"/>
        <w:sz w:val="15"/>
        <w:szCs w:val="15"/>
      </w:rPr>
    </w:lvl>
    <w:lvl w:ilvl="1">
      <w:start w:val="1"/>
      <w:numFmt w:val="decimal"/>
      <w:lvlText w:val="%1.%2"/>
      <w:lvlJc w:val="left"/>
      <w:pPr>
        <w:ind w:left="666" w:hanging="348"/>
        <w:jc w:val="left"/>
      </w:pPr>
      <w:rPr>
        <w:rFonts w:hint="default" w:ascii="Arial" w:hAnsi="Arial" w:eastAsia="Arial" w:cs="Arial"/>
        <w:b/>
        <w:bCs/>
        <w:spacing w:val="-1"/>
        <w:w w:val="100"/>
        <w:sz w:val="15"/>
        <w:szCs w:val="15"/>
      </w:rPr>
    </w:lvl>
    <w:lvl w:ilvl="2">
      <w:start w:val="1"/>
      <w:numFmt w:val="decimal"/>
      <w:lvlText w:val="%1.%2.%3"/>
      <w:lvlJc w:val="left"/>
      <w:pPr>
        <w:ind w:left="796" w:hanging="478"/>
        <w:jc w:val="left"/>
      </w:pPr>
      <w:rPr>
        <w:rFonts w:hint="default" w:ascii="Arial" w:hAnsi="Arial" w:eastAsia="Arial" w:cs="Arial"/>
        <w:b/>
        <w:bCs/>
        <w:spacing w:val="-1"/>
        <w:w w:val="100"/>
        <w:sz w:val="15"/>
        <w:szCs w:val="15"/>
      </w:rPr>
    </w:lvl>
    <w:lvl w:ilvl="3">
      <w:start w:val="0"/>
      <w:numFmt w:val="bullet"/>
      <w:lvlText w:val="•"/>
      <w:lvlJc w:val="left"/>
      <w:pPr>
        <w:ind w:left="2031" w:hanging="478"/>
      </w:pPr>
      <w:rPr>
        <w:rFonts w:hint="default"/>
      </w:rPr>
    </w:lvl>
    <w:lvl w:ilvl="4">
      <w:start w:val="0"/>
      <w:numFmt w:val="bullet"/>
      <w:lvlText w:val="•"/>
      <w:lvlJc w:val="left"/>
      <w:pPr>
        <w:ind w:left="3262" w:hanging="478"/>
      </w:pPr>
      <w:rPr>
        <w:rFonts w:hint="default"/>
      </w:rPr>
    </w:lvl>
    <w:lvl w:ilvl="5">
      <w:start w:val="0"/>
      <w:numFmt w:val="bullet"/>
      <w:lvlText w:val="•"/>
      <w:lvlJc w:val="left"/>
      <w:pPr>
        <w:ind w:left="4494" w:hanging="478"/>
      </w:pPr>
      <w:rPr>
        <w:rFonts w:hint="default"/>
      </w:rPr>
    </w:lvl>
    <w:lvl w:ilvl="6">
      <w:start w:val="0"/>
      <w:numFmt w:val="bullet"/>
      <w:lvlText w:val="•"/>
      <w:lvlJc w:val="left"/>
      <w:pPr>
        <w:ind w:left="5725" w:hanging="478"/>
      </w:pPr>
      <w:rPr>
        <w:rFonts w:hint="default"/>
      </w:rPr>
    </w:lvl>
    <w:lvl w:ilvl="7">
      <w:start w:val="0"/>
      <w:numFmt w:val="bullet"/>
      <w:lvlText w:val="•"/>
      <w:lvlJc w:val="left"/>
      <w:pPr>
        <w:ind w:left="6957" w:hanging="478"/>
      </w:pPr>
      <w:rPr>
        <w:rFonts w:hint="default"/>
      </w:rPr>
    </w:lvl>
    <w:lvl w:ilvl="8">
      <w:start w:val="0"/>
      <w:numFmt w:val="bullet"/>
      <w:lvlText w:val="•"/>
      <w:lvlJc w:val="left"/>
      <w:pPr>
        <w:ind w:left="8188" w:hanging="478"/>
      </w:pPr>
      <w:rPr>
        <w:rFonts w:hint="default"/>
      </w:rPr>
    </w:lvl>
  </w:abstractNum>
  <w:abstractNum w:abstractNumId="33">
    <w:multiLevelType w:val="hybridMultilevel"/>
    <w:lvl w:ilvl="0">
      <w:start w:val="0"/>
      <w:numFmt w:val="bullet"/>
      <w:lvlText w:val="-"/>
      <w:lvlJc w:val="left"/>
      <w:pPr>
        <w:ind w:left="928" w:hanging="89"/>
      </w:pPr>
      <w:rPr>
        <w:rFonts w:hint="default" w:ascii="Arial" w:hAnsi="Arial" w:eastAsia="Arial" w:cs="Arial"/>
        <w:w w:val="99"/>
        <w:sz w:val="14"/>
        <w:szCs w:val="14"/>
      </w:rPr>
    </w:lvl>
    <w:lvl w:ilvl="1">
      <w:start w:val="0"/>
      <w:numFmt w:val="bullet"/>
      <w:lvlText w:val="•"/>
      <w:lvlJc w:val="left"/>
      <w:pPr>
        <w:ind w:left="1893" w:hanging="89"/>
      </w:pPr>
      <w:rPr>
        <w:rFonts w:hint="default"/>
      </w:rPr>
    </w:lvl>
    <w:lvl w:ilvl="2">
      <w:start w:val="0"/>
      <w:numFmt w:val="bullet"/>
      <w:lvlText w:val="•"/>
      <w:lvlJc w:val="left"/>
      <w:pPr>
        <w:ind w:left="2866" w:hanging="89"/>
      </w:pPr>
      <w:rPr>
        <w:rFonts w:hint="default"/>
      </w:rPr>
    </w:lvl>
    <w:lvl w:ilvl="3">
      <w:start w:val="0"/>
      <w:numFmt w:val="bullet"/>
      <w:lvlText w:val="•"/>
      <w:lvlJc w:val="left"/>
      <w:pPr>
        <w:ind w:left="3839" w:hanging="89"/>
      </w:pPr>
      <w:rPr>
        <w:rFonts w:hint="default"/>
      </w:rPr>
    </w:lvl>
    <w:lvl w:ilvl="4">
      <w:start w:val="0"/>
      <w:numFmt w:val="bullet"/>
      <w:lvlText w:val="•"/>
      <w:lvlJc w:val="left"/>
      <w:pPr>
        <w:ind w:left="4812" w:hanging="89"/>
      </w:pPr>
      <w:rPr>
        <w:rFonts w:hint="default"/>
      </w:rPr>
    </w:lvl>
    <w:lvl w:ilvl="5">
      <w:start w:val="0"/>
      <w:numFmt w:val="bullet"/>
      <w:lvlText w:val="•"/>
      <w:lvlJc w:val="left"/>
      <w:pPr>
        <w:ind w:left="5785" w:hanging="89"/>
      </w:pPr>
      <w:rPr>
        <w:rFonts w:hint="default"/>
      </w:rPr>
    </w:lvl>
    <w:lvl w:ilvl="6">
      <w:start w:val="0"/>
      <w:numFmt w:val="bullet"/>
      <w:lvlText w:val="•"/>
      <w:lvlJc w:val="left"/>
      <w:pPr>
        <w:ind w:left="6758" w:hanging="89"/>
      </w:pPr>
      <w:rPr>
        <w:rFonts w:hint="default"/>
      </w:rPr>
    </w:lvl>
    <w:lvl w:ilvl="7">
      <w:start w:val="0"/>
      <w:numFmt w:val="bullet"/>
      <w:lvlText w:val="•"/>
      <w:lvlJc w:val="left"/>
      <w:pPr>
        <w:ind w:left="7731" w:hanging="89"/>
      </w:pPr>
      <w:rPr>
        <w:rFonts w:hint="default"/>
      </w:rPr>
    </w:lvl>
    <w:lvl w:ilvl="8">
      <w:start w:val="0"/>
      <w:numFmt w:val="bullet"/>
      <w:lvlText w:val="•"/>
      <w:lvlJc w:val="left"/>
      <w:pPr>
        <w:ind w:left="8704" w:hanging="89"/>
      </w:pPr>
      <w:rPr>
        <w:rFonts w:hint="default"/>
      </w:rPr>
    </w:lvl>
  </w:abstractNum>
  <w:abstractNum w:abstractNumId="32">
    <w:multiLevelType w:val="hybridMultilevel"/>
    <w:lvl w:ilvl="0">
      <w:start w:val="8"/>
      <w:numFmt w:val="decimal"/>
      <w:lvlText w:val="%1"/>
      <w:lvlJc w:val="left"/>
      <w:pPr>
        <w:ind w:left="848" w:hanging="173"/>
        <w:jc w:val="left"/>
      </w:pPr>
      <w:rPr>
        <w:rFonts w:hint="default"/>
      </w:rPr>
    </w:lvl>
    <w:lvl w:ilvl="1">
      <w:start w:val="1"/>
      <w:numFmt w:val="decimal"/>
      <w:lvlText w:val="%1.%2"/>
      <w:lvlJc w:val="left"/>
      <w:pPr>
        <w:ind w:left="848" w:hanging="173"/>
        <w:jc w:val="left"/>
      </w:pPr>
      <w:rPr>
        <w:rFonts w:hint="default" w:ascii="Arial" w:hAnsi="Arial" w:eastAsia="Arial" w:cs="Arial"/>
        <w:b/>
        <w:bCs/>
        <w:spacing w:val="-1"/>
        <w:w w:val="100"/>
        <w:sz w:val="10"/>
        <w:szCs w:val="10"/>
      </w:rPr>
    </w:lvl>
    <w:lvl w:ilvl="2">
      <w:start w:val="0"/>
      <w:numFmt w:val="bullet"/>
      <w:lvlText w:val="•"/>
      <w:lvlJc w:val="left"/>
      <w:pPr>
        <w:ind w:left="2802" w:hanging="173"/>
      </w:pPr>
      <w:rPr>
        <w:rFonts w:hint="default"/>
      </w:rPr>
    </w:lvl>
    <w:lvl w:ilvl="3">
      <w:start w:val="0"/>
      <w:numFmt w:val="bullet"/>
      <w:lvlText w:val="•"/>
      <w:lvlJc w:val="left"/>
      <w:pPr>
        <w:ind w:left="3783" w:hanging="173"/>
      </w:pPr>
      <w:rPr>
        <w:rFonts w:hint="default"/>
      </w:rPr>
    </w:lvl>
    <w:lvl w:ilvl="4">
      <w:start w:val="0"/>
      <w:numFmt w:val="bullet"/>
      <w:lvlText w:val="•"/>
      <w:lvlJc w:val="left"/>
      <w:pPr>
        <w:ind w:left="4764" w:hanging="173"/>
      </w:pPr>
      <w:rPr>
        <w:rFonts w:hint="default"/>
      </w:rPr>
    </w:lvl>
    <w:lvl w:ilvl="5">
      <w:start w:val="0"/>
      <w:numFmt w:val="bullet"/>
      <w:lvlText w:val="•"/>
      <w:lvlJc w:val="left"/>
      <w:pPr>
        <w:ind w:left="5745" w:hanging="173"/>
      </w:pPr>
      <w:rPr>
        <w:rFonts w:hint="default"/>
      </w:rPr>
    </w:lvl>
    <w:lvl w:ilvl="6">
      <w:start w:val="0"/>
      <w:numFmt w:val="bullet"/>
      <w:lvlText w:val="•"/>
      <w:lvlJc w:val="left"/>
      <w:pPr>
        <w:ind w:left="6726" w:hanging="173"/>
      </w:pPr>
      <w:rPr>
        <w:rFonts w:hint="default"/>
      </w:rPr>
    </w:lvl>
    <w:lvl w:ilvl="7">
      <w:start w:val="0"/>
      <w:numFmt w:val="bullet"/>
      <w:lvlText w:val="•"/>
      <w:lvlJc w:val="left"/>
      <w:pPr>
        <w:ind w:left="7707" w:hanging="173"/>
      </w:pPr>
      <w:rPr>
        <w:rFonts w:hint="default"/>
      </w:rPr>
    </w:lvl>
    <w:lvl w:ilvl="8">
      <w:start w:val="0"/>
      <w:numFmt w:val="bullet"/>
      <w:lvlText w:val="•"/>
      <w:lvlJc w:val="left"/>
      <w:pPr>
        <w:ind w:left="8688" w:hanging="173"/>
      </w:pPr>
      <w:rPr>
        <w:rFonts w:hint="default"/>
      </w:rPr>
    </w:lvl>
  </w:abstractNum>
  <w:abstractNum w:abstractNumId="31">
    <w:multiLevelType w:val="hybridMultilevel"/>
    <w:lvl w:ilvl="0">
      <w:start w:val="7"/>
      <w:numFmt w:val="decimal"/>
      <w:lvlText w:val="%1."/>
      <w:lvlJc w:val="left"/>
      <w:pPr>
        <w:ind w:left="428" w:hanging="118"/>
        <w:jc w:val="left"/>
      </w:pPr>
      <w:rPr>
        <w:rFonts w:hint="default" w:ascii="Arial" w:hAnsi="Arial" w:eastAsia="Arial" w:cs="Arial"/>
        <w:b/>
        <w:bCs/>
        <w:spacing w:val="-2"/>
        <w:w w:val="105"/>
        <w:sz w:val="10"/>
        <w:szCs w:val="10"/>
      </w:rPr>
    </w:lvl>
    <w:lvl w:ilvl="1">
      <w:start w:val="1"/>
      <w:numFmt w:val="decimal"/>
      <w:lvlText w:val="%1.%2"/>
      <w:lvlJc w:val="left"/>
      <w:pPr>
        <w:ind w:left="486" w:hanging="176"/>
        <w:jc w:val="left"/>
      </w:pPr>
      <w:rPr>
        <w:rFonts w:hint="default" w:ascii="Arial" w:hAnsi="Arial" w:eastAsia="Arial" w:cs="Arial"/>
        <w:b/>
        <w:bCs/>
        <w:spacing w:val="-2"/>
        <w:w w:val="105"/>
        <w:sz w:val="10"/>
        <w:szCs w:val="10"/>
      </w:rPr>
    </w:lvl>
    <w:lvl w:ilvl="2">
      <w:start w:val="0"/>
      <w:numFmt w:val="bullet"/>
      <w:lvlText w:val="•"/>
      <w:lvlJc w:val="left"/>
      <w:pPr>
        <w:ind w:left="1610" w:hanging="176"/>
      </w:pPr>
      <w:rPr>
        <w:rFonts w:hint="default"/>
      </w:rPr>
    </w:lvl>
    <w:lvl w:ilvl="3">
      <w:start w:val="0"/>
      <w:numFmt w:val="bullet"/>
      <w:lvlText w:val="•"/>
      <w:lvlJc w:val="left"/>
      <w:pPr>
        <w:ind w:left="2740" w:hanging="176"/>
      </w:pPr>
      <w:rPr>
        <w:rFonts w:hint="default"/>
      </w:rPr>
    </w:lvl>
    <w:lvl w:ilvl="4">
      <w:start w:val="0"/>
      <w:numFmt w:val="bullet"/>
      <w:lvlText w:val="•"/>
      <w:lvlJc w:val="left"/>
      <w:pPr>
        <w:ind w:left="3870" w:hanging="176"/>
      </w:pPr>
      <w:rPr>
        <w:rFonts w:hint="default"/>
      </w:rPr>
    </w:lvl>
    <w:lvl w:ilvl="5">
      <w:start w:val="0"/>
      <w:numFmt w:val="bullet"/>
      <w:lvlText w:val="•"/>
      <w:lvlJc w:val="left"/>
      <w:pPr>
        <w:ind w:left="5000" w:hanging="176"/>
      </w:pPr>
      <w:rPr>
        <w:rFonts w:hint="default"/>
      </w:rPr>
    </w:lvl>
    <w:lvl w:ilvl="6">
      <w:start w:val="0"/>
      <w:numFmt w:val="bullet"/>
      <w:lvlText w:val="•"/>
      <w:lvlJc w:val="left"/>
      <w:pPr>
        <w:ind w:left="6130" w:hanging="176"/>
      </w:pPr>
      <w:rPr>
        <w:rFonts w:hint="default"/>
      </w:rPr>
    </w:lvl>
    <w:lvl w:ilvl="7">
      <w:start w:val="0"/>
      <w:numFmt w:val="bullet"/>
      <w:lvlText w:val="•"/>
      <w:lvlJc w:val="left"/>
      <w:pPr>
        <w:ind w:left="7260" w:hanging="176"/>
      </w:pPr>
      <w:rPr>
        <w:rFonts w:hint="default"/>
      </w:rPr>
    </w:lvl>
    <w:lvl w:ilvl="8">
      <w:start w:val="0"/>
      <w:numFmt w:val="bullet"/>
      <w:lvlText w:val="•"/>
      <w:lvlJc w:val="left"/>
      <w:pPr>
        <w:ind w:left="8390" w:hanging="176"/>
      </w:pPr>
      <w:rPr>
        <w:rFonts w:hint="default"/>
      </w:rPr>
    </w:lvl>
  </w:abstractNum>
  <w:abstractNum w:abstractNumId="30">
    <w:multiLevelType w:val="hybridMultilevel"/>
    <w:lvl w:ilvl="0">
      <w:start w:val="0"/>
      <w:numFmt w:val="bullet"/>
      <w:lvlText w:val="-"/>
      <w:lvlJc w:val="left"/>
      <w:pPr>
        <w:ind w:left="654" w:hanging="80"/>
      </w:pPr>
      <w:rPr>
        <w:rFonts w:hint="default" w:ascii="Arial" w:hAnsi="Arial" w:eastAsia="Arial" w:cs="Arial"/>
        <w:w w:val="104"/>
        <w:sz w:val="12"/>
        <w:szCs w:val="12"/>
      </w:rPr>
    </w:lvl>
    <w:lvl w:ilvl="1">
      <w:start w:val="0"/>
      <w:numFmt w:val="bullet"/>
      <w:lvlText w:val="•"/>
      <w:lvlJc w:val="left"/>
      <w:pPr>
        <w:ind w:left="1659" w:hanging="80"/>
      </w:pPr>
      <w:rPr>
        <w:rFonts w:hint="default"/>
      </w:rPr>
    </w:lvl>
    <w:lvl w:ilvl="2">
      <w:start w:val="0"/>
      <w:numFmt w:val="bullet"/>
      <w:lvlText w:val="•"/>
      <w:lvlJc w:val="left"/>
      <w:pPr>
        <w:ind w:left="2658" w:hanging="80"/>
      </w:pPr>
      <w:rPr>
        <w:rFonts w:hint="default"/>
      </w:rPr>
    </w:lvl>
    <w:lvl w:ilvl="3">
      <w:start w:val="0"/>
      <w:numFmt w:val="bullet"/>
      <w:lvlText w:val="•"/>
      <w:lvlJc w:val="left"/>
      <w:pPr>
        <w:ind w:left="3657" w:hanging="80"/>
      </w:pPr>
      <w:rPr>
        <w:rFonts w:hint="default"/>
      </w:rPr>
    </w:lvl>
    <w:lvl w:ilvl="4">
      <w:start w:val="0"/>
      <w:numFmt w:val="bullet"/>
      <w:lvlText w:val="•"/>
      <w:lvlJc w:val="left"/>
      <w:pPr>
        <w:ind w:left="4656" w:hanging="80"/>
      </w:pPr>
      <w:rPr>
        <w:rFonts w:hint="default"/>
      </w:rPr>
    </w:lvl>
    <w:lvl w:ilvl="5">
      <w:start w:val="0"/>
      <w:numFmt w:val="bullet"/>
      <w:lvlText w:val="•"/>
      <w:lvlJc w:val="left"/>
      <w:pPr>
        <w:ind w:left="5655" w:hanging="80"/>
      </w:pPr>
      <w:rPr>
        <w:rFonts w:hint="default"/>
      </w:rPr>
    </w:lvl>
    <w:lvl w:ilvl="6">
      <w:start w:val="0"/>
      <w:numFmt w:val="bullet"/>
      <w:lvlText w:val="•"/>
      <w:lvlJc w:val="left"/>
      <w:pPr>
        <w:ind w:left="6654" w:hanging="80"/>
      </w:pPr>
      <w:rPr>
        <w:rFonts w:hint="default"/>
      </w:rPr>
    </w:lvl>
    <w:lvl w:ilvl="7">
      <w:start w:val="0"/>
      <w:numFmt w:val="bullet"/>
      <w:lvlText w:val="•"/>
      <w:lvlJc w:val="left"/>
      <w:pPr>
        <w:ind w:left="7653" w:hanging="80"/>
      </w:pPr>
      <w:rPr>
        <w:rFonts w:hint="default"/>
      </w:rPr>
    </w:lvl>
    <w:lvl w:ilvl="8">
      <w:start w:val="0"/>
      <w:numFmt w:val="bullet"/>
      <w:lvlText w:val="•"/>
      <w:lvlJc w:val="left"/>
      <w:pPr>
        <w:ind w:left="8652" w:hanging="80"/>
      </w:pPr>
      <w:rPr>
        <w:rFonts w:hint="default"/>
      </w:rPr>
    </w:lvl>
  </w:abstractNum>
  <w:abstractNum w:abstractNumId="29">
    <w:multiLevelType w:val="hybridMultilevel"/>
    <w:lvl w:ilvl="0">
      <w:start w:val="0"/>
      <w:numFmt w:val="bullet"/>
      <w:lvlText w:val="·"/>
      <w:lvlJc w:val="left"/>
      <w:pPr>
        <w:ind w:left="706" w:hanging="404"/>
      </w:pPr>
      <w:rPr>
        <w:rFonts w:hint="default" w:ascii="Arial" w:hAnsi="Arial" w:eastAsia="Arial" w:cs="Arial"/>
        <w:w w:val="104"/>
        <w:sz w:val="12"/>
        <w:szCs w:val="12"/>
      </w:rPr>
    </w:lvl>
    <w:lvl w:ilvl="1">
      <w:start w:val="0"/>
      <w:numFmt w:val="bullet"/>
      <w:lvlText w:val="•"/>
      <w:lvlJc w:val="left"/>
      <w:pPr>
        <w:ind w:left="1096" w:hanging="404"/>
      </w:pPr>
      <w:rPr>
        <w:rFonts w:hint="default"/>
      </w:rPr>
    </w:lvl>
    <w:lvl w:ilvl="2">
      <w:start w:val="0"/>
      <w:numFmt w:val="bullet"/>
      <w:lvlText w:val="•"/>
      <w:lvlJc w:val="left"/>
      <w:pPr>
        <w:ind w:left="1493" w:hanging="404"/>
      </w:pPr>
      <w:rPr>
        <w:rFonts w:hint="default"/>
      </w:rPr>
    </w:lvl>
    <w:lvl w:ilvl="3">
      <w:start w:val="0"/>
      <w:numFmt w:val="bullet"/>
      <w:lvlText w:val="•"/>
      <w:lvlJc w:val="left"/>
      <w:pPr>
        <w:ind w:left="1889" w:hanging="404"/>
      </w:pPr>
      <w:rPr>
        <w:rFonts w:hint="default"/>
      </w:rPr>
    </w:lvl>
    <w:lvl w:ilvl="4">
      <w:start w:val="0"/>
      <w:numFmt w:val="bullet"/>
      <w:lvlText w:val="•"/>
      <w:lvlJc w:val="left"/>
      <w:pPr>
        <w:ind w:left="2286" w:hanging="404"/>
      </w:pPr>
      <w:rPr>
        <w:rFonts w:hint="default"/>
      </w:rPr>
    </w:lvl>
    <w:lvl w:ilvl="5">
      <w:start w:val="0"/>
      <w:numFmt w:val="bullet"/>
      <w:lvlText w:val="•"/>
      <w:lvlJc w:val="left"/>
      <w:pPr>
        <w:ind w:left="2683" w:hanging="404"/>
      </w:pPr>
      <w:rPr>
        <w:rFonts w:hint="default"/>
      </w:rPr>
    </w:lvl>
    <w:lvl w:ilvl="6">
      <w:start w:val="0"/>
      <w:numFmt w:val="bullet"/>
      <w:lvlText w:val="•"/>
      <w:lvlJc w:val="left"/>
      <w:pPr>
        <w:ind w:left="3079" w:hanging="404"/>
      </w:pPr>
      <w:rPr>
        <w:rFonts w:hint="default"/>
      </w:rPr>
    </w:lvl>
    <w:lvl w:ilvl="7">
      <w:start w:val="0"/>
      <w:numFmt w:val="bullet"/>
      <w:lvlText w:val="•"/>
      <w:lvlJc w:val="left"/>
      <w:pPr>
        <w:ind w:left="3476" w:hanging="404"/>
      </w:pPr>
      <w:rPr>
        <w:rFonts w:hint="default"/>
      </w:rPr>
    </w:lvl>
    <w:lvl w:ilvl="8">
      <w:start w:val="0"/>
      <w:numFmt w:val="bullet"/>
      <w:lvlText w:val="•"/>
      <w:lvlJc w:val="left"/>
      <w:pPr>
        <w:ind w:left="3872" w:hanging="404"/>
      </w:pPr>
      <w:rPr>
        <w:rFonts w:hint="default"/>
      </w:rPr>
    </w:lvl>
  </w:abstractNum>
  <w:abstractNum w:abstractNumId="28">
    <w:multiLevelType w:val="hybridMultilevel"/>
    <w:lvl w:ilvl="0">
      <w:start w:val="0"/>
      <w:numFmt w:val="bullet"/>
      <w:lvlText w:val="·"/>
      <w:lvlJc w:val="left"/>
      <w:pPr>
        <w:ind w:left="706" w:hanging="404"/>
      </w:pPr>
      <w:rPr>
        <w:rFonts w:hint="default" w:ascii="Arial" w:hAnsi="Arial" w:eastAsia="Arial" w:cs="Arial"/>
        <w:w w:val="104"/>
        <w:sz w:val="12"/>
        <w:szCs w:val="12"/>
      </w:rPr>
    </w:lvl>
    <w:lvl w:ilvl="1">
      <w:start w:val="0"/>
      <w:numFmt w:val="bullet"/>
      <w:lvlText w:val="•"/>
      <w:lvlJc w:val="left"/>
      <w:pPr>
        <w:ind w:left="1096" w:hanging="404"/>
      </w:pPr>
      <w:rPr>
        <w:rFonts w:hint="default"/>
      </w:rPr>
    </w:lvl>
    <w:lvl w:ilvl="2">
      <w:start w:val="0"/>
      <w:numFmt w:val="bullet"/>
      <w:lvlText w:val="•"/>
      <w:lvlJc w:val="left"/>
      <w:pPr>
        <w:ind w:left="1493" w:hanging="404"/>
      </w:pPr>
      <w:rPr>
        <w:rFonts w:hint="default"/>
      </w:rPr>
    </w:lvl>
    <w:lvl w:ilvl="3">
      <w:start w:val="0"/>
      <w:numFmt w:val="bullet"/>
      <w:lvlText w:val="•"/>
      <w:lvlJc w:val="left"/>
      <w:pPr>
        <w:ind w:left="1889" w:hanging="404"/>
      </w:pPr>
      <w:rPr>
        <w:rFonts w:hint="default"/>
      </w:rPr>
    </w:lvl>
    <w:lvl w:ilvl="4">
      <w:start w:val="0"/>
      <w:numFmt w:val="bullet"/>
      <w:lvlText w:val="•"/>
      <w:lvlJc w:val="left"/>
      <w:pPr>
        <w:ind w:left="2286" w:hanging="404"/>
      </w:pPr>
      <w:rPr>
        <w:rFonts w:hint="default"/>
      </w:rPr>
    </w:lvl>
    <w:lvl w:ilvl="5">
      <w:start w:val="0"/>
      <w:numFmt w:val="bullet"/>
      <w:lvlText w:val="•"/>
      <w:lvlJc w:val="left"/>
      <w:pPr>
        <w:ind w:left="2683" w:hanging="404"/>
      </w:pPr>
      <w:rPr>
        <w:rFonts w:hint="default"/>
      </w:rPr>
    </w:lvl>
    <w:lvl w:ilvl="6">
      <w:start w:val="0"/>
      <w:numFmt w:val="bullet"/>
      <w:lvlText w:val="•"/>
      <w:lvlJc w:val="left"/>
      <w:pPr>
        <w:ind w:left="3079" w:hanging="404"/>
      </w:pPr>
      <w:rPr>
        <w:rFonts w:hint="default"/>
      </w:rPr>
    </w:lvl>
    <w:lvl w:ilvl="7">
      <w:start w:val="0"/>
      <w:numFmt w:val="bullet"/>
      <w:lvlText w:val="•"/>
      <w:lvlJc w:val="left"/>
      <w:pPr>
        <w:ind w:left="3476" w:hanging="404"/>
      </w:pPr>
      <w:rPr>
        <w:rFonts w:hint="default"/>
      </w:rPr>
    </w:lvl>
    <w:lvl w:ilvl="8">
      <w:start w:val="0"/>
      <w:numFmt w:val="bullet"/>
      <w:lvlText w:val="•"/>
      <w:lvlJc w:val="left"/>
      <w:pPr>
        <w:ind w:left="3872" w:hanging="404"/>
      </w:pPr>
      <w:rPr>
        <w:rFonts w:hint="default"/>
      </w:rPr>
    </w:lvl>
  </w:abstractNum>
  <w:abstractNum w:abstractNumId="27">
    <w:multiLevelType w:val="hybridMultilevel"/>
    <w:lvl w:ilvl="0">
      <w:start w:val="0"/>
      <w:numFmt w:val="bullet"/>
      <w:lvlText w:val="·"/>
      <w:lvlJc w:val="left"/>
      <w:pPr>
        <w:ind w:left="706" w:hanging="404"/>
      </w:pPr>
      <w:rPr>
        <w:rFonts w:hint="default" w:ascii="Arial" w:hAnsi="Arial" w:eastAsia="Arial" w:cs="Arial"/>
        <w:w w:val="104"/>
        <w:sz w:val="12"/>
        <w:szCs w:val="12"/>
      </w:rPr>
    </w:lvl>
    <w:lvl w:ilvl="1">
      <w:start w:val="0"/>
      <w:numFmt w:val="bullet"/>
      <w:lvlText w:val="•"/>
      <w:lvlJc w:val="left"/>
      <w:pPr>
        <w:ind w:left="1096" w:hanging="404"/>
      </w:pPr>
      <w:rPr>
        <w:rFonts w:hint="default"/>
      </w:rPr>
    </w:lvl>
    <w:lvl w:ilvl="2">
      <w:start w:val="0"/>
      <w:numFmt w:val="bullet"/>
      <w:lvlText w:val="•"/>
      <w:lvlJc w:val="left"/>
      <w:pPr>
        <w:ind w:left="1493" w:hanging="404"/>
      </w:pPr>
      <w:rPr>
        <w:rFonts w:hint="default"/>
      </w:rPr>
    </w:lvl>
    <w:lvl w:ilvl="3">
      <w:start w:val="0"/>
      <w:numFmt w:val="bullet"/>
      <w:lvlText w:val="•"/>
      <w:lvlJc w:val="left"/>
      <w:pPr>
        <w:ind w:left="1889" w:hanging="404"/>
      </w:pPr>
      <w:rPr>
        <w:rFonts w:hint="default"/>
      </w:rPr>
    </w:lvl>
    <w:lvl w:ilvl="4">
      <w:start w:val="0"/>
      <w:numFmt w:val="bullet"/>
      <w:lvlText w:val="•"/>
      <w:lvlJc w:val="left"/>
      <w:pPr>
        <w:ind w:left="2286" w:hanging="404"/>
      </w:pPr>
      <w:rPr>
        <w:rFonts w:hint="default"/>
      </w:rPr>
    </w:lvl>
    <w:lvl w:ilvl="5">
      <w:start w:val="0"/>
      <w:numFmt w:val="bullet"/>
      <w:lvlText w:val="•"/>
      <w:lvlJc w:val="left"/>
      <w:pPr>
        <w:ind w:left="2683" w:hanging="404"/>
      </w:pPr>
      <w:rPr>
        <w:rFonts w:hint="default"/>
      </w:rPr>
    </w:lvl>
    <w:lvl w:ilvl="6">
      <w:start w:val="0"/>
      <w:numFmt w:val="bullet"/>
      <w:lvlText w:val="•"/>
      <w:lvlJc w:val="left"/>
      <w:pPr>
        <w:ind w:left="3079" w:hanging="404"/>
      </w:pPr>
      <w:rPr>
        <w:rFonts w:hint="default"/>
      </w:rPr>
    </w:lvl>
    <w:lvl w:ilvl="7">
      <w:start w:val="0"/>
      <w:numFmt w:val="bullet"/>
      <w:lvlText w:val="•"/>
      <w:lvlJc w:val="left"/>
      <w:pPr>
        <w:ind w:left="3476" w:hanging="404"/>
      </w:pPr>
      <w:rPr>
        <w:rFonts w:hint="default"/>
      </w:rPr>
    </w:lvl>
    <w:lvl w:ilvl="8">
      <w:start w:val="0"/>
      <w:numFmt w:val="bullet"/>
      <w:lvlText w:val="•"/>
      <w:lvlJc w:val="left"/>
      <w:pPr>
        <w:ind w:left="3872" w:hanging="404"/>
      </w:pPr>
      <w:rPr>
        <w:rFonts w:hint="default"/>
      </w:rPr>
    </w:lvl>
  </w:abstractNum>
  <w:abstractNum w:abstractNumId="26">
    <w:multiLevelType w:val="hybridMultilevel"/>
    <w:lvl w:ilvl="0">
      <w:start w:val="0"/>
      <w:numFmt w:val="bullet"/>
      <w:lvlText w:val="·"/>
      <w:lvlJc w:val="left"/>
      <w:pPr>
        <w:ind w:left="706" w:hanging="404"/>
      </w:pPr>
      <w:rPr>
        <w:rFonts w:hint="default" w:ascii="Arial" w:hAnsi="Arial" w:eastAsia="Arial" w:cs="Arial"/>
        <w:w w:val="104"/>
        <w:sz w:val="12"/>
        <w:szCs w:val="12"/>
      </w:rPr>
    </w:lvl>
    <w:lvl w:ilvl="1">
      <w:start w:val="0"/>
      <w:numFmt w:val="bullet"/>
      <w:lvlText w:val="•"/>
      <w:lvlJc w:val="left"/>
      <w:pPr>
        <w:ind w:left="1096" w:hanging="404"/>
      </w:pPr>
      <w:rPr>
        <w:rFonts w:hint="default"/>
      </w:rPr>
    </w:lvl>
    <w:lvl w:ilvl="2">
      <w:start w:val="0"/>
      <w:numFmt w:val="bullet"/>
      <w:lvlText w:val="•"/>
      <w:lvlJc w:val="left"/>
      <w:pPr>
        <w:ind w:left="1493" w:hanging="404"/>
      </w:pPr>
      <w:rPr>
        <w:rFonts w:hint="default"/>
      </w:rPr>
    </w:lvl>
    <w:lvl w:ilvl="3">
      <w:start w:val="0"/>
      <w:numFmt w:val="bullet"/>
      <w:lvlText w:val="•"/>
      <w:lvlJc w:val="left"/>
      <w:pPr>
        <w:ind w:left="1889" w:hanging="404"/>
      </w:pPr>
      <w:rPr>
        <w:rFonts w:hint="default"/>
      </w:rPr>
    </w:lvl>
    <w:lvl w:ilvl="4">
      <w:start w:val="0"/>
      <w:numFmt w:val="bullet"/>
      <w:lvlText w:val="•"/>
      <w:lvlJc w:val="left"/>
      <w:pPr>
        <w:ind w:left="2286" w:hanging="404"/>
      </w:pPr>
      <w:rPr>
        <w:rFonts w:hint="default"/>
      </w:rPr>
    </w:lvl>
    <w:lvl w:ilvl="5">
      <w:start w:val="0"/>
      <w:numFmt w:val="bullet"/>
      <w:lvlText w:val="•"/>
      <w:lvlJc w:val="left"/>
      <w:pPr>
        <w:ind w:left="2683" w:hanging="404"/>
      </w:pPr>
      <w:rPr>
        <w:rFonts w:hint="default"/>
      </w:rPr>
    </w:lvl>
    <w:lvl w:ilvl="6">
      <w:start w:val="0"/>
      <w:numFmt w:val="bullet"/>
      <w:lvlText w:val="•"/>
      <w:lvlJc w:val="left"/>
      <w:pPr>
        <w:ind w:left="3079" w:hanging="404"/>
      </w:pPr>
      <w:rPr>
        <w:rFonts w:hint="default"/>
      </w:rPr>
    </w:lvl>
    <w:lvl w:ilvl="7">
      <w:start w:val="0"/>
      <w:numFmt w:val="bullet"/>
      <w:lvlText w:val="•"/>
      <w:lvlJc w:val="left"/>
      <w:pPr>
        <w:ind w:left="3476" w:hanging="404"/>
      </w:pPr>
      <w:rPr>
        <w:rFonts w:hint="default"/>
      </w:rPr>
    </w:lvl>
    <w:lvl w:ilvl="8">
      <w:start w:val="0"/>
      <w:numFmt w:val="bullet"/>
      <w:lvlText w:val="•"/>
      <w:lvlJc w:val="left"/>
      <w:pPr>
        <w:ind w:left="3872" w:hanging="404"/>
      </w:pPr>
      <w:rPr>
        <w:rFonts w:hint="default"/>
      </w:rPr>
    </w:lvl>
  </w:abstractNum>
  <w:abstractNum w:abstractNumId="25">
    <w:multiLevelType w:val="hybridMultilevel"/>
    <w:lvl w:ilvl="0">
      <w:start w:val="0"/>
      <w:numFmt w:val="bullet"/>
      <w:lvlText w:val="·"/>
      <w:lvlJc w:val="left"/>
      <w:pPr>
        <w:ind w:left="706" w:hanging="404"/>
      </w:pPr>
      <w:rPr>
        <w:rFonts w:hint="default" w:ascii="Arial" w:hAnsi="Arial" w:eastAsia="Arial" w:cs="Arial"/>
        <w:w w:val="104"/>
        <w:sz w:val="12"/>
        <w:szCs w:val="12"/>
      </w:rPr>
    </w:lvl>
    <w:lvl w:ilvl="1">
      <w:start w:val="0"/>
      <w:numFmt w:val="bullet"/>
      <w:lvlText w:val="•"/>
      <w:lvlJc w:val="left"/>
      <w:pPr>
        <w:ind w:left="1096" w:hanging="404"/>
      </w:pPr>
      <w:rPr>
        <w:rFonts w:hint="default"/>
      </w:rPr>
    </w:lvl>
    <w:lvl w:ilvl="2">
      <w:start w:val="0"/>
      <w:numFmt w:val="bullet"/>
      <w:lvlText w:val="•"/>
      <w:lvlJc w:val="left"/>
      <w:pPr>
        <w:ind w:left="1493" w:hanging="404"/>
      </w:pPr>
      <w:rPr>
        <w:rFonts w:hint="default"/>
      </w:rPr>
    </w:lvl>
    <w:lvl w:ilvl="3">
      <w:start w:val="0"/>
      <w:numFmt w:val="bullet"/>
      <w:lvlText w:val="•"/>
      <w:lvlJc w:val="left"/>
      <w:pPr>
        <w:ind w:left="1889" w:hanging="404"/>
      </w:pPr>
      <w:rPr>
        <w:rFonts w:hint="default"/>
      </w:rPr>
    </w:lvl>
    <w:lvl w:ilvl="4">
      <w:start w:val="0"/>
      <w:numFmt w:val="bullet"/>
      <w:lvlText w:val="•"/>
      <w:lvlJc w:val="left"/>
      <w:pPr>
        <w:ind w:left="2286" w:hanging="404"/>
      </w:pPr>
      <w:rPr>
        <w:rFonts w:hint="default"/>
      </w:rPr>
    </w:lvl>
    <w:lvl w:ilvl="5">
      <w:start w:val="0"/>
      <w:numFmt w:val="bullet"/>
      <w:lvlText w:val="•"/>
      <w:lvlJc w:val="left"/>
      <w:pPr>
        <w:ind w:left="2683" w:hanging="404"/>
      </w:pPr>
      <w:rPr>
        <w:rFonts w:hint="default"/>
      </w:rPr>
    </w:lvl>
    <w:lvl w:ilvl="6">
      <w:start w:val="0"/>
      <w:numFmt w:val="bullet"/>
      <w:lvlText w:val="•"/>
      <w:lvlJc w:val="left"/>
      <w:pPr>
        <w:ind w:left="3079" w:hanging="404"/>
      </w:pPr>
      <w:rPr>
        <w:rFonts w:hint="default"/>
      </w:rPr>
    </w:lvl>
    <w:lvl w:ilvl="7">
      <w:start w:val="0"/>
      <w:numFmt w:val="bullet"/>
      <w:lvlText w:val="•"/>
      <w:lvlJc w:val="left"/>
      <w:pPr>
        <w:ind w:left="3476" w:hanging="404"/>
      </w:pPr>
      <w:rPr>
        <w:rFonts w:hint="default"/>
      </w:rPr>
    </w:lvl>
    <w:lvl w:ilvl="8">
      <w:start w:val="0"/>
      <w:numFmt w:val="bullet"/>
      <w:lvlText w:val="•"/>
      <w:lvlJc w:val="left"/>
      <w:pPr>
        <w:ind w:left="3872" w:hanging="404"/>
      </w:pPr>
      <w:rPr>
        <w:rFonts w:hint="default"/>
      </w:rPr>
    </w:lvl>
  </w:abstractNum>
  <w:abstractNum w:abstractNumId="24">
    <w:multiLevelType w:val="hybridMultilevel"/>
    <w:lvl w:ilvl="0">
      <w:start w:val="4"/>
      <w:numFmt w:val="decimal"/>
      <w:lvlText w:val="%1"/>
      <w:lvlJc w:val="left"/>
      <w:pPr>
        <w:ind w:left="587" w:hanging="264"/>
        <w:jc w:val="left"/>
      </w:pPr>
      <w:rPr>
        <w:rFonts w:hint="default"/>
      </w:rPr>
    </w:lvl>
    <w:lvl w:ilvl="1">
      <w:start w:val="4"/>
      <w:numFmt w:val="decimal"/>
      <w:lvlText w:val="%1.%2"/>
      <w:lvlJc w:val="left"/>
      <w:pPr>
        <w:ind w:left="587" w:hanging="264"/>
        <w:jc w:val="left"/>
      </w:pPr>
      <w:rPr>
        <w:rFonts w:hint="default" w:ascii="Arial" w:hAnsi="Arial" w:eastAsia="Arial" w:cs="Arial"/>
        <w:b/>
        <w:bCs/>
        <w:spacing w:val="-2"/>
        <w:w w:val="98"/>
        <w:sz w:val="16"/>
        <w:szCs w:val="16"/>
      </w:rPr>
    </w:lvl>
    <w:lvl w:ilvl="2">
      <w:start w:val="1"/>
      <w:numFmt w:val="decimal"/>
      <w:lvlText w:val="%1.%2.%3"/>
      <w:lvlJc w:val="left"/>
      <w:pPr>
        <w:ind w:left="719" w:hanging="399"/>
        <w:jc w:val="left"/>
      </w:pPr>
      <w:rPr>
        <w:rFonts w:hint="default" w:ascii="Arial" w:hAnsi="Arial" w:eastAsia="Arial" w:cs="Arial"/>
        <w:b/>
        <w:bCs/>
        <w:spacing w:val="-2"/>
        <w:w w:val="98"/>
        <w:sz w:val="16"/>
        <w:szCs w:val="16"/>
      </w:rPr>
    </w:lvl>
    <w:lvl w:ilvl="3">
      <w:start w:val="0"/>
      <w:numFmt w:val="bullet"/>
      <w:lvlText w:val="•"/>
      <w:lvlJc w:val="left"/>
      <w:pPr>
        <w:ind w:left="2926" w:hanging="399"/>
      </w:pPr>
      <w:rPr>
        <w:rFonts w:hint="default"/>
      </w:rPr>
    </w:lvl>
    <w:lvl w:ilvl="4">
      <w:start w:val="0"/>
      <w:numFmt w:val="bullet"/>
      <w:lvlText w:val="•"/>
      <w:lvlJc w:val="left"/>
      <w:pPr>
        <w:ind w:left="4030" w:hanging="399"/>
      </w:pPr>
      <w:rPr>
        <w:rFonts w:hint="default"/>
      </w:rPr>
    </w:lvl>
    <w:lvl w:ilvl="5">
      <w:start w:val="0"/>
      <w:numFmt w:val="bullet"/>
      <w:lvlText w:val="•"/>
      <w:lvlJc w:val="left"/>
      <w:pPr>
        <w:ind w:left="5133" w:hanging="399"/>
      </w:pPr>
      <w:rPr>
        <w:rFonts w:hint="default"/>
      </w:rPr>
    </w:lvl>
    <w:lvl w:ilvl="6">
      <w:start w:val="0"/>
      <w:numFmt w:val="bullet"/>
      <w:lvlText w:val="•"/>
      <w:lvlJc w:val="left"/>
      <w:pPr>
        <w:ind w:left="6237" w:hanging="399"/>
      </w:pPr>
      <w:rPr>
        <w:rFonts w:hint="default"/>
      </w:rPr>
    </w:lvl>
    <w:lvl w:ilvl="7">
      <w:start w:val="0"/>
      <w:numFmt w:val="bullet"/>
      <w:lvlText w:val="•"/>
      <w:lvlJc w:val="left"/>
      <w:pPr>
        <w:ind w:left="7340" w:hanging="399"/>
      </w:pPr>
      <w:rPr>
        <w:rFonts w:hint="default"/>
      </w:rPr>
    </w:lvl>
    <w:lvl w:ilvl="8">
      <w:start w:val="0"/>
      <w:numFmt w:val="bullet"/>
      <w:lvlText w:val="•"/>
      <w:lvlJc w:val="left"/>
      <w:pPr>
        <w:ind w:left="8444" w:hanging="399"/>
      </w:pPr>
      <w:rPr>
        <w:rFonts w:hint="default"/>
      </w:rPr>
    </w:lvl>
  </w:abstractNum>
  <w:abstractNum w:abstractNumId="23">
    <w:multiLevelType w:val="hybridMultilevel"/>
    <w:lvl w:ilvl="0">
      <w:start w:val="3"/>
      <w:numFmt w:val="decimal"/>
      <w:lvlText w:val="%1"/>
      <w:lvlJc w:val="left"/>
      <w:pPr>
        <w:ind w:left="736" w:hanging="159"/>
        <w:jc w:val="left"/>
      </w:pPr>
      <w:rPr>
        <w:rFonts w:hint="default"/>
      </w:rPr>
    </w:lvl>
    <w:lvl w:ilvl="1">
      <w:start w:val="1"/>
      <w:numFmt w:val="decimal"/>
      <w:lvlText w:val="%1.%2"/>
      <w:lvlJc w:val="left"/>
      <w:pPr>
        <w:ind w:left="736" w:hanging="159"/>
        <w:jc w:val="left"/>
      </w:pPr>
      <w:rPr>
        <w:rFonts w:hint="default" w:ascii="Arial" w:hAnsi="Arial" w:eastAsia="Arial" w:cs="Arial"/>
        <w:b/>
        <w:bCs/>
        <w:spacing w:val="-1"/>
        <w:w w:val="99"/>
        <w:sz w:val="8"/>
        <w:szCs w:val="8"/>
      </w:rPr>
    </w:lvl>
    <w:lvl w:ilvl="2">
      <w:start w:val="0"/>
      <w:numFmt w:val="bullet"/>
      <w:lvlText w:val="•"/>
      <w:lvlJc w:val="left"/>
      <w:pPr>
        <w:ind w:left="2722" w:hanging="159"/>
      </w:pPr>
      <w:rPr>
        <w:rFonts w:hint="default"/>
      </w:rPr>
    </w:lvl>
    <w:lvl w:ilvl="3">
      <w:start w:val="0"/>
      <w:numFmt w:val="bullet"/>
      <w:lvlText w:val="•"/>
      <w:lvlJc w:val="left"/>
      <w:pPr>
        <w:ind w:left="3713" w:hanging="159"/>
      </w:pPr>
      <w:rPr>
        <w:rFonts w:hint="default"/>
      </w:rPr>
    </w:lvl>
    <w:lvl w:ilvl="4">
      <w:start w:val="0"/>
      <w:numFmt w:val="bullet"/>
      <w:lvlText w:val="•"/>
      <w:lvlJc w:val="left"/>
      <w:pPr>
        <w:ind w:left="4704" w:hanging="159"/>
      </w:pPr>
      <w:rPr>
        <w:rFonts w:hint="default"/>
      </w:rPr>
    </w:lvl>
    <w:lvl w:ilvl="5">
      <w:start w:val="0"/>
      <w:numFmt w:val="bullet"/>
      <w:lvlText w:val="•"/>
      <w:lvlJc w:val="left"/>
      <w:pPr>
        <w:ind w:left="5695" w:hanging="159"/>
      </w:pPr>
      <w:rPr>
        <w:rFonts w:hint="default"/>
      </w:rPr>
    </w:lvl>
    <w:lvl w:ilvl="6">
      <w:start w:val="0"/>
      <w:numFmt w:val="bullet"/>
      <w:lvlText w:val="•"/>
      <w:lvlJc w:val="left"/>
      <w:pPr>
        <w:ind w:left="6686" w:hanging="159"/>
      </w:pPr>
      <w:rPr>
        <w:rFonts w:hint="default"/>
      </w:rPr>
    </w:lvl>
    <w:lvl w:ilvl="7">
      <w:start w:val="0"/>
      <w:numFmt w:val="bullet"/>
      <w:lvlText w:val="•"/>
      <w:lvlJc w:val="left"/>
      <w:pPr>
        <w:ind w:left="7677" w:hanging="159"/>
      </w:pPr>
      <w:rPr>
        <w:rFonts w:hint="default"/>
      </w:rPr>
    </w:lvl>
    <w:lvl w:ilvl="8">
      <w:start w:val="0"/>
      <w:numFmt w:val="bullet"/>
      <w:lvlText w:val="•"/>
      <w:lvlJc w:val="left"/>
      <w:pPr>
        <w:ind w:left="8668" w:hanging="159"/>
      </w:pPr>
      <w:rPr>
        <w:rFonts w:hint="default"/>
      </w:rPr>
    </w:lvl>
  </w:abstractNum>
  <w:abstractNum w:abstractNumId="22">
    <w:multiLevelType w:val="hybridMultilevel"/>
    <w:lvl w:ilvl="0">
      <w:start w:val="0"/>
      <w:numFmt w:val="bullet"/>
      <w:lvlText w:val="●"/>
      <w:lvlJc w:val="left"/>
      <w:pPr>
        <w:ind w:left="704" w:hanging="123"/>
      </w:pPr>
      <w:rPr>
        <w:rFonts w:hint="default" w:ascii="Arial" w:hAnsi="Arial" w:eastAsia="Arial" w:cs="Arial"/>
        <w:w w:val="97"/>
        <w:sz w:val="14"/>
        <w:szCs w:val="14"/>
      </w:rPr>
    </w:lvl>
    <w:lvl w:ilvl="1">
      <w:start w:val="0"/>
      <w:numFmt w:val="bullet"/>
      <w:lvlText w:val="•"/>
      <w:lvlJc w:val="left"/>
      <w:pPr>
        <w:ind w:left="1695" w:hanging="123"/>
      </w:pPr>
      <w:rPr>
        <w:rFonts w:hint="default"/>
      </w:rPr>
    </w:lvl>
    <w:lvl w:ilvl="2">
      <w:start w:val="0"/>
      <w:numFmt w:val="bullet"/>
      <w:lvlText w:val="•"/>
      <w:lvlJc w:val="left"/>
      <w:pPr>
        <w:ind w:left="2690" w:hanging="123"/>
      </w:pPr>
      <w:rPr>
        <w:rFonts w:hint="default"/>
      </w:rPr>
    </w:lvl>
    <w:lvl w:ilvl="3">
      <w:start w:val="0"/>
      <w:numFmt w:val="bullet"/>
      <w:lvlText w:val="•"/>
      <w:lvlJc w:val="left"/>
      <w:pPr>
        <w:ind w:left="3685" w:hanging="123"/>
      </w:pPr>
      <w:rPr>
        <w:rFonts w:hint="default"/>
      </w:rPr>
    </w:lvl>
    <w:lvl w:ilvl="4">
      <w:start w:val="0"/>
      <w:numFmt w:val="bullet"/>
      <w:lvlText w:val="•"/>
      <w:lvlJc w:val="left"/>
      <w:pPr>
        <w:ind w:left="4680" w:hanging="123"/>
      </w:pPr>
      <w:rPr>
        <w:rFonts w:hint="default"/>
      </w:rPr>
    </w:lvl>
    <w:lvl w:ilvl="5">
      <w:start w:val="0"/>
      <w:numFmt w:val="bullet"/>
      <w:lvlText w:val="•"/>
      <w:lvlJc w:val="left"/>
      <w:pPr>
        <w:ind w:left="5675" w:hanging="123"/>
      </w:pPr>
      <w:rPr>
        <w:rFonts w:hint="default"/>
      </w:rPr>
    </w:lvl>
    <w:lvl w:ilvl="6">
      <w:start w:val="0"/>
      <w:numFmt w:val="bullet"/>
      <w:lvlText w:val="•"/>
      <w:lvlJc w:val="left"/>
      <w:pPr>
        <w:ind w:left="6670" w:hanging="123"/>
      </w:pPr>
      <w:rPr>
        <w:rFonts w:hint="default"/>
      </w:rPr>
    </w:lvl>
    <w:lvl w:ilvl="7">
      <w:start w:val="0"/>
      <w:numFmt w:val="bullet"/>
      <w:lvlText w:val="•"/>
      <w:lvlJc w:val="left"/>
      <w:pPr>
        <w:ind w:left="7665" w:hanging="123"/>
      </w:pPr>
      <w:rPr>
        <w:rFonts w:hint="default"/>
      </w:rPr>
    </w:lvl>
    <w:lvl w:ilvl="8">
      <w:start w:val="0"/>
      <w:numFmt w:val="bullet"/>
      <w:lvlText w:val="•"/>
      <w:lvlJc w:val="left"/>
      <w:pPr>
        <w:ind w:left="8660" w:hanging="123"/>
      </w:pPr>
      <w:rPr>
        <w:rFonts w:hint="default"/>
      </w:rPr>
    </w:lvl>
  </w:abstractNum>
  <w:abstractNum w:abstractNumId="21">
    <w:multiLevelType w:val="hybridMultilevel"/>
    <w:lvl w:ilvl="0">
      <w:start w:val="0"/>
      <w:numFmt w:val="bullet"/>
      <w:lvlText w:val="*"/>
      <w:lvlJc w:val="left"/>
      <w:pPr>
        <w:ind w:left="704" w:hanging="96"/>
      </w:pPr>
      <w:rPr>
        <w:rFonts w:hint="default" w:ascii="Arial" w:hAnsi="Arial" w:eastAsia="Arial" w:cs="Arial"/>
        <w:w w:val="97"/>
        <w:sz w:val="14"/>
        <w:szCs w:val="14"/>
      </w:rPr>
    </w:lvl>
    <w:lvl w:ilvl="1">
      <w:start w:val="0"/>
      <w:numFmt w:val="bullet"/>
      <w:lvlText w:val="•"/>
      <w:lvlJc w:val="left"/>
      <w:pPr>
        <w:ind w:left="1695" w:hanging="96"/>
      </w:pPr>
      <w:rPr>
        <w:rFonts w:hint="default"/>
      </w:rPr>
    </w:lvl>
    <w:lvl w:ilvl="2">
      <w:start w:val="0"/>
      <w:numFmt w:val="bullet"/>
      <w:lvlText w:val="•"/>
      <w:lvlJc w:val="left"/>
      <w:pPr>
        <w:ind w:left="2690" w:hanging="96"/>
      </w:pPr>
      <w:rPr>
        <w:rFonts w:hint="default"/>
      </w:rPr>
    </w:lvl>
    <w:lvl w:ilvl="3">
      <w:start w:val="0"/>
      <w:numFmt w:val="bullet"/>
      <w:lvlText w:val="•"/>
      <w:lvlJc w:val="left"/>
      <w:pPr>
        <w:ind w:left="3685" w:hanging="96"/>
      </w:pPr>
      <w:rPr>
        <w:rFonts w:hint="default"/>
      </w:rPr>
    </w:lvl>
    <w:lvl w:ilvl="4">
      <w:start w:val="0"/>
      <w:numFmt w:val="bullet"/>
      <w:lvlText w:val="•"/>
      <w:lvlJc w:val="left"/>
      <w:pPr>
        <w:ind w:left="4680" w:hanging="96"/>
      </w:pPr>
      <w:rPr>
        <w:rFonts w:hint="default"/>
      </w:rPr>
    </w:lvl>
    <w:lvl w:ilvl="5">
      <w:start w:val="0"/>
      <w:numFmt w:val="bullet"/>
      <w:lvlText w:val="•"/>
      <w:lvlJc w:val="left"/>
      <w:pPr>
        <w:ind w:left="5675" w:hanging="96"/>
      </w:pPr>
      <w:rPr>
        <w:rFonts w:hint="default"/>
      </w:rPr>
    </w:lvl>
    <w:lvl w:ilvl="6">
      <w:start w:val="0"/>
      <w:numFmt w:val="bullet"/>
      <w:lvlText w:val="•"/>
      <w:lvlJc w:val="left"/>
      <w:pPr>
        <w:ind w:left="6670" w:hanging="96"/>
      </w:pPr>
      <w:rPr>
        <w:rFonts w:hint="default"/>
      </w:rPr>
    </w:lvl>
    <w:lvl w:ilvl="7">
      <w:start w:val="0"/>
      <w:numFmt w:val="bullet"/>
      <w:lvlText w:val="•"/>
      <w:lvlJc w:val="left"/>
      <w:pPr>
        <w:ind w:left="7665" w:hanging="96"/>
      </w:pPr>
      <w:rPr>
        <w:rFonts w:hint="default"/>
      </w:rPr>
    </w:lvl>
    <w:lvl w:ilvl="8">
      <w:start w:val="0"/>
      <w:numFmt w:val="bullet"/>
      <w:lvlText w:val="•"/>
      <w:lvlJc w:val="left"/>
      <w:pPr>
        <w:ind w:left="8660" w:hanging="96"/>
      </w:pPr>
      <w:rPr>
        <w:rFonts w:hint="default"/>
      </w:rPr>
    </w:lvl>
  </w:abstractNum>
  <w:abstractNum w:abstractNumId="20">
    <w:multiLevelType w:val="hybridMultilevel"/>
    <w:lvl w:ilvl="0">
      <w:start w:val="0"/>
      <w:numFmt w:val="bullet"/>
      <w:lvlText w:val="·"/>
      <w:lvlJc w:val="left"/>
      <w:pPr>
        <w:ind w:left="1326" w:hanging="624"/>
      </w:pPr>
      <w:rPr>
        <w:rFonts w:hint="default" w:ascii="Arial" w:hAnsi="Arial" w:eastAsia="Arial" w:cs="Arial"/>
        <w:w w:val="97"/>
        <w:sz w:val="14"/>
        <w:szCs w:val="14"/>
      </w:rPr>
    </w:lvl>
    <w:lvl w:ilvl="1">
      <w:start w:val="0"/>
      <w:numFmt w:val="bullet"/>
      <w:lvlText w:val="•"/>
      <w:lvlJc w:val="left"/>
      <w:pPr>
        <w:ind w:left="2253" w:hanging="624"/>
      </w:pPr>
      <w:rPr>
        <w:rFonts w:hint="default"/>
      </w:rPr>
    </w:lvl>
    <w:lvl w:ilvl="2">
      <w:start w:val="0"/>
      <w:numFmt w:val="bullet"/>
      <w:lvlText w:val="•"/>
      <w:lvlJc w:val="left"/>
      <w:pPr>
        <w:ind w:left="3186" w:hanging="624"/>
      </w:pPr>
      <w:rPr>
        <w:rFonts w:hint="default"/>
      </w:rPr>
    </w:lvl>
    <w:lvl w:ilvl="3">
      <w:start w:val="0"/>
      <w:numFmt w:val="bullet"/>
      <w:lvlText w:val="•"/>
      <w:lvlJc w:val="left"/>
      <w:pPr>
        <w:ind w:left="4119" w:hanging="624"/>
      </w:pPr>
      <w:rPr>
        <w:rFonts w:hint="default"/>
      </w:rPr>
    </w:lvl>
    <w:lvl w:ilvl="4">
      <w:start w:val="0"/>
      <w:numFmt w:val="bullet"/>
      <w:lvlText w:val="•"/>
      <w:lvlJc w:val="left"/>
      <w:pPr>
        <w:ind w:left="5052" w:hanging="624"/>
      </w:pPr>
      <w:rPr>
        <w:rFonts w:hint="default"/>
      </w:rPr>
    </w:lvl>
    <w:lvl w:ilvl="5">
      <w:start w:val="0"/>
      <w:numFmt w:val="bullet"/>
      <w:lvlText w:val="•"/>
      <w:lvlJc w:val="left"/>
      <w:pPr>
        <w:ind w:left="5985" w:hanging="624"/>
      </w:pPr>
      <w:rPr>
        <w:rFonts w:hint="default"/>
      </w:rPr>
    </w:lvl>
    <w:lvl w:ilvl="6">
      <w:start w:val="0"/>
      <w:numFmt w:val="bullet"/>
      <w:lvlText w:val="•"/>
      <w:lvlJc w:val="left"/>
      <w:pPr>
        <w:ind w:left="6918" w:hanging="624"/>
      </w:pPr>
      <w:rPr>
        <w:rFonts w:hint="default"/>
      </w:rPr>
    </w:lvl>
    <w:lvl w:ilvl="7">
      <w:start w:val="0"/>
      <w:numFmt w:val="bullet"/>
      <w:lvlText w:val="•"/>
      <w:lvlJc w:val="left"/>
      <w:pPr>
        <w:ind w:left="7851" w:hanging="624"/>
      </w:pPr>
      <w:rPr>
        <w:rFonts w:hint="default"/>
      </w:rPr>
    </w:lvl>
    <w:lvl w:ilvl="8">
      <w:start w:val="0"/>
      <w:numFmt w:val="bullet"/>
      <w:lvlText w:val="•"/>
      <w:lvlJc w:val="left"/>
      <w:pPr>
        <w:ind w:left="8784" w:hanging="624"/>
      </w:pPr>
      <w:rPr>
        <w:rFonts w:hint="default"/>
      </w:rPr>
    </w:lvl>
  </w:abstractNum>
  <w:abstractNum w:abstractNumId="19">
    <w:multiLevelType w:val="hybridMultilevel"/>
    <w:lvl w:ilvl="0">
      <w:start w:val="0"/>
      <w:numFmt w:val="bullet"/>
      <w:lvlText w:val="•"/>
      <w:lvlJc w:val="left"/>
      <w:pPr>
        <w:ind w:left="704" w:hanging="87"/>
      </w:pPr>
      <w:rPr>
        <w:rFonts w:hint="default" w:ascii="Arial" w:hAnsi="Arial" w:eastAsia="Arial" w:cs="Arial"/>
        <w:w w:val="97"/>
        <w:sz w:val="14"/>
        <w:szCs w:val="14"/>
      </w:rPr>
    </w:lvl>
    <w:lvl w:ilvl="1">
      <w:start w:val="0"/>
      <w:numFmt w:val="bullet"/>
      <w:lvlText w:val="•"/>
      <w:lvlJc w:val="left"/>
      <w:pPr>
        <w:ind w:left="1695" w:hanging="87"/>
      </w:pPr>
      <w:rPr>
        <w:rFonts w:hint="default"/>
      </w:rPr>
    </w:lvl>
    <w:lvl w:ilvl="2">
      <w:start w:val="0"/>
      <w:numFmt w:val="bullet"/>
      <w:lvlText w:val="•"/>
      <w:lvlJc w:val="left"/>
      <w:pPr>
        <w:ind w:left="2690" w:hanging="87"/>
      </w:pPr>
      <w:rPr>
        <w:rFonts w:hint="default"/>
      </w:rPr>
    </w:lvl>
    <w:lvl w:ilvl="3">
      <w:start w:val="0"/>
      <w:numFmt w:val="bullet"/>
      <w:lvlText w:val="•"/>
      <w:lvlJc w:val="left"/>
      <w:pPr>
        <w:ind w:left="3685" w:hanging="87"/>
      </w:pPr>
      <w:rPr>
        <w:rFonts w:hint="default"/>
      </w:rPr>
    </w:lvl>
    <w:lvl w:ilvl="4">
      <w:start w:val="0"/>
      <w:numFmt w:val="bullet"/>
      <w:lvlText w:val="•"/>
      <w:lvlJc w:val="left"/>
      <w:pPr>
        <w:ind w:left="4680" w:hanging="87"/>
      </w:pPr>
      <w:rPr>
        <w:rFonts w:hint="default"/>
      </w:rPr>
    </w:lvl>
    <w:lvl w:ilvl="5">
      <w:start w:val="0"/>
      <w:numFmt w:val="bullet"/>
      <w:lvlText w:val="•"/>
      <w:lvlJc w:val="left"/>
      <w:pPr>
        <w:ind w:left="5675" w:hanging="87"/>
      </w:pPr>
      <w:rPr>
        <w:rFonts w:hint="default"/>
      </w:rPr>
    </w:lvl>
    <w:lvl w:ilvl="6">
      <w:start w:val="0"/>
      <w:numFmt w:val="bullet"/>
      <w:lvlText w:val="•"/>
      <w:lvlJc w:val="left"/>
      <w:pPr>
        <w:ind w:left="6670" w:hanging="87"/>
      </w:pPr>
      <w:rPr>
        <w:rFonts w:hint="default"/>
      </w:rPr>
    </w:lvl>
    <w:lvl w:ilvl="7">
      <w:start w:val="0"/>
      <w:numFmt w:val="bullet"/>
      <w:lvlText w:val="•"/>
      <w:lvlJc w:val="left"/>
      <w:pPr>
        <w:ind w:left="7665" w:hanging="87"/>
      </w:pPr>
      <w:rPr>
        <w:rFonts w:hint="default"/>
      </w:rPr>
    </w:lvl>
    <w:lvl w:ilvl="8">
      <w:start w:val="0"/>
      <w:numFmt w:val="bullet"/>
      <w:lvlText w:val="•"/>
      <w:lvlJc w:val="left"/>
      <w:pPr>
        <w:ind w:left="8660" w:hanging="87"/>
      </w:pPr>
      <w:rPr>
        <w:rFonts w:hint="default"/>
      </w:rPr>
    </w:lvl>
  </w:abstractNum>
  <w:abstractNum w:abstractNumId="18">
    <w:multiLevelType w:val="hybridMultilevel"/>
    <w:lvl w:ilvl="0">
      <w:start w:val="1"/>
      <w:numFmt w:val="decimal"/>
      <w:lvlText w:val="%1"/>
      <w:lvlJc w:val="left"/>
      <w:pPr>
        <w:ind w:left="704" w:hanging="389"/>
        <w:jc w:val="left"/>
      </w:pPr>
      <w:rPr>
        <w:rFonts w:hint="default"/>
      </w:rPr>
    </w:lvl>
    <w:lvl w:ilvl="1">
      <w:start w:val="8"/>
      <w:numFmt w:val="decimal"/>
      <w:lvlText w:val="%1.%2"/>
      <w:lvlJc w:val="left"/>
      <w:pPr>
        <w:ind w:left="704" w:hanging="389"/>
        <w:jc w:val="left"/>
      </w:pPr>
      <w:rPr>
        <w:rFonts w:hint="default" w:ascii="Arial" w:hAnsi="Arial" w:eastAsia="Arial" w:cs="Arial"/>
        <w:b/>
        <w:bCs/>
        <w:spacing w:val="-2"/>
        <w:w w:val="97"/>
        <w:sz w:val="14"/>
        <w:szCs w:val="14"/>
      </w:rPr>
    </w:lvl>
    <w:lvl w:ilvl="2">
      <w:start w:val="1"/>
      <w:numFmt w:val="decimal"/>
      <w:lvlText w:val="%1.%2.%3"/>
      <w:lvlJc w:val="left"/>
      <w:pPr>
        <w:ind w:left="704" w:hanging="389"/>
        <w:jc w:val="left"/>
      </w:pPr>
      <w:rPr>
        <w:rFonts w:hint="default"/>
        <w:b/>
        <w:bCs/>
        <w:spacing w:val="-2"/>
        <w:w w:val="97"/>
      </w:rPr>
    </w:lvl>
    <w:lvl w:ilvl="3">
      <w:start w:val="0"/>
      <w:numFmt w:val="bullet"/>
      <w:lvlText w:val="•"/>
      <w:lvlJc w:val="left"/>
      <w:pPr>
        <w:ind w:left="3685" w:hanging="389"/>
      </w:pPr>
      <w:rPr>
        <w:rFonts w:hint="default"/>
      </w:rPr>
    </w:lvl>
    <w:lvl w:ilvl="4">
      <w:start w:val="0"/>
      <w:numFmt w:val="bullet"/>
      <w:lvlText w:val="•"/>
      <w:lvlJc w:val="left"/>
      <w:pPr>
        <w:ind w:left="4680" w:hanging="389"/>
      </w:pPr>
      <w:rPr>
        <w:rFonts w:hint="default"/>
      </w:rPr>
    </w:lvl>
    <w:lvl w:ilvl="5">
      <w:start w:val="0"/>
      <w:numFmt w:val="bullet"/>
      <w:lvlText w:val="•"/>
      <w:lvlJc w:val="left"/>
      <w:pPr>
        <w:ind w:left="5675" w:hanging="389"/>
      </w:pPr>
      <w:rPr>
        <w:rFonts w:hint="default"/>
      </w:rPr>
    </w:lvl>
    <w:lvl w:ilvl="6">
      <w:start w:val="0"/>
      <w:numFmt w:val="bullet"/>
      <w:lvlText w:val="•"/>
      <w:lvlJc w:val="left"/>
      <w:pPr>
        <w:ind w:left="6670" w:hanging="389"/>
      </w:pPr>
      <w:rPr>
        <w:rFonts w:hint="default"/>
      </w:rPr>
    </w:lvl>
    <w:lvl w:ilvl="7">
      <w:start w:val="0"/>
      <w:numFmt w:val="bullet"/>
      <w:lvlText w:val="•"/>
      <w:lvlJc w:val="left"/>
      <w:pPr>
        <w:ind w:left="7665" w:hanging="389"/>
      </w:pPr>
      <w:rPr>
        <w:rFonts w:hint="default"/>
      </w:rPr>
    </w:lvl>
    <w:lvl w:ilvl="8">
      <w:start w:val="0"/>
      <w:numFmt w:val="bullet"/>
      <w:lvlText w:val="•"/>
      <w:lvlJc w:val="left"/>
      <w:pPr>
        <w:ind w:left="8660" w:hanging="389"/>
      </w:pPr>
      <w:rPr>
        <w:rFonts w:hint="default"/>
      </w:rPr>
    </w:lvl>
  </w:abstractNum>
  <w:abstractNum w:abstractNumId="17">
    <w:multiLevelType w:val="hybridMultilevel"/>
    <w:lvl w:ilvl="0">
      <w:start w:val="1"/>
      <w:numFmt w:val="decimal"/>
      <w:lvlText w:val="%1"/>
      <w:lvlJc w:val="left"/>
      <w:pPr>
        <w:ind w:left="704" w:hanging="389"/>
        <w:jc w:val="left"/>
      </w:pPr>
      <w:rPr>
        <w:rFonts w:hint="default"/>
      </w:rPr>
    </w:lvl>
    <w:lvl w:ilvl="1">
      <w:start w:val="7"/>
      <w:numFmt w:val="decimal"/>
      <w:lvlText w:val="%1.%2"/>
      <w:lvlJc w:val="left"/>
      <w:pPr>
        <w:ind w:left="704" w:hanging="389"/>
        <w:jc w:val="left"/>
      </w:pPr>
      <w:rPr>
        <w:rFonts w:hint="default"/>
      </w:rPr>
    </w:lvl>
    <w:lvl w:ilvl="2">
      <w:start w:val="1"/>
      <w:numFmt w:val="decimal"/>
      <w:lvlText w:val="%1.%2.%3"/>
      <w:lvlJc w:val="left"/>
      <w:pPr>
        <w:ind w:left="704" w:hanging="389"/>
        <w:jc w:val="left"/>
      </w:pPr>
      <w:rPr>
        <w:rFonts w:hint="default" w:ascii="Arial" w:hAnsi="Arial" w:eastAsia="Arial" w:cs="Arial"/>
        <w:b/>
        <w:bCs/>
        <w:spacing w:val="-2"/>
        <w:w w:val="97"/>
        <w:sz w:val="14"/>
        <w:szCs w:val="14"/>
      </w:rPr>
    </w:lvl>
    <w:lvl w:ilvl="3">
      <w:start w:val="0"/>
      <w:numFmt w:val="bullet"/>
      <w:lvlText w:val="•"/>
      <w:lvlJc w:val="left"/>
      <w:pPr>
        <w:ind w:left="3685" w:hanging="389"/>
      </w:pPr>
      <w:rPr>
        <w:rFonts w:hint="default"/>
      </w:rPr>
    </w:lvl>
    <w:lvl w:ilvl="4">
      <w:start w:val="0"/>
      <w:numFmt w:val="bullet"/>
      <w:lvlText w:val="•"/>
      <w:lvlJc w:val="left"/>
      <w:pPr>
        <w:ind w:left="4680" w:hanging="389"/>
      </w:pPr>
      <w:rPr>
        <w:rFonts w:hint="default"/>
      </w:rPr>
    </w:lvl>
    <w:lvl w:ilvl="5">
      <w:start w:val="0"/>
      <w:numFmt w:val="bullet"/>
      <w:lvlText w:val="•"/>
      <w:lvlJc w:val="left"/>
      <w:pPr>
        <w:ind w:left="5675" w:hanging="389"/>
      </w:pPr>
      <w:rPr>
        <w:rFonts w:hint="default"/>
      </w:rPr>
    </w:lvl>
    <w:lvl w:ilvl="6">
      <w:start w:val="0"/>
      <w:numFmt w:val="bullet"/>
      <w:lvlText w:val="•"/>
      <w:lvlJc w:val="left"/>
      <w:pPr>
        <w:ind w:left="6670" w:hanging="389"/>
      </w:pPr>
      <w:rPr>
        <w:rFonts w:hint="default"/>
      </w:rPr>
    </w:lvl>
    <w:lvl w:ilvl="7">
      <w:start w:val="0"/>
      <w:numFmt w:val="bullet"/>
      <w:lvlText w:val="•"/>
      <w:lvlJc w:val="left"/>
      <w:pPr>
        <w:ind w:left="7665" w:hanging="389"/>
      </w:pPr>
      <w:rPr>
        <w:rFonts w:hint="default"/>
      </w:rPr>
    </w:lvl>
    <w:lvl w:ilvl="8">
      <w:start w:val="0"/>
      <w:numFmt w:val="bullet"/>
      <w:lvlText w:val="•"/>
      <w:lvlJc w:val="left"/>
      <w:pPr>
        <w:ind w:left="8660" w:hanging="389"/>
      </w:pPr>
      <w:rPr>
        <w:rFonts w:hint="default"/>
      </w:rPr>
    </w:lvl>
  </w:abstractNum>
  <w:abstractNum w:abstractNumId="16">
    <w:multiLevelType w:val="hybridMultilevel"/>
    <w:lvl w:ilvl="0">
      <w:start w:val="1"/>
      <w:numFmt w:val="decimal"/>
      <w:lvlText w:val="%1"/>
      <w:lvlJc w:val="left"/>
      <w:pPr>
        <w:ind w:left="704" w:hanging="389"/>
        <w:jc w:val="right"/>
      </w:pPr>
      <w:rPr>
        <w:rFonts w:hint="default"/>
        <w:b/>
        <w:bCs/>
        <w:w w:val="97"/>
      </w:rPr>
    </w:lvl>
    <w:lvl w:ilvl="1">
      <w:start w:val="1"/>
      <w:numFmt w:val="decimal"/>
      <w:lvlText w:val="%1.%2"/>
      <w:lvlJc w:val="left"/>
      <w:pPr>
        <w:ind w:left="704" w:hanging="389"/>
        <w:jc w:val="left"/>
      </w:pPr>
      <w:rPr>
        <w:rFonts w:hint="default" w:ascii="Arial" w:hAnsi="Arial" w:eastAsia="Arial" w:cs="Arial"/>
        <w:b/>
        <w:bCs/>
        <w:spacing w:val="-2"/>
        <w:w w:val="97"/>
        <w:sz w:val="14"/>
        <w:szCs w:val="14"/>
      </w:rPr>
    </w:lvl>
    <w:lvl w:ilvl="2">
      <w:start w:val="0"/>
      <w:numFmt w:val="bullet"/>
      <w:lvlText w:val="•"/>
      <w:lvlJc w:val="left"/>
      <w:pPr>
        <w:ind w:left="704" w:hanging="87"/>
      </w:pPr>
      <w:rPr>
        <w:rFonts w:hint="default" w:ascii="Arial" w:hAnsi="Arial" w:eastAsia="Arial" w:cs="Arial"/>
        <w:w w:val="97"/>
        <w:sz w:val="14"/>
        <w:szCs w:val="14"/>
      </w:rPr>
    </w:lvl>
    <w:lvl w:ilvl="3">
      <w:start w:val="0"/>
      <w:numFmt w:val="bullet"/>
      <w:lvlText w:val="•"/>
      <w:lvlJc w:val="left"/>
      <w:pPr>
        <w:ind w:left="3685" w:hanging="87"/>
      </w:pPr>
      <w:rPr>
        <w:rFonts w:hint="default"/>
      </w:rPr>
    </w:lvl>
    <w:lvl w:ilvl="4">
      <w:start w:val="0"/>
      <w:numFmt w:val="bullet"/>
      <w:lvlText w:val="•"/>
      <w:lvlJc w:val="left"/>
      <w:pPr>
        <w:ind w:left="4680" w:hanging="87"/>
      </w:pPr>
      <w:rPr>
        <w:rFonts w:hint="default"/>
      </w:rPr>
    </w:lvl>
    <w:lvl w:ilvl="5">
      <w:start w:val="0"/>
      <w:numFmt w:val="bullet"/>
      <w:lvlText w:val="•"/>
      <w:lvlJc w:val="left"/>
      <w:pPr>
        <w:ind w:left="5675" w:hanging="87"/>
      </w:pPr>
      <w:rPr>
        <w:rFonts w:hint="default"/>
      </w:rPr>
    </w:lvl>
    <w:lvl w:ilvl="6">
      <w:start w:val="0"/>
      <w:numFmt w:val="bullet"/>
      <w:lvlText w:val="•"/>
      <w:lvlJc w:val="left"/>
      <w:pPr>
        <w:ind w:left="6670" w:hanging="87"/>
      </w:pPr>
      <w:rPr>
        <w:rFonts w:hint="default"/>
      </w:rPr>
    </w:lvl>
    <w:lvl w:ilvl="7">
      <w:start w:val="0"/>
      <w:numFmt w:val="bullet"/>
      <w:lvlText w:val="•"/>
      <w:lvlJc w:val="left"/>
      <w:pPr>
        <w:ind w:left="7665" w:hanging="87"/>
      </w:pPr>
      <w:rPr>
        <w:rFonts w:hint="default"/>
      </w:rPr>
    </w:lvl>
    <w:lvl w:ilvl="8">
      <w:start w:val="0"/>
      <w:numFmt w:val="bullet"/>
      <w:lvlText w:val="•"/>
      <w:lvlJc w:val="left"/>
      <w:pPr>
        <w:ind w:left="8660" w:hanging="87"/>
      </w:pPr>
      <w:rPr>
        <w:rFonts w:hint="default"/>
      </w:rPr>
    </w:lvl>
  </w:abstractNum>
  <w:abstractNum w:abstractNumId="15">
    <w:multiLevelType w:val="hybridMultilevel"/>
    <w:lvl w:ilvl="0">
      <w:start w:val="0"/>
      <w:numFmt w:val="bullet"/>
      <w:lvlText w:val=""/>
      <w:lvlJc w:val="left"/>
      <w:pPr>
        <w:ind w:left="840" w:hanging="363"/>
      </w:pPr>
      <w:rPr>
        <w:rFonts w:hint="default"/>
        <w:w w:val="100"/>
      </w:rPr>
    </w:lvl>
    <w:lvl w:ilvl="1">
      <w:start w:val="0"/>
      <w:numFmt w:val="bullet"/>
      <w:lvlText w:val="•"/>
      <w:lvlJc w:val="left"/>
      <w:pPr>
        <w:ind w:left="1731" w:hanging="363"/>
      </w:pPr>
      <w:rPr>
        <w:rFonts w:hint="default"/>
      </w:rPr>
    </w:lvl>
    <w:lvl w:ilvl="2">
      <w:start w:val="0"/>
      <w:numFmt w:val="bullet"/>
      <w:lvlText w:val="•"/>
      <w:lvlJc w:val="left"/>
      <w:pPr>
        <w:ind w:left="2622" w:hanging="363"/>
      </w:pPr>
      <w:rPr>
        <w:rFonts w:hint="default"/>
      </w:rPr>
    </w:lvl>
    <w:lvl w:ilvl="3">
      <w:start w:val="0"/>
      <w:numFmt w:val="bullet"/>
      <w:lvlText w:val="•"/>
      <w:lvlJc w:val="left"/>
      <w:pPr>
        <w:ind w:left="3513" w:hanging="363"/>
      </w:pPr>
      <w:rPr>
        <w:rFonts w:hint="default"/>
      </w:rPr>
    </w:lvl>
    <w:lvl w:ilvl="4">
      <w:start w:val="0"/>
      <w:numFmt w:val="bullet"/>
      <w:lvlText w:val="•"/>
      <w:lvlJc w:val="left"/>
      <w:pPr>
        <w:ind w:left="4404" w:hanging="363"/>
      </w:pPr>
      <w:rPr>
        <w:rFonts w:hint="default"/>
      </w:rPr>
    </w:lvl>
    <w:lvl w:ilvl="5">
      <w:start w:val="0"/>
      <w:numFmt w:val="bullet"/>
      <w:lvlText w:val="•"/>
      <w:lvlJc w:val="left"/>
      <w:pPr>
        <w:ind w:left="5295" w:hanging="363"/>
      </w:pPr>
      <w:rPr>
        <w:rFonts w:hint="default"/>
      </w:rPr>
    </w:lvl>
    <w:lvl w:ilvl="6">
      <w:start w:val="0"/>
      <w:numFmt w:val="bullet"/>
      <w:lvlText w:val="•"/>
      <w:lvlJc w:val="left"/>
      <w:pPr>
        <w:ind w:left="6186" w:hanging="363"/>
      </w:pPr>
      <w:rPr>
        <w:rFonts w:hint="default"/>
      </w:rPr>
    </w:lvl>
    <w:lvl w:ilvl="7">
      <w:start w:val="0"/>
      <w:numFmt w:val="bullet"/>
      <w:lvlText w:val="•"/>
      <w:lvlJc w:val="left"/>
      <w:pPr>
        <w:ind w:left="7077" w:hanging="363"/>
      </w:pPr>
      <w:rPr>
        <w:rFonts w:hint="default"/>
      </w:rPr>
    </w:lvl>
    <w:lvl w:ilvl="8">
      <w:start w:val="0"/>
      <w:numFmt w:val="bullet"/>
      <w:lvlText w:val="•"/>
      <w:lvlJc w:val="left"/>
      <w:pPr>
        <w:ind w:left="7968" w:hanging="363"/>
      </w:pPr>
      <w:rPr>
        <w:rFonts w:hint="default"/>
      </w:rPr>
    </w:lvl>
  </w:abstractNum>
  <w:abstractNum w:abstractNumId="13">
    <w:multiLevelType w:val="hybridMultilevel"/>
    <w:lvl w:ilvl="0">
      <w:start w:val="1"/>
      <w:numFmt w:val="decimal"/>
      <w:lvlText w:val="%1)"/>
      <w:lvlJc w:val="left"/>
      <w:pPr>
        <w:ind w:left="109" w:hanging="259"/>
        <w:jc w:val="left"/>
      </w:pPr>
      <w:rPr>
        <w:rFonts w:hint="default" w:ascii="Arial" w:hAnsi="Arial" w:eastAsia="Arial" w:cs="Arial"/>
        <w:spacing w:val="-1"/>
        <w:w w:val="100"/>
        <w:sz w:val="22"/>
        <w:szCs w:val="22"/>
      </w:rPr>
    </w:lvl>
    <w:lvl w:ilvl="1">
      <w:start w:val="0"/>
      <w:numFmt w:val="bullet"/>
      <w:lvlText w:val="•"/>
      <w:lvlJc w:val="left"/>
      <w:pPr>
        <w:ind w:left="369" w:hanging="259"/>
      </w:pPr>
      <w:rPr>
        <w:rFonts w:hint="default"/>
      </w:rPr>
    </w:lvl>
    <w:lvl w:ilvl="2">
      <w:start w:val="0"/>
      <w:numFmt w:val="bullet"/>
      <w:lvlText w:val="•"/>
      <w:lvlJc w:val="left"/>
      <w:pPr>
        <w:ind w:left="638" w:hanging="259"/>
      </w:pPr>
      <w:rPr>
        <w:rFonts w:hint="default"/>
      </w:rPr>
    </w:lvl>
    <w:lvl w:ilvl="3">
      <w:start w:val="0"/>
      <w:numFmt w:val="bullet"/>
      <w:lvlText w:val="•"/>
      <w:lvlJc w:val="left"/>
      <w:pPr>
        <w:ind w:left="907" w:hanging="259"/>
      </w:pPr>
      <w:rPr>
        <w:rFonts w:hint="default"/>
      </w:rPr>
    </w:lvl>
    <w:lvl w:ilvl="4">
      <w:start w:val="0"/>
      <w:numFmt w:val="bullet"/>
      <w:lvlText w:val="•"/>
      <w:lvlJc w:val="left"/>
      <w:pPr>
        <w:ind w:left="1177" w:hanging="259"/>
      </w:pPr>
      <w:rPr>
        <w:rFonts w:hint="default"/>
      </w:rPr>
    </w:lvl>
    <w:lvl w:ilvl="5">
      <w:start w:val="0"/>
      <w:numFmt w:val="bullet"/>
      <w:lvlText w:val="•"/>
      <w:lvlJc w:val="left"/>
      <w:pPr>
        <w:ind w:left="1446" w:hanging="259"/>
      </w:pPr>
      <w:rPr>
        <w:rFonts w:hint="default"/>
      </w:rPr>
    </w:lvl>
    <w:lvl w:ilvl="6">
      <w:start w:val="0"/>
      <w:numFmt w:val="bullet"/>
      <w:lvlText w:val="•"/>
      <w:lvlJc w:val="left"/>
      <w:pPr>
        <w:ind w:left="1715" w:hanging="259"/>
      </w:pPr>
      <w:rPr>
        <w:rFonts w:hint="default"/>
      </w:rPr>
    </w:lvl>
    <w:lvl w:ilvl="7">
      <w:start w:val="0"/>
      <w:numFmt w:val="bullet"/>
      <w:lvlText w:val="•"/>
      <w:lvlJc w:val="left"/>
      <w:pPr>
        <w:ind w:left="1985" w:hanging="259"/>
      </w:pPr>
      <w:rPr>
        <w:rFonts w:hint="default"/>
      </w:rPr>
    </w:lvl>
    <w:lvl w:ilvl="8">
      <w:start w:val="0"/>
      <w:numFmt w:val="bullet"/>
      <w:lvlText w:val="•"/>
      <w:lvlJc w:val="left"/>
      <w:pPr>
        <w:ind w:left="2254" w:hanging="259"/>
      </w:pPr>
      <w:rPr>
        <w:rFonts w:hint="default"/>
      </w:rPr>
    </w:lvl>
  </w:abstractNum>
  <w:abstractNum w:abstractNumId="10">
    <w:multiLevelType w:val="hybridMultilevel"/>
    <w:lvl w:ilvl="0">
      <w:start w:val="0"/>
      <w:numFmt w:val="bullet"/>
      <w:lvlText w:val=""/>
      <w:lvlJc w:val="left"/>
      <w:pPr>
        <w:ind w:left="469" w:hanging="363"/>
      </w:pPr>
      <w:rPr>
        <w:rFonts w:hint="default" w:ascii="Wingdings" w:hAnsi="Wingdings" w:eastAsia="Wingdings" w:cs="Wingdings"/>
        <w:w w:val="100"/>
        <w:sz w:val="22"/>
        <w:szCs w:val="22"/>
      </w:rPr>
    </w:lvl>
    <w:lvl w:ilvl="1">
      <w:start w:val="0"/>
      <w:numFmt w:val="bullet"/>
      <w:lvlText w:val="•"/>
      <w:lvlJc w:val="left"/>
      <w:pPr>
        <w:ind w:left="1158" w:hanging="363"/>
      </w:pPr>
      <w:rPr>
        <w:rFonts w:hint="default"/>
      </w:rPr>
    </w:lvl>
    <w:lvl w:ilvl="2">
      <w:start w:val="0"/>
      <w:numFmt w:val="bullet"/>
      <w:lvlText w:val="•"/>
      <w:lvlJc w:val="left"/>
      <w:pPr>
        <w:ind w:left="1857" w:hanging="363"/>
      </w:pPr>
      <w:rPr>
        <w:rFonts w:hint="default"/>
      </w:rPr>
    </w:lvl>
    <w:lvl w:ilvl="3">
      <w:start w:val="0"/>
      <w:numFmt w:val="bullet"/>
      <w:lvlText w:val="•"/>
      <w:lvlJc w:val="left"/>
      <w:pPr>
        <w:ind w:left="2556" w:hanging="363"/>
      </w:pPr>
      <w:rPr>
        <w:rFonts w:hint="default"/>
      </w:rPr>
    </w:lvl>
    <w:lvl w:ilvl="4">
      <w:start w:val="0"/>
      <w:numFmt w:val="bullet"/>
      <w:lvlText w:val="•"/>
      <w:lvlJc w:val="left"/>
      <w:pPr>
        <w:ind w:left="3254" w:hanging="363"/>
      </w:pPr>
      <w:rPr>
        <w:rFonts w:hint="default"/>
      </w:rPr>
    </w:lvl>
    <w:lvl w:ilvl="5">
      <w:start w:val="0"/>
      <w:numFmt w:val="bullet"/>
      <w:lvlText w:val="•"/>
      <w:lvlJc w:val="left"/>
      <w:pPr>
        <w:ind w:left="3953" w:hanging="363"/>
      </w:pPr>
      <w:rPr>
        <w:rFonts w:hint="default"/>
      </w:rPr>
    </w:lvl>
    <w:lvl w:ilvl="6">
      <w:start w:val="0"/>
      <w:numFmt w:val="bullet"/>
      <w:lvlText w:val="•"/>
      <w:lvlJc w:val="left"/>
      <w:pPr>
        <w:ind w:left="4652" w:hanging="363"/>
      </w:pPr>
      <w:rPr>
        <w:rFonts w:hint="default"/>
      </w:rPr>
    </w:lvl>
    <w:lvl w:ilvl="7">
      <w:start w:val="0"/>
      <w:numFmt w:val="bullet"/>
      <w:lvlText w:val="•"/>
      <w:lvlJc w:val="left"/>
      <w:pPr>
        <w:ind w:left="5350" w:hanging="363"/>
      </w:pPr>
      <w:rPr>
        <w:rFonts w:hint="default"/>
      </w:rPr>
    </w:lvl>
    <w:lvl w:ilvl="8">
      <w:start w:val="0"/>
      <w:numFmt w:val="bullet"/>
      <w:lvlText w:val="•"/>
      <w:lvlJc w:val="left"/>
      <w:pPr>
        <w:ind w:left="6049" w:hanging="363"/>
      </w:pPr>
      <w:rPr>
        <w:rFonts w:hint="default"/>
      </w:rPr>
    </w:lvl>
  </w:abstractNum>
  <w:abstractNum w:abstractNumId="9">
    <w:multiLevelType w:val="hybridMultilevel"/>
    <w:lvl w:ilvl="0">
      <w:start w:val="0"/>
      <w:numFmt w:val="bullet"/>
      <w:lvlText w:val=""/>
      <w:lvlJc w:val="left"/>
      <w:pPr>
        <w:ind w:left="470" w:hanging="363"/>
      </w:pPr>
      <w:rPr>
        <w:rFonts w:hint="default" w:ascii="Wingdings" w:hAnsi="Wingdings" w:eastAsia="Wingdings" w:cs="Wingdings"/>
        <w:w w:val="100"/>
        <w:sz w:val="22"/>
        <w:szCs w:val="22"/>
      </w:rPr>
    </w:lvl>
    <w:lvl w:ilvl="1">
      <w:start w:val="0"/>
      <w:numFmt w:val="bullet"/>
      <w:lvlText w:val="•"/>
      <w:lvlJc w:val="left"/>
      <w:pPr>
        <w:ind w:left="1176" w:hanging="363"/>
      </w:pPr>
      <w:rPr>
        <w:rFonts w:hint="default"/>
      </w:rPr>
    </w:lvl>
    <w:lvl w:ilvl="2">
      <w:start w:val="0"/>
      <w:numFmt w:val="bullet"/>
      <w:lvlText w:val="•"/>
      <w:lvlJc w:val="left"/>
      <w:pPr>
        <w:ind w:left="1873" w:hanging="363"/>
      </w:pPr>
      <w:rPr>
        <w:rFonts w:hint="default"/>
      </w:rPr>
    </w:lvl>
    <w:lvl w:ilvl="3">
      <w:start w:val="0"/>
      <w:numFmt w:val="bullet"/>
      <w:lvlText w:val="•"/>
      <w:lvlJc w:val="left"/>
      <w:pPr>
        <w:ind w:left="2570" w:hanging="363"/>
      </w:pPr>
      <w:rPr>
        <w:rFonts w:hint="default"/>
      </w:rPr>
    </w:lvl>
    <w:lvl w:ilvl="4">
      <w:start w:val="0"/>
      <w:numFmt w:val="bullet"/>
      <w:lvlText w:val="•"/>
      <w:lvlJc w:val="left"/>
      <w:pPr>
        <w:ind w:left="3266" w:hanging="363"/>
      </w:pPr>
      <w:rPr>
        <w:rFonts w:hint="default"/>
      </w:rPr>
    </w:lvl>
    <w:lvl w:ilvl="5">
      <w:start w:val="0"/>
      <w:numFmt w:val="bullet"/>
      <w:lvlText w:val="•"/>
      <w:lvlJc w:val="left"/>
      <w:pPr>
        <w:ind w:left="3963" w:hanging="363"/>
      </w:pPr>
      <w:rPr>
        <w:rFonts w:hint="default"/>
      </w:rPr>
    </w:lvl>
    <w:lvl w:ilvl="6">
      <w:start w:val="0"/>
      <w:numFmt w:val="bullet"/>
      <w:lvlText w:val="•"/>
      <w:lvlJc w:val="left"/>
      <w:pPr>
        <w:ind w:left="4660" w:hanging="363"/>
      </w:pPr>
      <w:rPr>
        <w:rFonts w:hint="default"/>
      </w:rPr>
    </w:lvl>
    <w:lvl w:ilvl="7">
      <w:start w:val="0"/>
      <w:numFmt w:val="bullet"/>
      <w:lvlText w:val="•"/>
      <w:lvlJc w:val="left"/>
      <w:pPr>
        <w:ind w:left="5356" w:hanging="363"/>
      </w:pPr>
      <w:rPr>
        <w:rFonts w:hint="default"/>
      </w:rPr>
    </w:lvl>
    <w:lvl w:ilvl="8">
      <w:start w:val="0"/>
      <w:numFmt w:val="bullet"/>
      <w:lvlText w:val="•"/>
      <w:lvlJc w:val="left"/>
      <w:pPr>
        <w:ind w:left="6053" w:hanging="363"/>
      </w:pPr>
      <w:rPr>
        <w:rFonts w:hint="default"/>
      </w:rPr>
    </w:lvl>
  </w:abstractNum>
  <w:abstractNum w:abstractNumId="8">
    <w:multiLevelType w:val="hybridMultilevel"/>
    <w:lvl w:ilvl="0">
      <w:start w:val="0"/>
      <w:numFmt w:val="bullet"/>
      <w:lvlText w:val=""/>
      <w:lvlJc w:val="left"/>
      <w:pPr>
        <w:ind w:left="470" w:hanging="363"/>
      </w:pPr>
      <w:rPr>
        <w:rFonts w:hint="default" w:ascii="Wingdings" w:hAnsi="Wingdings" w:eastAsia="Wingdings" w:cs="Wingdings"/>
        <w:w w:val="100"/>
        <w:sz w:val="22"/>
        <w:szCs w:val="22"/>
      </w:rPr>
    </w:lvl>
    <w:lvl w:ilvl="1">
      <w:start w:val="0"/>
      <w:numFmt w:val="bullet"/>
      <w:lvlText w:val="•"/>
      <w:lvlJc w:val="left"/>
      <w:pPr>
        <w:ind w:left="1176" w:hanging="363"/>
      </w:pPr>
      <w:rPr>
        <w:rFonts w:hint="default"/>
      </w:rPr>
    </w:lvl>
    <w:lvl w:ilvl="2">
      <w:start w:val="0"/>
      <w:numFmt w:val="bullet"/>
      <w:lvlText w:val="•"/>
      <w:lvlJc w:val="left"/>
      <w:pPr>
        <w:ind w:left="1872" w:hanging="363"/>
      </w:pPr>
      <w:rPr>
        <w:rFonts w:hint="default"/>
      </w:rPr>
    </w:lvl>
    <w:lvl w:ilvl="3">
      <w:start w:val="0"/>
      <w:numFmt w:val="bullet"/>
      <w:lvlText w:val="•"/>
      <w:lvlJc w:val="left"/>
      <w:pPr>
        <w:ind w:left="2568" w:hanging="363"/>
      </w:pPr>
      <w:rPr>
        <w:rFonts w:hint="default"/>
      </w:rPr>
    </w:lvl>
    <w:lvl w:ilvl="4">
      <w:start w:val="0"/>
      <w:numFmt w:val="bullet"/>
      <w:lvlText w:val="•"/>
      <w:lvlJc w:val="left"/>
      <w:pPr>
        <w:ind w:left="3264" w:hanging="363"/>
      </w:pPr>
      <w:rPr>
        <w:rFonts w:hint="default"/>
      </w:rPr>
    </w:lvl>
    <w:lvl w:ilvl="5">
      <w:start w:val="0"/>
      <w:numFmt w:val="bullet"/>
      <w:lvlText w:val="•"/>
      <w:lvlJc w:val="left"/>
      <w:pPr>
        <w:ind w:left="3960" w:hanging="363"/>
      </w:pPr>
      <w:rPr>
        <w:rFonts w:hint="default"/>
      </w:rPr>
    </w:lvl>
    <w:lvl w:ilvl="6">
      <w:start w:val="0"/>
      <w:numFmt w:val="bullet"/>
      <w:lvlText w:val="•"/>
      <w:lvlJc w:val="left"/>
      <w:pPr>
        <w:ind w:left="4656" w:hanging="363"/>
      </w:pPr>
      <w:rPr>
        <w:rFonts w:hint="default"/>
      </w:rPr>
    </w:lvl>
    <w:lvl w:ilvl="7">
      <w:start w:val="0"/>
      <w:numFmt w:val="bullet"/>
      <w:lvlText w:val="•"/>
      <w:lvlJc w:val="left"/>
      <w:pPr>
        <w:ind w:left="5352" w:hanging="363"/>
      </w:pPr>
      <w:rPr>
        <w:rFonts w:hint="default"/>
      </w:rPr>
    </w:lvl>
    <w:lvl w:ilvl="8">
      <w:start w:val="0"/>
      <w:numFmt w:val="bullet"/>
      <w:lvlText w:val="•"/>
      <w:lvlJc w:val="left"/>
      <w:pPr>
        <w:ind w:left="6048" w:hanging="363"/>
      </w:pPr>
      <w:rPr>
        <w:rFonts w:hint="default"/>
      </w:rPr>
    </w:lvl>
  </w:abstractNum>
  <w:abstractNum w:abstractNumId="7">
    <w:multiLevelType w:val="hybridMultilevel"/>
    <w:lvl w:ilvl="0">
      <w:start w:val="1"/>
      <w:numFmt w:val="decimal"/>
      <w:lvlText w:val="%1."/>
      <w:lvlJc w:val="left"/>
      <w:pPr>
        <w:ind w:left="1400" w:hanging="360"/>
        <w:jc w:val="left"/>
      </w:pPr>
      <w:rPr>
        <w:rFonts w:hint="default" w:ascii="Arial" w:hAnsi="Arial" w:eastAsia="Arial" w:cs="Arial"/>
        <w:spacing w:val="-1"/>
        <w:w w:val="100"/>
        <w:sz w:val="22"/>
        <w:szCs w:val="22"/>
      </w:rPr>
    </w:lvl>
    <w:lvl w:ilvl="1">
      <w:start w:val="0"/>
      <w:numFmt w:val="bullet"/>
      <w:lvlText w:val="•"/>
      <w:lvlJc w:val="left"/>
      <w:pPr>
        <w:ind w:left="2333" w:hanging="360"/>
      </w:pPr>
      <w:rPr>
        <w:rFonts w:hint="default"/>
      </w:rPr>
    </w:lvl>
    <w:lvl w:ilvl="2">
      <w:start w:val="0"/>
      <w:numFmt w:val="bullet"/>
      <w:lvlText w:val="•"/>
      <w:lvlJc w:val="left"/>
      <w:pPr>
        <w:ind w:left="3266" w:hanging="360"/>
      </w:pPr>
      <w:rPr>
        <w:rFonts w:hint="default"/>
      </w:rPr>
    </w:lvl>
    <w:lvl w:ilvl="3">
      <w:start w:val="0"/>
      <w:numFmt w:val="bullet"/>
      <w:lvlText w:val="•"/>
      <w:lvlJc w:val="left"/>
      <w:pPr>
        <w:ind w:left="4199" w:hanging="360"/>
      </w:pPr>
      <w:rPr>
        <w:rFonts w:hint="default"/>
      </w:rPr>
    </w:lvl>
    <w:lvl w:ilvl="4">
      <w:start w:val="0"/>
      <w:numFmt w:val="bullet"/>
      <w:lvlText w:val="•"/>
      <w:lvlJc w:val="left"/>
      <w:pPr>
        <w:ind w:left="5132" w:hanging="360"/>
      </w:pPr>
      <w:rPr>
        <w:rFonts w:hint="default"/>
      </w:rPr>
    </w:lvl>
    <w:lvl w:ilvl="5">
      <w:start w:val="0"/>
      <w:numFmt w:val="bullet"/>
      <w:lvlText w:val="•"/>
      <w:lvlJc w:val="left"/>
      <w:pPr>
        <w:ind w:left="6065" w:hanging="360"/>
      </w:pPr>
      <w:rPr>
        <w:rFonts w:hint="default"/>
      </w:rPr>
    </w:lvl>
    <w:lvl w:ilvl="6">
      <w:start w:val="0"/>
      <w:numFmt w:val="bullet"/>
      <w:lvlText w:val="•"/>
      <w:lvlJc w:val="left"/>
      <w:pPr>
        <w:ind w:left="6998" w:hanging="360"/>
      </w:pPr>
      <w:rPr>
        <w:rFonts w:hint="default"/>
      </w:rPr>
    </w:lvl>
    <w:lvl w:ilvl="7">
      <w:start w:val="0"/>
      <w:numFmt w:val="bullet"/>
      <w:lvlText w:val="•"/>
      <w:lvlJc w:val="left"/>
      <w:pPr>
        <w:ind w:left="7931" w:hanging="360"/>
      </w:pPr>
      <w:rPr>
        <w:rFonts w:hint="default"/>
      </w:rPr>
    </w:lvl>
    <w:lvl w:ilvl="8">
      <w:start w:val="0"/>
      <w:numFmt w:val="bullet"/>
      <w:lvlText w:val="•"/>
      <w:lvlJc w:val="left"/>
      <w:pPr>
        <w:ind w:left="8864" w:hanging="360"/>
      </w:pPr>
      <w:rPr>
        <w:rFonts w:hint="default"/>
      </w:rPr>
    </w:lvl>
  </w:abstractNum>
  <w:abstractNum w:abstractNumId="6">
    <w:multiLevelType w:val="hybridMultilevel"/>
    <w:lvl w:ilvl="0">
      <w:start w:val="0"/>
      <w:numFmt w:val="bullet"/>
      <w:lvlText w:val=""/>
      <w:lvlJc w:val="left"/>
      <w:pPr>
        <w:ind w:left="1107" w:hanging="361"/>
      </w:pPr>
      <w:rPr>
        <w:rFonts w:hint="default" w:ascii="Symbol" w:hAnsi="Symbol" w:eastAsia="Symbol" w:cs="Symbol"/>
        <w:w w:val="100"/>
        <w:sz w:val="22"/>
        <w:szCs w:val="22"/>
      </w:rPr>
    </w:lvl>
    <w:lvl w:ilvl="1">
      <w:start w:val="0"/>
      <w:numFmt w:val="bullet"/>
      <w:lvlText w:val="•"/>
      <w:lvlJc w:val="left"/>
      <w:pPr>
        <w:ind w:left="2063" w:hanging="361"/>
      </w:pPr>
      <w:rPr>
        <w:rFonts w:hint="default"/>
      </w:rPr>
    </w:lvl>
    <w:lvl w:ilvl="2">
      <w:start w:val="0"/>
      <w:numFmt w:val="bullet"/>
      <w:lvlText w:val="•"/>
      <w:lvlJc w:val="left"/>
      <w:pPr>
        <w:ind w:left="3026" w:hanging="361"/>
      </w:pPr>
      <w:rPr>
        <w:rFonts w:hint="default"/>
      </w:rPr>
    </w:lvl>
    <w:lvl w:ilvl="3">
      <w:start w:val="0"/>
      <w:numFmt w:val="bullet"/>
      <w:lvlText w:val="•"/>
      <w:lvlJc w:val="left"/>
      <w:pPr>
        <w:ind w:left="3989" w:hanging="361"/>
      </w:pPr>
      <w:rPr>
        <w:rFonts w:hint="default"/>
      </w:rPr>
    </w:lvl>
    <w:lvl w:ilvl="4">
      <w:start w:val="0"/>
      <w:numFmt w:val="bullet"/>
      <w:lvlText w:val="•"/>
      <w:lvlJc w:val="left"/>
      <w:pPr>
        <w:ind w:left="4952" w:hanging="361"/>
      </w:pPr>
      <w:rPr>
        <w:rFonts w:hint="default"/>
      </w:rPr>
    </w:lvl>
    <w:lvl w:ilvl="5">
      <w:start w:val="0"/>
      <w:numFmt w:val="bullet"/>
      <w:lvlText w:val="•"/>
      <w:lvlJc w:val="left"/>
      <w:pPr>
        <w:ind w:left="5915" w:hanging="361"/>
      </w:pPr>
      <w:rPr>
        <w:rFonts w:hint="default"/>
      </w:rPr>
    </w:lvl>
    <w:lvl w:ilvl="6">
      <w:start w:val="0"/>
      <w:numFmt w:val="bullet"/>
      <w:lvlText w:val="•"/>
      <w:lvlJc w:val="left"/>
      <w:pPr>
        <w:ind w:left="6878" w:hanging="361"/>
      </w:pPr>
      <w:rPr>
        <w:rFonts w:hint="default"/>
      </w:rPr>
    </w:lvl>
    <w:lvl w:ilvl="7">
      <w:start w:val="0"/>
      <w:numFmt w:val="bullet"/>
      <w:lvlText w:val="•"/>
      <w:lvlJc w:val="left"/>
      <w:pPr>
        <w:ind w:left="7841" w:hanging="361"/>
      </w:pPr>
      <w:rPr>
        <w:rFonts w:hint="default"/>
      </w:rPr>
    </w:lvl>
    <w:lvl w:ilvl="8">
      <w:start w:val="0"/>
      <w:numFmt w:val="bullet"/>
      <w:lvlText w:val="•"/>
      <w:lvlJc w:val="left"/>
      <w:pPr>
        <w:ind w:left="8804" w:hanging="361"/>
      </w:pPr>
      <w:rPr>
        <w:rFonts w:hint="default"/>
      </w:rPr>
    </w:lvl>
  </w:abstractNum>
  <w:abstractNum w:abstractNumId="5">
    <w:multiLevelType w:val="hybridMultilevel"/>
    <w:lvl w:ilvl="0">
      <w:start w:val="0"/>
      <w:numFmt w:val="bullet"/>
      <w:lvlText w:val="•"/>
      <w:lvlJc w:val="left"/>
      <w:pPr>
        <w:ind w:left="1392" w:hanging="356"/>
      </w:pPr>
      <w:rPr>
        <w:rFonts w:hint="default" w:ascii="Times New Roman" w:hAnsi="Times New Roman" w:eastAsia="Times New Roman" w:cs="Times New Roman"/>
        <w:w w:val="100"/>
        <w:sz w:val="22"/>
        <w:szCs w:val="22"/>
      </w:rPr>
    </w:lvl>
    <w:lvl w:ilvl="1">
      <w:start w:val="0"/>
      <w:numFmt w:val="bullet"/>
      <w:lvlText w:val="•"/>
      <w:lvlJc w:val="left"/>
      <w:pPr>
        <w:ind w:left="2333" w:hanging="356"/>
      </w:pPr>
      <w:rPr>
        <w:rFonts w:hint="default"/>
      </w:rPr>
    </w:lvl>
    <w:lvl w:ilvl="2">
      <w:start w:val="0"/>
      <w:numFmt w:val="bullet"/>
      <w:lvlText w:val="•"/>
      <w:lvlJc w:val="left"/>
      <w:pPr>
        <w:ind w:left="3266" w:hanging="356"/>
      </w:pPr>
      <w:rPr>
        <w:rFonts w:hint="default"/>
      </w:rPr>
    </w:lvl>
    <w:lvl w:ilvl="3">
      <w:start w:val="0"/>
      <w:numFmt w:val="bullet"/>
      <w:lvlText w:val="•"/>
      <w:lvlJc w:val="left"/>
      <w:pPr>
        <w:ind w:left="4199" w:hanging="356"/>
      </w:pPr>
      <w:rPr>
        <w:rFonts w:hint="default"/>
      </w:rPr>
    </w:lvl>
    <w:lvl w:ilvl="4">
      <w:start w:val="0"/>
      <w:numFmt w:val="bullet"/>
      <w:lvlText w:val="•"/>
      <w:lvlJc w:val="left"/>
      <w:pPr>
        <w:ind w:left="5132" w:hanging="356"/>
      </w:pPr>
      <w:rPr>
        <w:rFonts w:hint="default"/>
      </w:rPr>
    </w:lvl>
    <w:lvl w:ilvl="5">
      <w:start w:val="0"/>
      <w:numFmt w:val="bullet"/>
      <w:lvlText w:val="•"/>
      <w:lvlJc w:val="left"/>
      <w:pPr>
        <w:ind w:left="6065" w:hanging="356"/>
      </w:pPr>
      <w:rPr>
        <w:rFonts w:hint="default"/>
      </w:rPr>
    </w:lvl>
    <w:lvl w:ilvl="6">
      <w:start w:val="0"/>
      <w:numFmt w:val="bullet"/>
      <w:lvlText w:val="•"/>
      <w:lvlJc w:val="left"/>
      <w:pPr>
        <w:ind w:left="6998" w:hanging="356"/>
      </w:pPr>
      <w:rPr>
        <w:rFonts w:hint="default"/>
      </w:rPr>
    </w:lvl>
    <w:lvl w:ilvl="7">
      <w:start w:val="0"/>
      <w:numFmt w:val="bullet"/>
      <w:lvlText w:val="•"/>
      <w:lvlJc w:val="left"/>
      <w:pPr>
        <w:ind w:left="7931" w:hanging="356"/>
      </w:pPr>
      <w:rPr>
        <w:rFonts w:hint="default"/>
      </w:rPr>
    </w:lvl>
    <w:lvl w:ilvl="8">
      <w:start w:val="0"/>
      <w:numFmt w:val="bullet"/>
      <w:lvlText w:val="•"/>
      <w:lvlJc w:val="left"/>
      <w:pPr>
        <w:ind w:left="8864" w:hanging="356"/>
      </w:pPr>
      <w:rPr>
        <w:rFonts w:hint="default"/>
      </w:rPr>
    </w:lvl>
  </w:abstractNum>
  <w:abstractNum w:abstractNumId="4">
    <w:multiLevelType w:val="hybridMultilevel"/>
    <w:lvl w:ilvl="0">
      <w:start w:val="0"/>
      <w:numFmt w:val="bullet"/>
      <w:lvlText w:val=""/>
      <w:lvlJc w:val="left"/>
      <w:pPr>
        <w:ind w:left="680" w:hanging="164"/>
      </w:pPr>
      <w:rPr>
        <w:rFonts w:hint="default" w:ascii="Symbol" w:hAnsi="Symbol" w:eastAsia="Symbol" w:cs="Symbol"/>
        <w:w w:val="100"/>
        <w:sz w:val="22"/>
        <w:szCs w:val="22"/>
      </w:rPr>
    </w:lvl>
    <w:lvl w:ilvl="1">
      <w:start w:val="0"/>
      <w:numFmt w:val="bullet"/>
      <w:lvlText w:val=""/>
      <w:lvlJc w:val="left"/>
      <w:pPr>
        <w:ind w:left="1812" w:hanging="567"/>
      </w:pPr>
      <w:rPr>
        <w:rFonts w:hint="default"/>
        <w:w w:val="100"/>
      </w:rPr>
    </w:lvl>
    <w:lvl w:ilvl="2">
      <w:start w:val="0"/>
      <w:numFmt w:val="bullet"/>
      <w:lvlText w:val=""/>
      <w:lvlJc w:val="left"/>
      <w:pPr>
        <w:ind w:left="1628" w:hanging="567"/>
      </w:pPr>
      <w:rPr>
        <w:rFonts w:hint="default" w:ascii="Symbol" w:hAnsi="Symbol" w:eastAsia="Symbol" w:cs="Symbol"/>
        <w:w w:val="100"/>
        <w:sz w:val="22"/>
        <w:szCs w:val="22"/>
      </w:rPr>
    </w:lvl>
    <w:lvl w:ilvl="3">
      <w:start w:val="0"/>
      <w:numFmt w:val="bullet"/>
      <w:lvlText w:val="•"/>
      <w:lvlJc w:val="left"/>
      <w:pPr>
        <w:ind w:left="1820" w:hanging="567"/>
      </w:pPr>
      <w:rPr>
        <w:rFonts w:hint="default"/>
      </w:rPr>
    </w:lvl>
    <w:lvl w:ilvl="4">
      <w:start w:val="0"/>
      <w:numFmt w:val="bullet"/>
      <w:lvlText w:val="•"/>
      <w:lvlJc w:val="left"/>
      <w:pPr>
        <w:ind w:left="3093" w:hanging="567"/>
      </w:pPr>
      <w:rPr>
        <w:rFonts w:hint="default"/>
      </w:rPr>
    </w:lvl>
    <w:lvl w:ilvl="5">
      <w:start w:val="0"/>
      <w:numFmt w:val="bullet"/>
      <w:lvlText w:val="•"/>
      <w:lvlJc w:val="left"/>
      <w:pPr>
        <w:ind w:left="4366" w:hanging="567"/>
      </w:pPr>
      <w:rPr>
        <w:rFonts w:hint="default"/>
      </w:rPr>
    </w:lvl>
    <w:lvl w:ilvl="6">
      <w:start w:val="0"/>
      <w:numFmt w:val="bullet"/>
      <w:lvlText w:val="•"/>
      <w:lvlJc w:val="left"/>
      <w:pPr>
        <w:ind w:left="5639" w:hanging="567"/>
      </w:pPr>
      <w:rPr>
        <w:rFonts w:hint="default"/>
      </w:rPr>
    </w:lvl>
    <w:lvl w:ilvl="7">
      <w:start w:val="0"/>
      <w:numFmt w:val="bullet"/>
      <w:lvlText w:val="•"/>
      <w:lvlJc w:val="left"/>
      <w:pPr>
        <w:ind w:left="6912" w:hanging="567"/>
      </w:pPr>
      <w:rPr>
        <w:rFonts w:hint="default"/>
      </w:rPr>
    </w:lvl>
    <w:lvl w:ilvl="8">
      <w:start w:val="0"/>
      <w:numFmt w:val="bullet"/>
      <w:lvlText w:val="•"/>
      <w:lvlJc w:val="left"/>
      <w:pPr>
        <w:ind w:left="8185" w:hanging="567"/>
      </w:pPr>
      <w:rPr>
        <w:rFonts w:hint="default"/>
      </w:rPr>
    </w:lvl>
  </w:abstractNum>
  <w:abstractNum w:abstractNumId="3">
    <w:multiLevelType w:val="hybridMultilevel"/>
    <w:lvl w:ilvl="0">
      <w:start w:val="0"/>
      <w:numFmt w:val="bullet"/>
      <w:lvlText w:val="-"/>
      <w:lvlJc w:val="left"/>
      <w:pPr>
        <w:ind w:left="1399" w:hanging="363"/>
      </w:pPr>
      <w:rPr>
        <w:rFonts w:hint="default" w:ascii="Arial" w:hAnsi="Arial" w:eastAsia="Arial" w:cs="Arial"/>
        <w:w w:val="100"/>
        <w:sz w:val="22"/>
        <w:szCs w:val="22"/>
      </w:rPr>
    </w:lvl>
    <w:lvl w:ilvl="1">
      <w:start w:val="0"/>
      <w:numFmt w:val="bullet"/>
      <w:lvlText w:val="•"/>
      <w:lvlJc w:val="left"/>
      <w:pPr>
        <w:ind w:left="2333" w:hanging="363"/>
      </w:pPr>
      <w:rPr>
        <w:rFonts w:hint="default"/>
      </w:rPr>
    </w:lvl>
    <w:lvl w:ilvl="2">
      <w:start w:val="0"/>
      <w:numFmt w:val="bullet"/>
      <w:lvlText w:val="•"/>
      <w:lvlJc w:val="left"/>
      <w:pPr>
        <w:ind w:left="3266" w:hanging="363"/>
      </w:pPr>
      <w:rPr>
        <w:rFonts w:hint="default"/>
      </w:rPr>
    </w:lvl>
    <w:lvl w:ilvl="3">
      <w:start w:val="0"/>
      <w:numFmt w:val="bullet"/>
      <w:lvlText w:val="•"/>
      <w:lvlJc w:val="left"/>
      <w:pPr>
        <w:ind w:left="4199" w:hanging="363"/>
      </w:pPr>
      <w:rPr>
        <w:rFonts w:hint="default"/>
      </w:rPr>
    </w:lvl>
    <w:lvl w:ilvl="4">
      <w:start w:val="0"/>
      <w:numFmt w:val="bullet"/>
      <w:lvlText w:val="•"/>
      <w:lvlJc w:val="left"/>
      <w:pPr>
        <w:ind w:left="5132" w:hanging="363"/>
      </w:pPr>
      <w:rPr>
        <w:rFonts w:hint="default"/>
      </w:rPr>
    </w:lvl>
    <w:lvl w:ilvl="5">
      <w:start w:val="0"/>
      <w:numFmt w:val="bullet"/>
      <w:lvlText w:val="•"/>
      <w:lvlJc w:val="left"/>
      <w:pPr>
        <w:ind w:left="6065" w:hanging="363"/>
      </w:pPr>
      <w:rPr>
        <w:rFonts w:hint="default"/>
      </w:rPr>
    </w:lvl>
    <w:lvl w:ilvl="6">
      <w:start w:val="0"/>
      <w:numFmt w:val="bullet"/>
      <w:lvlText w:val="•"/>
      <w:lvlJc w:val="left"/>
      <w:pPr>
        <w:ind w:left="6998" w:hanging="363"/>
      </w:pPr>
      <w:rPr>
        <w:rFonts w:hint="default"/>
      </w:rPr>
    </w:lvl>
    <w:lvl w:ilvl="7">
      <w:start w:val="0"/>
      <w:numFmt w:val="bullet"/>
      <w:lvlText w:val="•"/>
      <w:lvlJc w:val="left"/>
      <w:pPr>
        <w:ind w:left="7931" w:hanging="363"/>
      </w:pPr>
      <w:rPr>
        <w:rFonts w:hint="default"/>
      </w:rPr>
    </w:lvl>
    <w:lvl w:ilvl="8">
      <w:start w:val="0"/>
      <w:numFmt w:val="bullet"/>
      <w:lvlText w:val="•"/>
      <w:lvlJc w:val="left"/>
      <w:pPr>
        <w:ind w:left="8864" w:hanging="363"/>
      </w:pPr>
      <w:rPr>
        <w:rFonts w:hint="default"/>
      </w:rPr>
    </w:lvl>
  </w:abstractNum>
  <w:abstractNum w:abstractNumId="2">
    <w:multiLevelType w:val="hybridMultilevel"/>
    <w:lvl w:ilvl="0">
      <w:start w:val="0"/>
      <w:numFmt w:val="bullet"/>
      <w:lvlText w:val="•"/>
      <w:lvlJc w:val="left"/>
      <w:pPr>
        <w:ind w:left="680" w:hanging="721"/>
      </w:pPr>
      <w:rPr>
        <w:rFonts w:hint="default" w:ascii="Arial" w:hAnsi="Arial" w:eastAsia="Arial" w:cs="Arial"/>
        <w:w w:val="100"/>
        <w:sz w:val="22"/>
        <w:szCs w:val="22"/>
      </w:rPr>
    </w:lvl>
    <w:lvl w:ilvl="1">
      <w:start w:val="0"/>
      <w:numFmt w:val="bullet"/>
      <w:lvlText w:val=""/>
      <w:lvlJc w:val="left"/>
      <w:pPr>
        <w:ind w:left="1400" w:hanging="360"/>
      </w:pPr>
      <w:rPr>
        <w:rFonts w:hint="default"/>
        <w:w w:val="100"/>
      </w:rPr>
    </w:lvl>
    <w:lvl w:ilvl="2">
      <w:start w:val="0"/>
      <w:numFmt w:val="bullet"/>
      <w:lvlText w:val=""/>
      <w:lvlJc w:val="left"/>
      <w:pPr>
        <w:ind w:left="1812" w:hanging="567"/>
      </w:pPr>
      <w:rPr>
        <w:rFonts w:hint="default" w:ascii="Symbol" w:hAnsi="Symbol" w:eastAsia="Symbol" w:cs="Symbol"/>
        <w:w w:val="100"/>
        <w:sz w:val="24"/>
        <w:szCs w:val="24"/>
      </w:rPr>
    </w:lvl>
    <w:lvl w:ilvl="3">
      <w:start w:val="0"/>
      <w:numFmt w:val="bullet"/>
      <w:lvlText w:val="•"/>
      <w:lvlJc w:val="left"/>
      <w:pPr>
        <w:ind w:left="1820" w:hanging="567"/>
      </w:pPr>
      <w:rPr>
        <w:rFonts w:hint="default"/>
      </w:rPr>
    </w:lvl>
    <w:lvl w:ilvl="4">
      <w:start w:val="0"/>
      <w:numFmt w:val="bullet"/>
      <w:lvlText w:val="•"/>
      <w:lvlJc w:val="left"/>
      <w:pPr>
        <w:ind w:left="3093" w:hanging="567"/>
      </w:pPr>
      <w:rPr>
        <w:rFonts w:hint="default"/>
      </w:rPr>
    </w:lvl>
    <w:lvl w:ilvl="5">
      <w:start w:val="0"/>
      <w:numFmt w:val="bullet"/>
      <w:lvlText w:val="•"/>
      <w:lvlJc w:val="left"/>
      <w:pPr>
        <w:ind w:left="4366" w:hanging="567"/>
      </w:pPr>
      <w:rPr>
        <w:rFonts w:hint="default"/>
      </w:rPr>
    </w:lvl>
    <w:lvl w:ilvl="6">
      <w:start w:val="0"/>
      <w:numFmt w:val="bullet"/>
      <w:lvlText w:val="•"/>
      <w:lvlJc w:val="left"/>
      <w:pPr>
        <w:ind w:left="5639" w:hanging="567"/>
      </w:pPr>
      <w:rPr>
        <w:rFonts w:hint="default"/>
      </w:rPr>
    </w:lvl>
    <w:lvl w:ilvl="7">
      <w:start w:val="0"/>
      <w:numFmt w:val="bullet"/>
      <w:lvlText w:val="•"/>
      <w:lvlJc w:val="left"/>
      <w:pPr>
        <w:ind w:left="6912" w:hanging="567"/>
      </w:pPr>
      <w:rPr>
        <w:rFonts w:hint="default"/>
      </w:rPr>
    </w:lvl>
    <w:lvl w:ilvl="8">
      <w:start w:val="0"/>
      <w:numFmt w:val="bullet"/>
      <w:lvlText w:val="•"/>
      <w:lvlJc w:val="left"/>
      <w:pPr>
        <w:ind w:left="8185" w:hanging="567"/>
      </w:pPr>
      <w:rPr>
        <w:rFonts w:hint="default"/>
      </w:rPr>
    </w:lvl>
  </w:abstractNum>
  <w:abstractNum w:abstractNumId="1">
    <w:multiLevelType w:val="hybridMultilevel"/>
    <w:lvl w:ilvl="0">
      <w:start w:val="1"/>
      <w:numFmt w:val="decimal"/>
      <w:lvlText w:val="%1"/>
      <w:lvlJc w:val="left"/>
      <w:pPr>
        <w:ind w:left="680" w:hanging="567"/>
        <w:jc w:val="left"/>
      </w:pPr>
      <w:rPr>
        <w:rFonts w:hint="default" w:ascii="Arial" w:hAnsi="Arial" w:eastAsia="Arial" w:cs="Arial"/>
        <w:b/>
        <w:bCs/>
        <w:color w:val="4F81BB"/>
        <w:w w:val="100"/>
        <w:sz w:val="40"/>
        <w:szCs w:val="40"/>
      </w:rPr>
    </w:lvl>
    <w:lvl w:ilvl="1">
      <w:start w:val="0"/>
      <w:numFmt w:val="bullet"/>
      <w:lvlText w:val=""/>
      <w:lvlJc w:val="left"/>
      <w:pPr>
        <w:ind w:left="1400" w:hanging="361"/>
      </w:pPr>
      <w:rPr>
        <w:rFonts w:hint="default" w:ascii="Symbol" w:hAnsi="Symbol" w:eastAsia="Symbol" w:cs="Symbol"/>
        <w:w w:val="100"/>
        <w:sz w:val="22"/>
        <w:szCs w:val="22"/>
      </w:rPr>
    </w:lvl>
    <w:lvl w:ilvl="2">
      <w:start w:val="0"/>
      <w:numFmt w:val="bullet"/>
      <w:lvlText w:val="•"/>
      <w:lvlJc w:val="left"/>
      <w:pPr>
        <w:ind w:left="2436" w:hanging="361"/>
      </w:pPr>
      <w:rPr>
        <w:rFonts w:hint="default"/>
      </w:rPr>
    </w:lvl>
    <w:lvl w:ilvl="3">
      <w:start w:val="0"/>
      <w:numFmt w:val="bullet"/>
      <w:lvlText w:val="•"/>
      <w:lvlJc w:val="left"/>
      <w:pPr>
        <w:ind w:left="3473" w:hanging="361"/>
      </w:pPr>
      <w:rPr>
        <w:rFonts w:hint="default"/>
      </w:rPr>
    </w:lvl>
    <w:lvl w:ilvl="4">
      <w:start w:val="0"/>
      <w:numFmt w:val="bullet"/>
      <w:lvlText w:val="•"/>
      <w:lvlJc w:val="left"/>
      <w:pPr>
        <w:ind w:left="4510" w:hanging="361"/>
      </w:pPr>
      <w:rPr>
        <w:rFonts w:hint="default"/>
      </w:rPr>
    </w:lvl>
    <w:lvl w:ilvl="5">
      <w:start w:val="0"/>
      <w:numFmt w:val="bullet"/>
      <w:lvlText w:val="•"/>
      <w:lvlJc w:val="left"/>
      <w:pPr>
        <w:ind w:left="5547" w:hanging="361"/>
      </w:pPr>
      <w:rPr>
        <w:rFonts w:hint="default"/>
      </w:rPr>
    </w:lvl>
    <w:lvl w:ilvl="6">
      <w:start w:val="0"/>
      <w:numFmt w:val="bullet"/>
      <w:lvlText w:val="•"/>
      <w:lvlJc w:val="left"/>
      <w:pPr>
        <w:ind w:left="6584" w:hanging="361"/>
      </w:pPr>
      <w:rPr>
        <w:rFonts w:hint="default"/>
      </w:rPr>
    </w:lvl>
    <w:lvl w:ilvl="7">
      <w:start w:val="0"/>
      <w:numFmt w:val="bullet"/>
      <w:lvlText w:val="•"/>
      <w:lvlJc w:val="left"/>
      <w:pPr>
        <w:ind w:left="7620" w:hanging="361"/>
      </w:pPr>
      <w:rPr>
        <w:rFonts w:hint="default"/>
      </w:rPr>
    </w:lvl>
    <w:lvl w:ilvl="8">
      <w:start w:val="0"/>
      <w:numFmt w:val="bullet"/>
      <w:lvlText w:val="•"/>
      <w:lvlJc w:val="left"/>
      <w:pPr>
        <w:ind w:left="8657" w:hanging="361"/>
      </w:pPr>
      <w:rPr>
        <w:rFonts w:hint="default"/>
      </w:rPr>
    </w:lvl>
  </w:abstractNum>
  <w:abstractNum w:abstractNumId="0">
    <w:multiLevelType w:val="hybridMultilevel"/>
    <w:lvl w:ilvl="0">
      <w:start w:val="0"/>
      <w:numFmt w:val="bullet"/>
      <w:lvlText w:val=""/>
      <w:lvlJc w:val="left"/>
      <w:pPr>
        <w:ind w:left="1400" w:hanging="363"/>
      </w:pPr>
      <w:rPr>
        <w:rFonts w:hint="default" w:ascii="Symbol" w:hAnsi="Symbol" w:eastAsia="Symbol" w:cs="Symbol"/>
        <w:w w:val="100"/>
        <w:sz w:val="22"/>
        <w:szCs w:val="22"/>
      </w:rPr>
    </w:lvl>
    <w:lvl w:ilvl="1">
      <w:start w:val="0"/>
      <w:numFmt w:val="bullet"/>
      <w:lvlText w:val="•"/>
      <w:lvlJc w:val="left"/>
      <w:pPr>
        <w:ind w:left="2333" w:hanging="363"/>
      </w:pPr>
      <w:rPr>
        <w:rFonts w:hint="default"/>
      </w:rPr>
    </w:lvl>
    <w:lvl w:ilvl="2">
      <w:start w:val="0"/>
      <w:numFmt w:val="bullet"/>
      <w:lvlText w:val="•"/>
      <w:lvlJc w:val="left"/>
      <w:pPr>
        <w:ind w:left="3266" w:hanging="363"/>
      </w:pPr>
      <w:rPr>
        <w:rFonts w:hint="default"/>
      </w:rPr>
    </w:lvl>
    <w:lvl w:ilvl="3">
      <w:start w:val="0"/>
      <w:numFmt w:val="bullet"/>
      <w:lvlText w:val="•"/>
      <w:lvlJc w:val="left"/>
      <w:pPr>
        <w:ind w:left="4199" w:hanging="363"/>
      </w:pPr>
      <w:rPr>
        <w:rFonts w:hint="default"/>
      </w:rPr>
    </w:lvl>
    <w:lvl w:ilvl="4">
      <w:start w:val="0"/>
      <w:numFmt w:val="bullet"/>
      <w:lvlText w:val="•"/>
      <w:lvlJc w:val="left"/>
      <w:pPr>
        <w:ind w:left="5132" w:hanging="363"/>
      </w:pPr>
      <w:rPr>
        <w:rFonts w:hint="default"/>
      </w:rPr>
    </w:lvl>
    <w:lvl w:ilvl="5">
      <w:start w:val="0"/>
      <w:numFmt w:val="bullet"/>
      <w:lvlText w:val="•"/>
      <w:lvlJc w:val="left"/>
      <w:pPr>
        <w:ind w:left="6065" w:hanging="363"/>
      </w:pPr>
      <w:rPr>
        <w:rFonts w:hint="default"/>
      </w:rPr>
    </w:lvl>
    <w:lvl w:ilvl="6">
      <w:start w:val="0"/>
      <w:numFmt w:val="bullet"/>
      <w:lvlText w:val="•"/>
      <w:lvlJc w:val="left"/>
      <w:pPr>
        <w:ind w:left="6998" w:hanging="363"/>
      </w:pPr>
      <w:rPr>
        <w:rFonts w:hint="default"/>
      </w:rPr>
    </w:lvl>
    <w:lvl w:ilvl="7">
      <w:start w:val="0"/>
      <w:numFmt w:val="bullet"/>
      <w:lvlText w:val="•"/>
      <w:lvlJc w:val="left"/>
      <w:pPr>
        <w:ind w:left="7931" w:hanging="363"/>
      </w:pPr>
      <w:rPr>
        <w:rFonts w:hint="default"/>
      </w:rPr>
    </w:lvl>
    <w:lvl w:ilvl="8">
      <w:start w:val="0"/>
      <w:numFmt w:val="bullet"/>
      <w:lvlText w:val="•"/>
      <w:lvlJc w:val="left"/>
      <w:pPr>
        <w:ind w:left="8864" w:hanging="363"/>
      </w:pPr>
      <w:rPr>
        <w:rFonts w:hint="default"/>
      </w:rPr>
    </w:lvl>
  </w:abstractNum>
  <w:num w:numId="15">
    <w:abstractNumId w:val="14"/>
  </w:num>
  <w:num w:numId="13">
    <w:abstractNumId w:val="12"/>
  </w:num>
  <w:num w:numId="12">
    <w:abstractNumId w:val="11"/>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4">
    <w:abstractNumId w:val="13"/>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27"/>
      <w:ind w:left="680" w:hanging="567"/>
    </w:pPr>
    <w:rPr>
      <w:rFonts w:ascii="Arial" w:hAnsi="Arial" w:eastAsia="Arial" w:cs="Arial"/>
      <w:b/>
      <w:bCs/>
      <w:sz w:val="32"/>
      <w:szCs w:val="32"/>
    </w:rPr>
  </w:style>
  <w:style w:styleId="TOC2" w:type="paragraph">
    <w:name w:val="TOC 2"/>
    <w:basedOn w:val="Normal"/>
    <w:uiPriority w:val="1"/>
    <w:qFormat/>
    <w:pPr>
      <w:spacing w:before="126"/>
      <w:ind w:left="679"/>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57"/>
      <w:ind w:left="680"/>
      <w:outlineLvl w:val="1"/>
    </w:pPr>
    <w:rPr>
      <w:rFonts w:ascii="Arial" w:hAnsi="Arial" w:eastAsia="Arial" w:cs="Arial"/>
      <w:b/>
      <w:bCs/>
      <w:sz w:val="72"/>
      <w:szCs w:val="72"/>
    </w:rPr>
  </w:style>
  <w:style w:styleId="Heading2" w:type="paragraph">
    <w:name w:val="Heading 2"/>
    <w:basedOn w:val="Normal"/>
    <w:uiPriority w:val="1"/>
    <w:qFormat/>
    <w:pPr>
      <w:spacing w:before="77"/>
      <w:ind w:left="680"/>
      <w:outlineLvl w:val="2"/>
    </w:pPr>
    <w:rPr>
      <w:rFonts w:ascii="Arial" w:hAnsi="Arial" w:eastAsia="Arial" w:cs="Arial"/>
      <w:b/>
      <w:bCs/>
      <w:sz w:val="40"/>
      <w:szCs w:val="40"/>
    </w:rPr>
  </w:style>
  <w:style w:styleId="Heading3" w:type="paragraph">
    <w:name w:val="Heading 3"/>
    <w:basedOn w:val="Normal"/>
    <w:uiPriority w:val="1"/>
    <w:qFormat/>
    <w:pPr>
      <w:spacing w:before="77"/>
      <w:ind w:left="680"/>
      <w:outlineLvl w:val="3"/>
    </w:pPr>
    <w:rPr>
      <w:rFonts w:ascii="Arial" w:hAnsi="Arial" w:eastAsia="Arial" w:cs="Arial"/>
      <w:b/>
      <w:bCs/>
      <w:sz w:val="28"/>
      <w:szCs w:val="28"/>
    </w:rPr>
  </w:style>
  <w:style w:styleId="Heading4" w:type="paragraph">
    <w:name w:val="Heading 4"/>
    <w:basedOn w:val="Normal"/>
    <w:uiPriority w:val="1"/>
    <w:qFormat/>
    <w:pPr>
      <w:ind w:left="680"/>
      <w:outlineLvl w:val="4"/>
    </w:pPr>
    <w:rPr>
      <w:rFonts w:ascii="Arial" w:hAnsi="Arial" w:eastAsia="Arial" w:cs="Arial"/>
      <w:b/>
      <w:bCs/>
      <w:sz w:val="24"/>
      <w:szCs w:val="24"/>
    </w:rPr>
  </w:style>
  <w:style w:styleId="Heading5" w:type="paragraph">
    <w:name w:val="Heading 5"/>
    <w:basedOn w:val="Normal"/>
    <w:uiPriority w:val="1"/>
    <w:qFormat/>
    <w:pPr>
      <w:ind w:left="120"/>
      <w:outlineLvl w:val="5"/>
    </w:pPr>
    <w:rPr>
      <w:rFonts w:ascii="Arial" w:hAnsi="Arial" w:eastAsia="Arial" w:cs="Arial"/>
      <w:sz w:val="24"/>
      <w:szCs w:val="24"/>
    </w:rPr>
  </w:style>
  <w:style w:styleId="Heading6" w:type="paragraph">
    <w:name w:val="Heading 6"/>
    <w:basedOn w:val="Normal"/>
    <w:uiPriority w:val="1"/>
    <w:qFormat/>
    <w:pPr>
      <w:ind w:left="680"/>
      <w:outlineLvl w:val="6"/>
    </w:pPr>
    <w:rPr>
      <w:rFonts w:ascii="Arial" w:hAnsi="Arial" w:eastAsia="Arial" w:cs="Arial"/>
      <w:b/>
      <w:bCs/>
      <w:sz w:val="22"/>
      <w:szCs w:val="22"/>
    </w:rPr>
  </w:style>
  <w:style w:styleId="ListParagraph" w:type="paragraph">
    <w:name w:val="List Paragraph"/>
    <w:basedOn w:val="Normal"/>
    <w:uiPriority w:val="1"/>
    <w:qFormat/>
    <w:pPr>
      <w:ind w:left="1400" w:hanging="361"/>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yperlink" Target="mailto:NLCCG.ContactUs@nhs.net" TargetMode="External"/><Relationship Id="rId8" Type="http://schemas.openxmlformats.org/officeDocument/2006/relationships/hyperlink" Target="http://www.northlincolnshireccg.nhs.uk/" TargetMode="Externa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hyperlink" Target="http://www.humberandnorthyorkshire.org.uk/" TargetMode="External"/><Relationship Id="rId12" Type="http://schemas.openxmlformats.org/officeDocument/2006/relationships/image" Target="media/image4.png"/><Relationship Id="rId13" Type="http://schemas.openxmlformats.org/officeDocument/2006/relationships/hyperlink" Target="https://northlincolnshireccg.nhs.uk/tell-us-what-you-think/embrace/" TargetMode="External"/><Relationship Id="rId14" Type="http://schemas.openxmlformats.org/officeDocument/2006/relationships/hyperlink" Target="https://humbercoastandvale.org.uk/humberacutereview/" TargetMode="External"/><Relationship Id="rId15" Type="http://schemas.openxmlformats.org/officeDocument/2006/relationships/hyperlink" Target="mailto:embrace.nlccg@nhs.net" TargetMode="External"/><Relationship Id="rId16" Type="http://schemas.openxmlformats.org/officeDocument/2006/relationships/image" Target="media/image5.jpeg"/><Relationship Id="rId17" Type="http://schemas.openxmlformats.org/officeDocument/2006/relationships/hyperlink" Target="https://humberandnorthyorkshire.org.uk/our-work/humber-acute-services-review/" TargetMode="External"/><Relationship Id="rId18" Type="http://schemas.openxmlformats.org/officeDocument/2006/relationships/hyperlink" Target="https://northlincspharmacies.nhs.uk/" TargetMode="External"/><Relationship Id="rId19" Type="http://schemas.openxmlformats.org/officeDocument/2006/relationships/hyperlink" Target="https://www.england.nhs.uk/publication/system-oversight-framework-2021-22/" TargetMode="External"/><Relationship Id="rId20" Type="http://schemas.openxmlformats.org/officeDocument/2006/relationships/hyperlink" Target="https://www.england.nhs.uk/publication/nhs-oversight-framework-for-2019-20/" TargetMode="External"/><Relationship Id="rId21" Type="http://schemas.openxmlformats.org/officeDocument/2006/relationships/hyperlink" Target="https://www.longtermplan.nhs.uk/" TargetMode="External"/><Relationship Id="rId22" Type="http://schemas.openxmlformats.org/officeDocument/2006/relationships/hyperlink" Target="https://www.gov.uk/government/publications/working-together-to-improve-health-and-social-care-for-all/integration-and-innovation-working-together-to-improve-health-and-social-care-for-all-html-version" TargetMode="External"/><Relationship Id="rId23" Type="http://schemas.openxmlformats.org/officeDocument/2006/relationships/hyperlink" Target="https://www.england.nhs.uk/operational-planning-and-contracting/" TargetMode="External"/><Relationship Id="rId24" Type="http://schemas.openxmlformats.org/officeDocument/2006/relationships/image" Target="media/image6.png"/><Relationship Id="rId25" Type="http://schemas.openxmlformats.org/officeDocument/2006/relationships/hyperlink" Target="https://northlincolnshireccg.nhs.uk/publications/lists-and-registers/" TargetMode="External"/><Relationship Id="rId26" Type="http://schemas.openxmlformats.org/officeDocument/2006/relationships/hyperlink" Target="https://northlincolnshireccg.nhs.uk/publication-scheme/what-are-our-priorities-and-how-are-we-doing/" TargetMode="External"/><Relationship Id="rId27" Type="http://schemas.openxmlformats.org/officeDocument/2006/relationships/hyperlink" Target="https://northlincolnshireccg.nhs.uk/publication-scheme/" TargetMode="External"/><Relationship Id="rId28" Type="http://schemas.openxmlformats.org/officeDocument/2006/relationships/hyperlink" Target="https://northlincolnshireccg.nhs.uk/" TargetMode="External"/><Relationship Id="rId29" Type="http://schemas.openxmlformats.org/officeDocument/2006/relationships/image" Target="media/image7.png"/><Relationship Id="rId30" Type="http://schemas.openxmlformats.org/officeDocument/2006/relationships/image" Target="media/image8.png"/><Relationship Id="rId31" Type="http://schemas.openxmlformats.org/officeDocument/2006/relationships/footer" Target="footer2.xml"/><Relationship Id="rId32" Type="http://schemas.openxmlformats.org/officeDocument/2006/relationships/footer" Target="footer3.xml"/><Relationship Id="rId33" Type="http://schemas.openxmlformats.org/officeDocument/2006/relationships/footer" Target="footer4.xml"/><Relationship Id="rId34" Type="http://schemas.openxmlformats.org/officeDocument/2006/relationships/footer" Target="footer5.xml"/><Relationship Id="rId35" Type="http://schemas.openxmlformats.org/officeDocument/2006/relationships/footer" Target="footer6.xml"/><Relationship Id="rId36" Type="http://schemas.openxmlformats.org/officeDocument/2006/relationships/footer" Target="footer7.xml"/><Relationship Id="rId37" Type="http://schemas.openxmlformats.org/officeDocument/2006/relationships/footer" Target="footer8.xml"/><Relationship Id="rId38" Type="http://schemas.openxmlformats.org/officeDocument/2006/relationships/image" Target="media/image9.jpeg"/><Relationship Id="rId39" Type="http://schemas.openxmlformats.org/officeDocument/2006/relationships/image" Target="media/image10.png"/><Relationship Id="rId40" Type="http://schemas.openxmlformats.org/officeDocument/2006/relationships/image" Target="media/image11.png"/><Relationship Id="rId41" Type="http://schemas.openxmlformats.org/officeDocument/2006/relationships/footer" Target="footer9.xml"/><Relationship Id="rId42" Type="http://schemas.openxmlformats.org/officeDocument/2006/relationships/footer" Target="footer10.xml"/><Relationship Id="rId43" Type="http://schemas.openxmlformats.org/officeDocument/2006/relationships/image" Target="media/image12.png"/><Relationship Id="rId44" Type="http://schemas.openxmlformats.org/officeDocument/2006/relationships/footer" Target="footer11.xml"/><Relationship Id="rId45" Type="http://schemas.openxmlformats.org/officeDocument/2006/relationships/footer" Target="footer12.xml"/><Relationship Id="rId46" Type="http://schemas.openxmlformats.org/officeDocument/2006/relationships/footer" Target="footer13.xml"/><Relationship Id="rId47" Type="http://schemas.openxmlformats.org/officeDocument/2006/relationships/footer" Target="footer14.xml"/><Relationship Id="rId48" Type="http://schemas.openxmlformats.org/officeDocument/2006/relationships/footer" Target="footer15.xml"/><Relationship Id="rId49" Type="http://schemas.openxmlformats.org/officeDocument/2006/relationships/hyperlink" Target="http://www.nhsbsa.nhs.uk/pensions" TargetMode="External"/><Relationship Id="rId50" Type="http://schemas.openxmlformats.org/officeDocument/2006/relationships/footer" Target="footer16.xml"/><Relationship Id="rId51" Type="http://schemas.openxmlformats.org/officeDocument/2006/relationships/footer" Target="footer17.xml"/><Relationship Id="rId52" Type="http://schemas.openxmlformats.org/officeDocument/2006/relationships/footer" Target="footer18.xml"/><Relationship Id="rId53" Type="http://schemas.openxmlformats.org/officeDocument/2006/relationships/footer" Target="footer19.xml"/><Relationship Id="rId54" Type="http://schemas.openxmlformats.org/officeDocument/2006/relationships/footer" Target="footer20.xml"/><Relationship Id="rId55" Type="http://schemas.openxmlformats.org/officeDocument/2006/relationships/footer" Target="footer21.xml"/><Relationship Id="rId56" Type="http://schemas.openxmlformats.org/officeDocument/2006/relationships/hyperlink" Target="http://www.nhsbsa.nhs.uk/nhs-pension-" TargetMode="External"/><Relationship Id="rId57" Type="http://schemas.openxmlformats.org/officeDocument/2006/relationships/footer" Target="footer22.xml"/><Relationship Id="rId58" Type="http://schemas.openxmlformats.org/officeDocument/2006/relationships/footer" Target="footer23.xml"/><Relationship Id="rId59" Type="http://schemas.openxmlformats.org/officeDocument/2006/relationships/footer" Target="footer24.xml"/><Relationship Id="rId60" Type="http://schemas.openxmlformats.org/officeDocument/2006/relationships/footer" Target="footer25.xml"/><Relationship Id="rId61" Type="http://schemas.openxmlformats.org/officeDocument/2006/relationships/footer" Target="footer26.xml"/><Relationship Id="rId62" Type="http://schemas.openxmlformats.org/officeDocument/2006/relationships/footer" Target="footer27.xml"/><Relationship Id="rId63" Type="http://schemas.openxmlformats.org/officeDocument/2006/relationships/footer" Target="footer28.xml"/><Relationship Id="rId64" Type="http://schemas.openxmlformats.org/officeDocument/2006/relationships/image" Target="media/image13.png"/><Relationship Id="rId65" Type="http://schemas.openxmlformats.org/officeDocument/2006/relationships/hyperlink" Target="http://www.mazars.co.uk/" TargetMode="External"/><Relationship Id="rId66" Type="http://schemas.openxmlformats.org/officeDocument/2006/relationships/hyperlink" Target="mailto:mark.kirkham@mazars.co.uk" TargetMode="External"/><Relationship Id="rId67" Type="http://schemas.openxmlformats.org/officeDocument/2006/relationships/hyperlink" Target="http://www.auditregister.org.uk/" TargetMode="External"/><Relationship Id="rId68" Type="http://schemas.openxmlformats.org/officeDocument/2006/relationships/footer" Target="footer29.xml"/><Relationship Id="rId69" Type="http://schemas.openxmlformats.org/officeDocument/2006/relationships/image" Target="media/image14.png"/><Relationship Id="rId70" Type="http://schemas.openxmlformats.org/officeDocument/2006/relationships/hyperlink" Target="https://mazars.eu1.adobesign.com/verifier?tx=CBJCHBCAABAATbG6wike1yo3E8zJueKJSDlmCSaLACX_" TargetMode="External"/><Relationship Id="rId7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Pearson, Fiona</dc:creator>
  <dc:subject>HD_CorpGov_CCG Annual Report Template</dc:subject>
  <dcterms:created xsi:type="dcterms:W3CDTF">2022-06-20T15:05:24Z</dcterms:created>
  <dcterms:modified xsi:type="dcterms:W3CDTF">2022-06-20T15:05:24Z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2022-06-20T00:00:00Z</vt:filetime>
  </property>
  <property fmtid="{D5CDD505-2E9C-101B-9397-08002B2CF9AE}" pid="3" name="Creator">
    <vt:lpwstr>Acrobat PDFMaker 17 for Word</vt:lpwstr>
  </property>
  <property fmtid="{D5CDD505-2E9C-101B-9397-08002B2CF9AE}" pid="4" name="LastSaved">
    <vt:filetime>2022-06-20T00:00:00Z</vt:filetime>
  </property>
</Properties>
</file>